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Pr="001F5277" w:rsidRDefault="003770A0" w:rsidP="001F5277">
      <w:pPr>
        <w:pStyle w:val="Nzev"/>
        <w:jc w:val="both"/>
      </w:pPr>
      <w:r w:rsidRPr="001F5277">
        <w:t>Dokumentace datové sady</w:t>
      </w:r>
      <w:r w:rsidR="005C7437" w:rsidRPr="001F5277">
        <w:t xml:space="preserve"> (DS)</w:t>
      </w:r>
    </w:p>
    <w:p w:rsidR="005C7437" w:rsidRPr="001F5277" w:rsidRDefault="005C7437" w:rsidP="005C7437">
      <w:pPr>
        <w:pStyle w:val="Nzev"/>
      </w:pPr>
    </w:p>
    <w:p w:rsidR="003770A0" w:rsidRPr="001F5277" w:rsidRDefault="003770A0" w:rsidP="00222387">
      <w:r w:rsidRPr="001F5277">
        <w:rPr>
          <w:rStyle w:val="Nadpis2Char"/>
        </w:rPr>
        <w:t>Název DS:</w:t>
      </w:r>
      <w:r w:rsidRPr="001F5277">
        <w:t xml:space="preserve"> </w:t>
      </w:r>
    </w:p>
    <w:p w:rsidR="003770A0" w:rsidRPr="001F5277" w:rsidRDefault="00F03115" w:rsidP="00222387">
      <w:pPr>
        <w:pStyle w:val="Nadpis2"/>
        <w:rPr>
          <w:rFonts w:eastAsiaTheme="minorHAnsi" w:cstheme="minorBidi"/>
          <w:bCs w:val="0"/>
          <w:i/>
          <w:color w:val="auto"/>
          <w:szCs w:val="24"/>
        </w:rPr>
      </w:pPr>
      <w:r w:rsidRPr="001F5277">
        <w:rPr>
          <w:rFonts w:eastAsiaTheme="minorHAnsi" w:cstheme="minorBidi"/>
          <w:bCs w:val="0"/>
          <w:i/>
          <w:color w:val="auto"/>
          <w:szCs w:val="24"/>
        </w:rPr>
        <w:t xml:space="preserve">Indexy tržeb v odvětví </w:t>
      </w:r>
      <w:r w:rsidR="003329E6" w:rsidRPr="001F5277">
        <w:rPr>
          <w:rFonts w:eastAsiaTheme="minorHAnsi" w:cstheme="minorBidi"/>
          <w:bCs w:val="0"/>
          <w:i/>
          <w:color w:val="auto"/>
          <w:szCs w:val="24"/>
        </w:rPr>
        <w:t>maloobchodu</w:t>
      </w:r>
      <w:r w:rsidR="003329E6">
        <w:rPr>
          <w:rFonts w:eastAsiaTheme="minorHAnsi" w:cstheme="minorBidi"/>
          <w:bCs w:val="0"/>
          <w:i/>
          <w:color w:val="auto"/>
          <w:szCs w:val="24"/>
        </w:rPr>
        <w:t>,</w:t>
      </w:r>
      <w:r w:rsidR="003329E6" w:rsidRPr="001F5277">
        <w:rPr>
          <w:rFonts w:eastAsiaTheme="minorHAnsi" w:cstheme="minorBidi"/>
          <w:bCs w:val="0"/>
          <w:i/>
          <w:color w:val="auto"/>
          <w:szCs w:val="24"/>
        </w:rPr>
        <w:t xml:space="preserve"> </w:t>
      </w:r>
      <w:r w:rsidRPr="001F5277">
        <w:rPr>
          <w:rFonts w:eastAsiaTheme="minorHAnsi" w:cstheme="minorBidi"/>
          <w:bCs w:val="0"/>
          <w:i/>
          <w:color w:val="auto"/>
          <w:szCs w:val="24"/>
        </w:rPr>
        <w:t>dopravy a služeb</w:t>
      </w:r>
    </w:p>
    <w:p w:rsidR="00DA719B" w:rsidRPr="001F5277" w:rsidRDefault="00DA719B" w:rsidP="00DA719B"/>
    <w:p w:rsidR="003770A0" w:rsidRPr="001F5277" w:rsidRDefault="003770A0" w:rsidP="00222387">
      <w:pPr>
        <w:pStyle w:val="Nadpis2"/>
      </w:pPr>
      <w:r w:rsidRPr="001F5277">
        <w:t>Popis datové sady:</w:t>
      </w:r>
    </w:p>
    <w:p w:rsidR="00AE194B" w:rsidRPr="001F5277" w:rsidRDefault="00F03115" w:rsidP="0079430A">
      <w:r w:rsidRPr="001F5277">
        <w:t xml:space="preserve">Datová sada obsahuje </w:t>
      </w:r>
      <w:r w:rsidR="00F94DB4" w:rsidRPr="001F5277">
        <w:t xml:space="preserve">měsíční </w:t>
      </w:r>
      <w:r w:rsidRPr="001F5277">
        <w:t xml:space="preserve">časovou </w:t>
      </w:r>
      <w:r w:rsidR="003329E6" w:rsidRPr="001F5277">
        <w:t>řa</w:t>
      </w:r>
      <w:r w:rsidR="003329E6">
        <w:t>d</w:t>
      </w:r>
      <w:r w:rsidR="003329E6" w:rsidRPr="001F5277">
        <w:t>u index</w:t>
      </w:r>
      <w:r w:rsidR="003329E6">
        <w:t>ů</w:t>
      </w:r>
      <w:r w:rsidR="003329E6" w:rsidRPr="001F5277">
        <w:t xml:space="preserve"> </w:t>
      </w:r>
      <w:r w:rsidRPr="001F5277">
        <w:t>tržeb</w:t>
      </w:r>
      <w:r w:rsidR="003329E6">
        <w:t xml:space="preserve"> </w:t>
      </w:r>
      <w:r w:rsidR="003329E6" w:rsidRPr="00374E22">
        <w:t>z prodeje výrobků, služeb a zboží</w:t>
      </w:r>
      <w:r w:rsidRPr="001F5277">
        <w:t xml:space="preserve"> v odvětví </w:t>
      </w:r>
      <w:r w:rsidR="003329E6" w:rsidRPr="001F5277">
        <w:t>maloobchodu, ubytování a stravování</w:t>
      </w:r>
      <w:r w:rsidR="003329E6">
        <w:t>,</w:t>
      </w:r>
      <w:r w:rsidR="003329E6" w:rsidRPr="001F5277">
        <w:t xml:space="preserve"> </w:t>
      </w:r>
      <w:r w:rsidRPr="001F5277">
        <w:t xml:space="preserve">dopravy, informačních a komunikačních </w:t>
      </w:r>
      <w:r w:rsidR="003329E6" w:rsidRPr="001F5277">
        <w:t>činnost</w:t>
      </w:r>
      <w:r w:rsidR="003329E6">
        <w:t>í</w:t>
      </w:r>
      <w:r w:rsidRPr="001F5277">
        <w:t>, a v odvětví služeb v České republice od roku 2000</w:t>
      </w:r>
      <w:r w:rsidR="003329E6">
        <w:t xml:space="preserve"> (s výjimkou informačních a komunikačních činností – ty od roku 2005)</w:t>
      </w:r>
      <w:r w:rsidRPr="001F5277">
        <w:t>.</w:t>
      </w:r>
    </w:p>
    <w:p w:rsidR="00653991" w:rsidRPr="001F5277" w:rsidRDefault="00653991" w:rsidP="0079430A"/>
    <w:p w:rsidR="005B027B" w:rsidRPr="001F5277" w:rsidRDefault="005B027B" w:rsidP="0079430A">
      <w:pPr>
        <w:rPr>
          <w:i/>
        </w:rPr>
      </w:pPr>
      <w:r w:rsidRPr="001F5277">
        <w:rPr>
          <w:i/>
        </w:rPr>
        <w:t>Metodick</w:t>
      </w:r>
      <w:r w:rsidR="00573AFB" w:rsidRPr="001F5277">
        <w:rPr>
          <w:i/>
        </w:rPr>
        <w:t>é</w:t>
      </w:r>
      <w:r w:rsidRPr="001F5277">
        <w:rPr>
          <w:i/>
        </w:rPr>
        <w:t xml:space="preserve"> poznámk</w:t>
      </w:r>
      <w:r w:rsidR="00573AFB" w:rsidRPr="001F5277">
        <w:rPr>
          <w:i/>
        </w:rPr>
        <w:t>y</w:t>
      </w:r>
    </w:p>
    <w:p w:rsidR="0079430A" w:rsidRPr="001F5277" w:rsidRDefault="0079430A" w:rsidP="0079430A">
      <w:pPr>
        <w:spacing w:line="240" w:lineRule="auto"/>
      </w:pPr>
      <w:r w:rsidRPr="001F5277">
        <w:t>Index tržeb udává, jak se změnily (zvýšily nebo snížily) tržby ve sledovaném období v porovnání se srovnávací základnou. Podle typu indexu se srovnávací základnou rozumí buď stejné období předchozího roku (meziroční index) nebo průměrné období bazického roku (bazický index).</w:t>
      </w:r>
    </w:p>
    <w:p w:rsidR="0079430A" w:rsidRPr="001F5277" w:rsidRDefault="0079430A" w:rsidP="0079430A">
      <w:pPr>
        <w:spacing w:line="240" w:lineRule="auto"/>
      </w:pPr>
      <w:r w:rsidRPr="001F5277">
        <w:t>Index tržeb slouží pro analýzy krátkodobého vývoje a možné predikce budoucího vývoje v jednotlivých odvětvích.</w:t>
      </w:r>
    </w:p>
    <w:p w:rsidR="0079430A" w:rsidRPr="001F5277" w:rsidRDefault="0079430A" w:rsidP="0079430A">
      <w:pPr>
        <w:spacing w:line="240" w:lineRule="auto"/>
      </w:pPr>
      <w:r w:rsidRPr="001F5277">
        <w:t>Výpočet indexů:</w:t>
      </w:r>
    </w:p>
    <w:p w:rsidR="00E906A3" w:rsidRPr="001F5277" w:rsidRDefault="0079430A" w:rsidP="0079430A">
      <w:pPr>
        <w:spacing w:line="240" w:lineRule="auto"/>
      </w:pPr>
      <w:r w:rsidRPr="001F5277">
        <w:t>Za každou nejnižší agregaci CZ-NACE jsou pro jednotlivé měsíce vypočteny meziroční indexy tržeb v běžných cenách. Pro tyto CZ-NACE jsou používány meziroční cenové deflátory pro jednotlivé měsíce běžného roku a pro bazický rok cenové deflátory jednotlivých měsíců k průměru roku. Absolutní hodnoty měsíčních tržeb v běžných cenách za nejnižší agregace CZ-NACE jsou pomocí zřetězených deflátorů převáděny do cenové hladiny bazického roku. Sčítáním nejnižších agregací absolutních hodnot tržeb ve stálých cenách v jednotlivých měsících se získají vyšší agregace CZ-NACE, z nichž se vypočtou meziroční indexy tržeb ve stálých cenách. V bazickém roce platí, že součet měsíčních tržeb agregovaných CZ-NACE v běžných cenách se rovná součtu jejich tržeb ve stálých cenách. K přepočtu tržeb do stálých cen byly použity cenové deflátory bez DPH k bázi roku 2015.</w:t>
      </w:r>
    </w:p>
    <w:p w:rsidR="0079430A" w:rsidRPr="001F5277" w:rsidRDefault="0079430A" w:rsidP="0079430A">
      <w:pPr>
        <w:spacing w:line="240" w:lineRule="auto"/>
      </w:pPr>
      <w:r w:rsidRPr="001F5277">
        <w:t>Sezónní očišťování</w:t>
      </w:r>
    </w:p>
    <w:p w:rsidR="0079430A" w:rsidRPr="001F5277" w:rsidRDefault="0079430A" w:rsidP="0079430A">
      <w:pPr>
        <w:spacing w:line="240" w:lineRule="auto"/>
      </w:pPr>
      <w:r w:rsidRPr="001F5277">
        <w:t>Velikost tržeb v průběhu roku má v některých odvětvích silně sezónní charakter (například maloobchod v nespecializovaných prodejnách s převahou potravin apod.). Pro zjištění dlouhodobějších trendů, ale i pro možnost porovnání vývoje jednotlivých měsíců mezi sebou, používá ČSÚ sezónně očištěné údaje, kdy se pomocí matematického modelu od původní „hrubé“ řady oddělí ta část tržeb, která je způsobena rozdílným počtem pracovních dní v měsíci a sezónním výkyvem. Po provedení sezónního očištění lze pak vzájemně porovnat nejen meziroční, ale i meziměsíční vývoj. Při zveřejnění očištěných časových řad dochází ke zpětnému přepočtu dat za předchozích 14 měsíců. S revizí roku dochází ke změně modelu očišťování a tudíž i k přepočtu celé časové řady.</w:t>
      </w:r>
    </w:p>
    <w:p w:rsidR="0079430A" w:rsidRPr="001F5277" w:rsidRDefault="0079430A" w:rsidP="0079430A">
      <w:pPr>
        <w:spacing w:line="240" w:lineRule="auto"/>
      </w:pPr>
      <w:r w:rsidRPr="001F5277">
        <w:t xml:space="preserve">Sezónní očištění se provádí metodou TRAMO/SEATS, jejíž používání je také doporučeno </w:t>
      </w:r>
      <w:proofErr w:type="spellStart"/>
      <w:r w:rsidRPr="001F5277">
        <w:t>Eurostatem</w:t>
      </w:r>
      <w:proofErr w:type="spellEnd"/>
      <w:r w:rsidRPr="001F5277">
        <w:t>. V ČSÚ se používá programová aplikace JDEMETRA+, verze 2.</w:t>
      </w:r>
      <w:r w:rsidR="003329E6">
        <w:t>1</w:t>
      </w:r>
      <w:r w:rsidRPr="001F5277">
        <w:t>.0. Aplikována je tzv. přímá metoda, kdy dochází k samostatnému očištění všech jednotlivých agregačních úrovní.</w:t>
      </w:r>
    </w:p>
    <w:p w:rsidR="00111090" w:rsidRDefault="003329E6" w:rsidP="00111090">
      <w:pPr>
        <w:spacing w:after="0" w:line="240" w:lineRule="auto"/>
      </w:pPr>
      <w:r>
        <w:t>Podrobnější informace je možné získat v</w:t>
      </w:r>
      <w:r w:rsidR="00935DD9">
        <w:t> </w:t>
      </w:r>
      <w:r>
        <w:t>metodice</w:t>
      </w:r>
      <w:r w:rsidR="00935DD9">
        <w:t xml:space="preserve"> maloobchodu</w:t>
      </w:r>
    </w:p>
    <w:p w:rsidR="00111090" w:rsidRDefault="003329E6" w:rsidP="00111090">
      <w:pPr>
        <w:spacing w:after="0" w:line="240" w:lineRule="auto"/>
      </w:pPr>
      <w:r>
        <w:t xml:space="preserve"> </w:t>
      </w:r>
      <w:hyperlink r:id="rId5" w:history="1">
        <w:r w:rsidR="00111090" w:rsidRPr="00111090">
          <w:rPr>
            <w:rStyle w:val="Hypertextovodkaz"/>
          </w:rPr>
          <w:t>https://www.czso.cz/csu/czso/metodika_mesicni_indexy_trzeb_v_odvetvi_obchodu_ubytovani_a_stravovani</w:t>
        </w:r>
      </w:hyperlink>
    </w:p>
    <w:p w:rsidR="0079430A" w:rsidRDefault="00111090" w:rsidP="00111090">
      <w:pPr>
        <w:spacing w:after="0" w:line="240" w:lineRule="auto"/>
      </w:pPr>
      <w:r>
        <w:t xml:space="preserve"> </w:t>
      </w:r>
      <w:r w:rsidR="00935DD9">
        <w:t xml:space="preserve">nebo </w:t>
      </w:r>
      <w:r>
        <w:t xml:space="preserve">pro ostatní odvětví </w:t>
      </w:r>
      <w:r w:rsidR="00935DD9">
        <w:t>v metodice služeb</w:t>
      </w:r>
      <w:r>
        <w:t xml:space="preserve"> </w:t>
      </w:r>
      <w:hyperlink r:id="rId6" w:history="1">
        <w:r w:rsidRPr="00111090">
          <w:rPr>
            <w:rStyle w:val="Hypertextovodkaz"/>
          </w:rPr>
          <w:t>https://www.czso.cz/csu/czso/1-slu_m2013</w:t>
        </w:r>
      </w:hyperlink>
      <w:r>
        <w:t xml:space="preserve">. </w:t>
      </w:r>
    </w:p>
    <w:p w:rsidR="003329E6" w:rsidRPr="001F5277" w:rsidRDefault="003329E6" w:rsidP="0079430A">
      <w:pPr>
        <w:spacing w:line="240" w:lineRule="auto"/>
      </w:pPr>
    </w:p>
    <w:p w:rsidR="00F94DB4" w:rsidRPr="00D82F7B" w:rsidRDefault="00F94DB4" w:rsidP="00D82F7B">
      <w:pPr>
        <w:spacing w:line="240" w:lineRule="auto"/>
      </w:pPr>
      <w:r w:rsidRPr="00D82F7B">
        <w:t xml:space="preserve">Poznámka k obsahu datové sady </w:t>
      </w:r>
    </w:p>
    <w:p w:rsidR="000411CB" w:rsidRPr="00D82F7B" w:rsidRDefault="0065491F" w:rsidP="00D82F7B">
      <w:pPr>
        <w:spacing w:line="240" w:lineRule="auto"/>
      </w:pPr>
      <w:r w:rsidRPr="00D82F7B">
        <w:t>Ú</w:t>
      </w:r>
      <w:r w:rsidR="00F94DB4" w:rsidRPr="00D82F7B">
        <w:t>daj</w:t>
      </w:r>
      <w:r w:rsidR="000411CB" w:rsidRPr="00D82F7B">
        <w:t>e</w:t>
      </w:r>
      <w:r w:rsidR="00F94DB4" w:rsidRPr="00D82F7B">
        <w:t xml:space="preserve"> </w:t>
      </w:r>
      <w:r w:rsidR="000411CB" w:rsidRPr="00D82F7B">
        <w:t>jsou zveřejňovány v běžných cenách a</w:t>
      </w:r>
      <w:r w:rsidR="00F94DB4" w:rsidRPr="00D82F7B">
        <w:t xml:space="preserve"> ve stálých cenách, za dva typy indexů (bazický k průměru roku 2015 a meziroční)</w:t>
      </w:r>
      <w:r w:rsidR="000411CB" w:rsidRPr="00D82F7B">
        <w:t xml:space="preserve">. Co se týká sezónního očištění, jsou publikovány </w:t>
      </w:r>
      <w:r w:rsidR="00F94DB4" w:rsidRPr="00D82F7B">
        <w:t>údaj</w:t>
      </w:r>
      <w:r w:rsidR="000411CB" w:rsidRPr="00D82F7B">
        <w:t>e</w:t>
      </w:r>
      <w:r w:rsidR="00F94DB4" w:rsidRPr="00D82F7B">
        <w:t xml:space="preserve"> neočištěné, očištěné o kalendářní vlivy</w:t>
      </w:r>
      <w:r w:rsidR="000411CB" w:rsidRPr="00D82F7B">
        <w:t xml:space="preserve"> a</w:t>
      </w:r>
      <w:r w:rsidR="00F94DB4" w:rsidRPr="00D82F7B">
        <w:t xml:space="preserve"> sezónně očištěné údaje. </w:t>
      </w:r>
      <w:r w:rsidR="000411CB" w:rsidRPr="00D82F7B">
        <w:t xml:space="preserve">Údaje jsou zaokrouhlené na jedno desetinné místo a vyjádřené v procentech.  </w:t>
      </w:r>
    </w:p>
    <w:p w:rsidR="00F94DB4" w:rsidRPr="00D82F7B" w:rsidRDefault="00F94DB4" w:rsidP="00D82F7B">
      <w:pPr>
        <w:spacing w:line="240" w:lineRule="auto"/>
      </w:pPr>
    </w:p>
    <w:p w:rsidR="00F94DB4" w:rsidRPr="00D82F7B" w:rsidRDefault="00F94DB4" w:rsidP="00D82F7B">
      <w:pPr>
        <w:spacing w:line="240" w:lineRule="auto"/>
      </w:pPr>
      <w:r w:rsidRPr="00D82F7B">
        <w:t xml:space="preserve">Údaje jsou k dispozici za </w:t>
      </w:r>
      <w:r w:rsidR="007176BC" w:rsidRPr="00D82F7B">
        <w:t xml:space="preserve">různé úrovně </w:t>
      </w:r>
      <w:r w:rsidR="00BC52F6" w:rsidRPr="00D82F7B">
        <w:t xml:space="preserve">odvětvové </w:t>
      </w:r>
      <w:r w:rsidR="007176BC" w:rsidRPr="00D82F7B">
        <w:t>klasifikace CZ-NACE</w:t>
      </w:r>
      <w:r w:rsidR="00BC52F6" w:rsidRPr="00D82F7B">
        <w:t>.</w:t>
      </w:r>
      <w:r w:rsidRPr="00D82F7B">
        <w:t xml:space="preserve"> </w:t>
      </w:r>
    </w:p>
    <w:p w:rsidR="00F94DB4" w:rsidRPr="00D82F7B" w:rsidRDefault="00F94DB4" w:rsidP="00D82F7B">
      <w:pPr>
        <w:spacing w:line="240" w:lineRule="auto"/>
      </w:pPr>
    </w:p>
    <w:p w:rsidR="004B0EAB" w:rsidRPr="00D82F7B" w:rsidRDefault="003329E6" w:rsidP="00D82F7B">
      <w:pPr>
        <w:spacing w:line="240" w:lineRule="auto"/>
      </w:pPr>
      <w:r w:rsidRPr="00D82F7B">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jsou publikovány po zpracování všech měsíců sledovaného roku, nejpozději v červnu následujícího roku.</w:t>
      </w:r>
    </w:p>
    <w:p w:rsidR="00F94DB4" w:rsidRPr="001F5277" w:rsidRDefault="00F94DB4" w:rsidP="00F94DB4">
      <w:pPr>
        <w:spacing w:after="0" w:line="240" w:lineRule="auto"/>
        <w:rPr>
          <w:rFonts w:eastAsia="Times New Roman" w:cs="Arial"/>
          <w:szCs w:val="20"/>
          <w:lang w:eastAsia="cs-CZ"/>
        </w:rPr>
      </w:pPr>
    </w:p>
    <w:p w:rsidR="00F94DB4" w:rsidRPr="001F5277" w:rsidRDefault="00F94DB4" w:rsidP="00F94DB4">
      <w:pPr>
        <w:spacing w:after="0" w:line="240" w:lineRule="auto"/>
        <w:rPr>
          <w:rFonts w:eastAsia="Times New Roman" w:cs="Arial"/>
          <w:szCs w:val="20"/>
          <w:lang w:eastAsia="cs-CZ"/>
        </w:rPr>
      </w:pPr>
    </w:p>
    <w:p w:rsidR="00715CE1" w:rsidRPr="001F5277" w:rsidRDefault="00715CE1" w:rsidP="00D10FFF"/>
    <w:p w:rsidR="003770A0" w:rsidRPr="001F5277" w:rsidRDefault="003770A0" w:rsidP="00222387">
      <w:pPr>
        <w:pStyle w:val="Nadpis2"/>
      </w:pPr>
      <w:r w:rsidRPr="001F5277">
        <w:t>Struktura dat:</w:t>
      </w:r>
    </w:p>
    <w:p w:rsidR="00222387" w:rsidRPr="001F5277" w:rsidRDefault="00222387" w:rsidP="00222387">
      <w:r w:rsidRPr="001F5277">
        <w:t>Datovou sadu představuje CSV soubor, jednotlivé položky (tvořící sloupce) jsou zprava i zleva ohraničeny znakem ", oddělovačem položek je čárka.</w:t>
      </w:r>
    </w:p>
    <w:p w:rsidR="003E0ED7" w:rsidRPr="001F5277" w:rsidRDefault="003E0ED7" w:rsidP="00222387">
      <w:r w:rsidRPr="001F5277">
        <w:t xml:space="preserve">Každý statistický údaj tvoří jeden řádek souboru, zjištěná hodnota je ve sloupci </w:t>
      </w:r>
      <w:r w:rsidR="005B027B" w:rsidRPr="001F5277">
        <w:rPr>
          <w:i/>
        </w:rPr>
        <w:t>hodnota</w:t>
      </w:r>
      <w:r w:rsidRPr="001F5277">
        <w:t>.</w:t>
      </w:r>
    </w:p>
    <w:p w:rsidR="003E0ED7" w:rsidRPr="001F5277" w:rsidRDefault="003E0ED7" w:rsidP="00222387">
      <w:r w:rsidRPr="001F5277">
        <w:t>Statistický údaj je definován z hlediska věcného (statistická proměnná=ukazatel</w:t>
      </w:r>
      <w:r w:rsidR="00347443" w:rsidRPr="001F5277">
        <w:t>)</w:t>
      </w:r>
      <w:r w:rsidRPr="001F5277">
        <w:t>, časového (</w:t>
      </w:r>
      <w:r w:rsidR="003329E6">
        <w:t>sledované období)</w:t>
      </w:r>
      <w:r w:rsidRPr="001F5277">
        <w:t xml:space="preserve"> a územního (území).  </w:t>
      </w:r>
    </w:p>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1F73" w:rsidRPr="001F5277" w:rsidTr="000B4CC3">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341F73" w:rsidRPr="001F5277" w:rsidRDefault="00341F73" w:rsidP="00054B5C">
            <w:pPr>
              <w:rPr>
                <w:lang w:eastAsia="cs-CZ"/>
              </w:rPr>
            </w:pPr>
            <w:r w:rsidRPr="001F5277">
              <w:rPr>
                <w:lang w:eastAsia="cs-CZ"/>
              </w:rPr>
              <w:t>SLOUPEC</w:t>
            </w:r>
          </w:p>
        </w:tc>
        <w:tc>
          <w:tcPr>
            <w:tcW w:w="2879" w:type="dxa"/>
            <w:tcBorders>
              <w:top w:val="single" w:sz="4" w:space="0" w:color="auto"/>
              <w:left w:val="nil"/>
              <w:bottom w:val="single" w:sz="4" w:space="0" w:color="auto"/>
              <w:right w:val="single" w:sz="4" w:space="0" w:color="auto"/>
            </w:tcBorders>
            <w:shd w:val="clear" w:color="auto" w:fill="auto"/>
            <w:hideMark/>
          </w:tcPr>
          <w:p w:rsidR="00341F73" w:rsidRPr="001F5277" w:rsidRDefault="00341F73" w:rsidP="00054B5C">
            <w:pPr>
              <w:rPr>
                <w:lang w:eastAsia="cs-CZ"/>
              </w:rPr>
            </w:pPr>
            <w:r w:rsidRPr="001F527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341F73" w:rsidRPr="001F5277" w:rsidRDefault="00341F73" w:rsidP="00054B5C">
            <w:pPr>
              <w:rPr>
                <w:lang w:eastAsia="cs-CZ"/>
              </w:rPr>
            </w:pPr>
            <w:r w:rsidRPr="001F5277">
              <w:rPr>
                <w:lang w:eastAsia="cs-CZ"/>
              </w:rPr>
              <w:t>POZNAMKA</w:t>
            </w:r>
          </w:p>
        </w:tc>
      </w:tr>
      <w:tr w:rsidR="00341F73"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341F73" w:rsidRPr="001F5277" w:rsidRDefault="00D25C47" w:rsidP="00054B5C">
            <w:pPr>
              <w:rPr>
                <w:lang w:eastAsia="cs-CZ"/>
              </w:rPr>
            </w:pPr>
            <w:proofErr w:type="spellStart"/>
            <w:r>
              <w:rPr>
                <w:lang w:eastAsia="cs-CZ"/>
              </w:rPr>
              <w:t>i</w:t>
            </w:r>
            <w:r w:rsidR="00341F73" w:rsidRPr="001F5277">
              <w:rPr>
                <w:lang w:eastAsia="cs-CZ"/>
              </w:rPr>
              <w:t>dhod</w:t>
            </w:r>
            <w:proofErr w:type="spellEnd"/>
          </w:p>
        </w:tc>
        <w:tc>
          <w:tcPr>
            <w:tcW w:w="2879" w:type="dxa"/>
            <w:tcBorders>
              <w:top w:val="nil"/>
              <w:left w:val="nil"/>
              <w:bottom w:val="single" w:sz="4" w:space="0" w:color="auto"/>
              <w:right w:val="single" w:sz="4" w:space="0" w:color="auto"/>
            </w:tcBorders>
            <w:shd w:val="clear" w:color="auto" w:fill="auto"/>
            <w:hideMark/>
          </w:tcPr>
          <w:p w:rsidR="00341F73" w:rsidRPr="001F5277" w:rsidRDefault="00341F73" w:rsidP="00054B5C">
            <w:pPr>
              <w:rPr>
                <w:lang w:eastAsia="cs-CZ"/>
              </w:rPr>
            </w:pPr>
            <w:r w:rsidRPr="001F527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341F73" w:rsidRPr="001F5277" w:rsidRDefault="00341F73" w:rsidP="00054B5C">
            <w:pPr>
              <w:rPr>
                <w:lang w:eastAsia="cs-CZ"/>
              </w:rPr>
            </w:pPr>
            <w:r w:rsidRPr="001F5277">
              <w:rPr>
                <w:lang w:eastAsia="cs-CZ"/>
              </w:rPr>
              <w:t xml:space="preserve">využije se v případě dotazu ke konkrétnímu údaji </w:t>
            </w:r>
          </w:p>
        </w:tc>
      </w:tr>
      <w:tr w:rsidR="00AA6A13"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D25C47" w:rsidP="00AA6A13">
            <w:pPr>
              <w:rPr>
                <w:lang w:eastAsia="cs-CZ"/>
              </w:rPr>
            </w:pPr>
            <w:r>
              <w:rPr>
                <w:lang w:eastAsia="cs-CZ"/>
              </w:rPr>
              <w:t>h</w:t>
            </w:r>
            <w:r w:rsidR="00AA6A13" w:rsidRPr="001F5277">
              <w:rPr>
                <w:lang w:eastAsia="cs-CZ"/>
              </w:rPr>
              <w:t>odnota</w:t>
            </w:r>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904DD2" w:rsidRPr="001F5277" w:rsidRDefault="00AA6A13" w:rsidP="00AA6A13">
            <w:pPr>
              <w:rPr>
                <w:lang w:eastAsia="cs-CZ"/>
              </w:rPr>
            </w:pPr>
            <w:r w:rsidRPr="001F5277">
              <w:rPr>
                <w:lang w:eastAsia="cs-CZ"/>
              </w:rPr>
              <w:t>v numerickém formátu, v této datové sadě vyjadřuje cenu v Kč na 2 desetinná místa</w:t>
            </w:r>
          </w:p>
        </w:tc>
      </w:tr>
      <w:tr w:rsidR="00AA6A13"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AA6A13" w:rsidP="00AA6A13">
            <w:pPr>
              <w:rPr>
                <w:lang w:eastAsia="cs-CZ"/>
              </w:rPr>
            </w:pPr>
            <w:proofErr w:type="spellStart"/>
            <w:r w:rsidRPr="001F5277">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 xml:space="preserve">kód statistické proměnné </w:t>
            </w:r>
          </w:p>
        </w:tc>
        <w:tc>
          <w:tcPr>
            <w:tcW w:w="4597"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p>
        </w:tc>
      </w:tr>
      <w:tr w:rsidR="00AA6A13"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AA6A13" w:rsidP="00AA6A13">
            <w:pPr>
              <w:rPr>
                <w:lang w:eastAsia="cs-CZ"/>
              </w:rPr>
            </w:pPr>
            <w:proofErr w:type="spellStart"/>
            <w:r w:rsidRPr="001F5277">
              <w:rPr>
                <w:lang w:eastAsia="cs-CZ"/>
              </w:rPr>
              <w:t>casz_cis</w:t>
            </w:r>
            <w:proofErr w:type="spellEnd"/>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 xml:space="preserve">kód číselníku </w:t>
            </w:r>
            <w:r w:rsidR="0055574E">
              <w:rPr>
                <w:lang w:eastAsia="cs-CZ"/>
              </w:rPr>
              <w:t>pro základní období (typ indexu)</w:t>
            </w:r>
          </w:p>
        </w:tc>
        <w:tc>
          <w:tcPr>
            <w:tcW w:w="4597" w:type="dxa"/>
            <w:tcBorders>
              <w:top w:val="nil"/>
              <w:left w:val="nil"/>
              <w:bottom w:val="single" w:sz="4" w:space="0" w:color="auto"/>
              <w:right w:val="single" w:sz="4" w:space="0" w:color="auto"/>
            </w:tcBorders>
            <w:shd w:val="clear" w:color="auto" w:fill="auto"/>
            <w:hideMark/>
          </w:tcPr>
          <w:p w:rsidR="00AA6A13" w:rsidRPr="001F5277" w:rsidRDefault="00A53D4D" w:rsidP="00A53D4D">
            <w:pPr>
              <w:spacing w:after="0"/>
              <w:rPr>
                <w:lang w:eastAsia="cs-CZ"/>
              </w:rPr>
            </w:pPr>
            <w:r w:rsidRPr="001F5277">
              <w:rPr>
                <w:lang w:eastAsia="cs-CZ"/>
              </w:rPr>
              <w:t>v celé datové sadě použit číselník 7626</w:t>
            </w:r>
          </w:p>
        </w:tc>
      </w:tr>
      <w:tr w:rsidR="00AA6A13"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AA6A13" w:rsidP="00AA6A13">
            <w:pPr>
              <w:rPr>
                <w:lang w:eastAsia="cs-CZ"/>
              </w:rPr>
            </w:pPr>
            <w:proofErr w:type="spellStart"/>
            <w:r w:rsidRPr="001F5277">
              <w:rPr>
                <w:lang w:eastAsia="cs-CZ"/>
              </w:rPr>
              <w:t>casz_kod</w:t>
            </w:r>
            <w:proofErr w:type="spellEnd"/>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kód rozlišující základní období (typ indexu)</w:t>
            </w:r>
          </w:p>
        </w:tc>
        <w:tc>
          <w:tcPr>
            <w:tcW w:w="4597"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C - meziroční (proti stejnému měsíci předchozího roku)</w:t>
            </w:r>
          </w:p>
          <w:p w:rsidR="00AA6A13" w:rsidRPr="001F5277" w:rsidRDefault="00AA6A13" w:rsidP="00AA6A13">
            <w:pPr>
              <w:rPr>
                <w:lang w:eastAsia="cs-CZ"/>
              </w:rPr>
            </w:pPr>
            <w:r w:rsidRPr="001F5277">
              <w:rPr>
                <w:lang w:eastAsia="cs-CZ"/>
              </w:rPr>
              <w:t>Z - bazický index (proti průměru v roce 2015)</w:t>
            </w:r>
          </w:p>
        </w:tc>
      </w:tr>
      <w:tr w:rsidR="00AA6A13" w:rsidRPr="001F52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AA6A13" w:rsidP="00AA6A13">
            <w:pPr>
              <w:rPr>
                <w:lang w:eastAsia="cs-CZ"/>
              </w:rPr>
            </w:pPr>
            <w:proofErr w:type="spellStart"/>
            <w:r w:rsidRPr="001F5277">
              <w:rPr>
                <w:lang w:eastAsia="cs-CZ"/>
              </w:rPr>
              <w:t>cznace_cis</w:t>
            </w:r>
            <w:proofErr w:type="spellEnd"/>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 xml:space="preserve">kód číselníku </w:t>
            </w:r>
            <w:r w:rsidR="00BC52F6" w:rsidRPr="001F5277">
              <w:rPr>
                <w:lang w:eastAsia="cs-CZ"/>
              </w:rPr>
              <w:t>odvětví</w:t>
            </w:r>
          </w:p>
        </w:tc>
        <w:tc>
          <w:tcPr>
            <w:tcW w:w="4597" w:type="dxa"/>
            <w:tcBorders>
              <w:top w:val="nil"/>
              <w:left w:val="nil"/>
              <w:bottom w:val="single" w:sz="4" w:space="0" w:color="auto"/>
              <w:right w:val="single" w:sz="4" w:space="0" w:color="auto"/>
            </w:tcBorders>
            <w:shd w:val="clear" w:color="auto" w:fill="auto"/>
          </w:tcPr>
          <w:p w:rsidR="00AA6A13" w:rsidRPr="001F5277" w:rsidRDefault="00BC52F6" w:rsidP="00BC52F6">
            <w:pPr>
              <w:rPr>
                <w:lang w:eastAsia="cs-CZ"/>
              </w:rPr>
            </w:pPr>
            <w:r w:rsidRPr="001F5277">
              <w:rPr>
                <w:lang w:eastAsia="cs-CZ"/>
              </w:rPr>
              <w:t>použity různé úrovně klasifikace, ale také agregace některých odvětví – dále viz část Referenční údaje</w:t>
            </w:r>
          </w:p>
        </w:tc>
      </w:tr>
      <w:tr w:rsidR="00AA6A13" w:rsidRPr="001F52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AA6A13" w:rsidRPr="001F5277" w:rsidRDefault="00AA6A13" w:rsidP="00AA6A13">
            <w:pPr>
              <w:rPr>
                <w:lang w:eastAsia="cs-CZ"/>
              </w:rPr>
            </w:pPr>
            <w:proofErr w:type="spellStart"/>
            <w:r w:rsidRPr="001F5277">
              <w:rPr>
                <w:lang w:eastAsia="cs-CZ"/>
              </w:rPr>
              <w:t>cznace_kod</w:t>
            </w:r>
            <w:proofErr w:type="spellEnd"/>
          </w:p>
        </w:tc>
        <w:tc>
          <w:tcPr>
            <w:tcW w:w="2879" w:type="dxa"/>
            <w:tcBorders>
              <w:top w:val="nil"/>
              <w:left w:val="nil"/>
              <w:bottom w:val="single" w:sz="4" w:space="0" w:color="auto"/>
              <w:right w:val="single" w:sz="4" w:space="0" w:color="auto"/>
            </w:tcBorders>
            <w:shd w:val="clear" w:color="auto" w:fill="auto"/>
            <w:hideMark/>
          </w:tcPr>
          <w:p w:rsidR="00AA6A13" w:rsidRPr="001F5277" w:rsidRDefault="00AA6A13" w:rsidP="00AA6A13">
            <w:pPr>
              <w:rPr>
                <w:lang w:eastAsia="cs-CZ"/>
              </w:rPr>
            </w:pPr>
            <w:r w:rsidRPr="001F5277">
              <w:rPr>
                <w:lang w:eastAsia="cs-CZ"/>
              </w:rPr>
              <w:t>kód položky z</w:t>
            </w:r>
            <w:r w:rsidR="00BC52F6" w:rsidRPr="001F5277">
              <w:rPr>
                <w:lang w:eastAsia="cs-CZ"/>
              </w:rPr>
              <w:t> </w:t>
            </w:r>
            <w:r w:rsidRPr="001F5277">
              <w:rPr>
                <w:lang w:eastAsia="cs-CZ"/>
              </w:rPr>
              <w:t>číselníku</w:t>
            </w:r>
            <w:r w:rsidR="00BC52F6" w:rsidRPr="001F5277">
              <w:rPr>
                <w:lang w:eastAsia="cs-CZ"/>
              </w:rPr>
              <w:t xml:space="preserve"> odvětví</w:t>
            </w:r>
            <w:r w:rsidRPr="001F5277">
              <w:rPr>
                <w:lang w:eastAsia="cs-CZ"/>
              </w:rPr>
              <w:t xml:space="preserve"> </w:t>
            </w:r>
          </w:p>
        </w:tc>
        <w:tc>
          <w:tcPr>
            <w:tcW w:w="4597" w:type="dxa"/>
            <w:tcBorders>
              <w:top w:val="nil"/>
              <w:left w:val="nil"/>
              <w:bottom w:val="single" w:sz="4" w:space="0" w:color="auto"/>
              <w:right w:val="single" w:sz="4" w:space="0" w:color="auto"/>
            </w:tcBorders>
            <w:shd w:val="clear" w:color="auto" w:fill="auto"/>
          </w:tcPr>
          <w:p w:rsidR="00AA6A13" w:rsidRPr="001F5277" w:rsidRDefault="00AA6A13" w:rsidP="00AA6A13">
            <w:pPr>
              <w:rPr>
                <w:lang w:eastAsia="cs-CZ"/>
              </w:rPr>
            </w:pPr>
          </w:p>
        </w:tc>
      </w:tr>
      <w:tr w:rsidR="000F0D56"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rsidR="000F0D56" w:rsidRPr="001F5277" w:rsidRDefault="000F0D56" w:rsidP="000F0D56">
            <w:pPr>
              <w:rPr>
                <w:lang w:eastAsia="cs-CZ"/>
              </w:rPr>
            </w:pPr>
            <w:proofErr w:type="spellStart"/>
            <w:r w:rsidRPr="001F5277">
              <w:rPr>
                <w:lang w:eastAsia="cs-CZ"/>
              </w:rPr>
              <w:t>oceneni_cis</w:t>
            </w:r>
            <w:proofErr w:type="spellEnd"/>
          </w:p>
        </w:tc>
        <w:tc>
          <w:tcPr>
            <w:tcW w:w="2879" w:type="dxa"/>
            <w:tcBorders>
              <w:top w:val="nil"/>
              <w:left w:val="nil"/>
              <w:bottom w:val="single" w:sz="4" w:space="0" w:color="auto"/>
              <w:right w:val="single" w:sz="4" w:space="0" w:color="auto"/>
            </w:tcBorders>
            <w:shd w:val="clear" w:color="auto" w:fill="auto"/>
          </w:tcPr>
          <w:p w:rsidR="000F0D56" w:rsidRPr="001F5277" w:rsidRDefault="000F0D56" w:rsidP="006526D2">
            <w:pPr>
              <w:rPr>
                <w:lang w:eastAsia="cs-CZ"/>
              </w:rPr>
            </w:pPr>
            <w:r w:rsidRPr="001F5277">
              <w:rPr>
                <w:lang w:eastAsia="cs-CZ"/>
              </w:rPr>
              <w:t xml:space="preserve">kód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r w:rsidRPr="001F5277">
              <w:rPr>
                <w:lang w:eastAsia="cs-CZ"/>
              </w:rPr>
              <w:t>využívá se číselník 7603,</w:t>
            </w:r>
          </w:p>
          <w:p w:rsidR="000F0D56" w:rsidRPr="001F5277" w:rsidRDefault="00BC52F6" w:rsidP="00BC52F6">
            <w:pPr>
              <w:spacing w:after="0"/>
              <w:rPr>
                <w:lang w:eastAsia="cs-CZ"/>
              </w:rPr>
            </w:pPr>
            <w:r w:rsidRPr="001F5277">
              <w:rPr>
                <w:lang w:eastAsia="cs-CZ"/>
              </w:rPr>
              <w:t>pokud není uveden, jedná se o běžné ceny</w:t>
            </w:r>
          </w:p>
        </w:tc>
      </w:tr>
      <w:tr w:rsidR="000F0D56"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rsidR="000F0D56" w:rsidRPr="001F5277" w:rsidRDefault="000F0D56" w:rsidP="000F0D56">
            <w:pPr>
              <w:rPr>
                <w:lang w:eastAsia="cs-CZ"/>
              </w:rPr>
            </w:pPr>
            <w:proofErr w:type="spellStart"/>
            <w:r w:rsidRPr="001F5277">
              <w:rPr>
                <w:lang w:eastAsia="cs-CZ"/>
              </w:rPr>
              <w:t>oceneni_kod</w:t>
            </w:r>
            <w:proofErr w:type="spellEnd"/>
          </w:p>
        </w:tc>
        <w:tc>
          <w:tcPr>
            <w:tcW w:w="2879" w:type="dxa"/>
            <w:tcBorders>
              <w:top w:val="nil"/>
              <w:left w:val="nil"/>
              <w:bottom w:val="single" w:sz="4" w:space="0" w:color="auto"/>
              <w:right w:val="single" w:sz="4" w:space="0" w:color="auto"/>
            </w:tcBorders>
            <w:shd w:val="clear" w:color="auto" w:fill="auto"/>
          </w:tcPr>
          <w:p w:rsidR="000F0D56" w:rsidRPr="001F5277" w:rsidRDefault="000F0D56" w:rsidP="000F0D56">
            <w:pPr>
              <w:rPr>
                <w:lang w:eastAsia="cs-CZ"/>
              </w:rPr>
            </w:pPr>
            <w:r w:rsidRPr="001F5277">
              <w:rPr>
                <w:lang w:eastAsia="cs-CZ"/>
              </w:rPr>
              <w:t xml:space="preserve">kód položky z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r w:rsidRPr="001F5277">
              <w:rPr>
                <w:lang w:eastAsia="cs-CZ"/>
              </w:rPr>
              <w:t>P – stálé ceny,</w:t>
            </w:r>
          </w:p>
          <w:p w:rsidR="000F0D56" w:rsidRPr="001F5277" w:rsidRDefault="00BC52F6" w:rsidP="00BC52F6">
            <w:pPr>
              <w:spacing w:after="0"/>
              <w:rPr>
                <w:rFonts w:ascii="Calibri" w:hAnsi="Calibri"/>
                <w:color w:val="000000"/>
                <w:sz w:val="22"/>
              </w:rPr>
            </w:pPr>
            <w:r w:rsidRPr="001F5277">
              <w:rPr>
                <w:lang w:eastAsia="cs-CZ"/>
              </w:rPr>
              <w:t>pokud není uveden, jedná se o běžné ceny</w:t>
            </w:r>
          </w:p>
        </w:tc>
      </w:tr>
      <w:tr w:rsidR="00BC52F6" w:rsidRPr="001F52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C52F6" w:rsidRPr="001F5277" w:rsidRDefault="00BC52F6" w:rsidP="00BC52F6">
            <w:pPr>
              <w:rPr>
                <w:lang w:eastAsia="cs-CZ"/>
              </w:rPr>
            </w:pPr>
            <w:proofErr w:type="spellStart"/>
            <w:r w:rsidRPr="001F5277">
              <w:rPr>
                <w:lang w:eastAsia="cs-CZ"/>
              </w:rPr>
              <w:t>ocisteni_cis</w:t>
            </w:r>
            <w:proofErr w:type="spellEnd"/>
          </w:p>
        </w:tc>
        <w:tc>
          <w:tcPr>
            <w:tcW w:w="2879" w:type="dxa"/>
            <w:tcBorders>
              <w:top w:val="nil"/>
              <w:left w:val="nil"/>
              <w:bottom w:val="single" w:sz="4" w:space="0" w:color="auto"/>
              <w:right w:val="single" w:sz="4" w:space="0" w:color="auto"/>
            </w:tcBorders>
            <w:shd w:val="clear" w:color="auto" w:fill="auto"/>
            <w:hideMark/>
          </w:tcPr>
          <w:p w:rsidR="00BC52F6" w:rsidRPr="001F5277" w:rsidRDefault="00BC52F6" w:rsidP="00BC52F6">
            <w:pPr>
              <w:spacing w:after="0"/>
              <w:rPr>
                <w:lang w:eastAsia="cs-CZ"/>
              </w:rPr>
            </w:pPr>
            <w:r w:rsidRPr="001F5277">
              <w:rPr>
                <w:lang w:eastAsia="cs-CZ"/>
              </w:rPr>
              <w:t>kód číselníku pro metodu očištění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r w:rsidRPr="001F5277">
              <w:rPr>
                <w:lang w:eastAsia="cs-CZ"/>
              </w:rPr>
              <w:t>v datové sadě se využívá číselník 7604,</w:t>
            </w:r>
          </w:p>
          <w:p w:rsidR="00BC52F6" w:rsidRPr="001F5277" w:rsidRDefault="00BC52F6" w:rsidP="00BC52F6">
            <w:pPr>
              <w:spacing w:after="0"/>
              <w:rPr>
                <w:lang w:eastAsia="cs-CZ"/>
              </w:rPr>
            </w:pPr>
            <w:r w:rsidRPr="001F5277">
              <w:rPr>
                <w:lang w:eastAsia="cs-CZ"/>
              </w:rPr>
              <w:t>pokud není vyplněn, jedná se o neočištěné údaje</w:t>
            </w:r>
          </w:p>
        </w:tc>
      </w:tr>
      <w:tr w:rsidR="00BC52F6" w:rsidRPr="001F52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C52F6" w:rsidRPr="001F5277" w:rsidRDefault="00BC52F6" w:rsidP="00BC52F6">
            <w:pPr>
              <w:rPr>
                <w:lang w:eastAsia="cs-CZ"/>
              </w:rPr>
            </w:pPr>
            <w:proofErr w:type="spellStart"/>
            <w:r w:rsidRPr="001F5277">
              <w:rPr>
                <w:lang w:eastAsia="cs-CZ"/>
              </w:rPr>
              <w:t>ocisteni_kod</w:t>
            </w:r>
            <w:proofErr w:type="spellEnd"/>
          </w:p>
        </w:tc>
        <w:tc>
          <w:tcPr>
            <w:tcW w:w="2879" w:type="dxa"/>
            <w:tcBorders>
              <w:top w:val="nil"/>
              <w:left w:val="nil"/>
              <w:bottom w:val="single" w:sz="4" w:space="0" w:color="auto"/>
              <w:right w:val="single" w:sz="4" w:space="0" w:color="auto"/>
            </w:tcBorders>
            <w:shd w:val="clear" w:color="auto" w:fill="auto"/>
            <w:hideMark/>
          </w:tcPr>
          <w:p w:rsidR="00BC52F6" w:rsidRPr="001F5277" w:rsidRDefault="00BC52F6" w:rsidP="00BC52F6">
            <w:pPr>
              <w:rPr>
                <w:lang w:eastAsia="cs-CZ"/>
              </w:rPr>
            </w:pPr>
            <w:r w:rsidRPr="001F5277">
              <w:rPr>
                <w:lang w:eastAsia="cs-CZ"/>
              </w:rPr>
              <w:t xml:space="preserve">kód položky číselníku pro metodu očištění </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r w:rsidRPr="001F5277">
              <w:rPr>
                <w:lang w:eastAsia="cs-CZ"/>
              </w:rPr>
              <w:t>O - sezónně očištěno, včetně očištění o kalendářní vlivy</w:t>
            </w:r>
            <w:r w:rsidR="00D25C47">
              <w:rPr>
                <w:lang w:eastAsia="cs-CZ"/>
              </w:rPr>
              <w:t>,</w:t>
            </w:r>
          </w:p>
          <w:p w:rsidR="00BC52F6" w:rsidRPr="001F5277" w:rsidRDefault="00BC52F6" w:rsidP="00BC52F6">
            <w:pPr>
              <w:spacing w:after="0"/>
              <w:rPr>
                <w:lang w:eastAsia="cs-CZ"/>
              </w:rPr>
            </w:pPr>
            <w:r w:rsidRPr="001F5277">
              <w:rPr>
                <w:lang w:eastAsia="cs-CZ"/>
              </w:rPr>
              <w:t>P - očištěno o kalendářní vlivy, není očištěno o sezónní vlivy,</w:t>
            </w:r>
          </w:p>
          <w:p w:rsidR="00BC52F6" w:rsidRPr="001F5277" w:rsidRDefault="00BC52F6">
            <w:pPr>
              <w:spacing w:after="0"/>
              <w:rPr>
                <w:lang w:eastAsia="cs-CZ"/>
              </w:rPr>
            </w:pPr>
            <w:r w:rsidRPr="001F5277">
              <w:rPr>
                <w:lang w:eastAsia="cs-CZ"/>
              </w:rPr>
              <w:t>pokud není vyplněn, jedná se o neočištěné údaje</w:t>
            </w:r>
          </w:p>
        </w:tc>
      </w:tr>
      <w:tr w:rsidR="00BC52F6" w:rsidRPr="001F52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rsidR="00BC52F6" w:rsidRPr="001F5277" w:rsidRDefault="00374E22" w:rsidP="00374E22">
            <w:pPr>
              <w:rPr>
                <w:lang w:eastAsia="cs-CZ"/>
              </w:rPr>
            </w:pPr>
            <w:proofErr w:type="spellStart"/>
            <w:r>
              <w:rPr>
                <w:lang w:eastAsia="cs-CZ"/>
              </w:rPr>
              <w:t>m</w:t>
            </w:r>
            <w:r w:rsidR="00BC52F6" w:rsidRPr="001F5277">
              <w:rPr>
                <w:lang w:eastAsia="cs-CZ"/>
              </w:rPr>
              <w:t>esic</w:t>
            </w:r>
            <w:proofErr w:type="spellEnd"/>
          </w:p>
        </w:tc>
        <w:tc>
          <w:tcPr>
            <w:tcW w:w="2879" w:type="dxa"/>
            <w:tcBorders>
              <w:top w:val="nil"/>
              <w:left w:val="nil"/>
              <w:bottom w:val="single" w:sz="4" w:space="0" w:color="auto"/>
              <w:right w:val="single" w:sz="4" w:space="0" w:color="auto"/>
            </w:tcBorders>
            <w:shd w:val="clear" w:color="auto" w:fill="auto"/>
          </w:tcPr>
          <w:p w:rsidR="00BC52F6" w:rsidRPr="001F5277" w:rsidRDefault="00BC52F6" w:rsidP="00BC52F6">
            <w:pPr>
              <w:rPr>
                <w:lang w:eastAsia="cs-CZ"/>
              </w:rPr>
            </w:pPr>
            <w:r w:rsidRPr="001F5277">
              <w:rPr>
                <w:lang w:eastAsia="cs-CZ"/>
              </w:rPr>
              <w:t>měsíc (součást referenčního období)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p>
        </w:tc>
      </w:tr>
      <w:tr w:rsidR="00BC52F6" w:rsidRPr="001F52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hideMark/>
          </w:tcPr>
          <w:p w:rsidR="00BC52F6" w:rsidRPr="001F5277" w:rsidRDefault="00374E22" w:rsidP="00374E22">
            <w:pPr>
              <w:rPr>
                <w:lang w:eastAsia="cs-CZ"/>
              </w:rPr>
            </w:pPr>
            <w:r>
              <w:rPr>
                <w:lang w:eastAsia="cs-CZ"/>
              </w:rPr>
              <w:t>r</w:t>
            </w:r>
            <w:r w:rsidR="00BC52F6" w:rsidRPr="001F5277">
              <w:rPr>
                <w:lang w:eastAsia="cs-CZ"/>
              </w:rPr>
              <w:t>ok</w:t>
            </w:r>
          </w:p>
        </w:tc>
        <w:tc>
          <w:tcPr>
            <w:tcW w:w="2879" w:type="dxa"/>
            <w:tcBorders>
              <w:top w:val="nil"/>
              <w:left w:val="nil"/>
              <w:bottom w:val="single" w:sz="4" w:space="0" w:color="auto"/>
              <w:right w:val="single" w:sz="4" w:space="0" w:color="auto"/>
            </w:tcBorders>
            <w:shd w:val="clear" w:color="auto" w:fill="auto"/>
            <w:hideMark/>
          </w:tcPr>
          <w:p w:rsidR="00BC52F6" w:rsidRPr="001F5277" w:rsidRDefault="00BC52F6" w:rsidP="00BC52F6">
            <w:pPr>
              <w:rPr>
                <w:lang w:eastAsia="cs-CZ"/>
              </w:rPr>
            </w:pPr>
            <w:r w:rsidRPr="001F5277">
              <w:rPr>
                <w:lang w:eastAsia="cs-CZ"/>
              </w:rPr>
              <w:t>rok (součást referenčního období)</w:t>
            </w:r>
          </w:p>
        </w:tc>
        <w:tc>
          <w:tcPr>
            <w:tcW w:w="4597" w:type="dxa"/>
            <w:tcBorders>
              <w:top w:val="nil"/>
              <w:left w:val="nil"/>
              <w:bottom w:val="single" w:sz="4" w:space="0" w:color="auto"/>
              <w:right w:val="single" w:sz="4" w:space="0" w:color="auto"/>
            </w:tcBorders>
            <w:shd w:val="clear" w:color="auto" w:fill="auto"/>
            <w:hideMark/>
          </w:tcPr>
          <w:p w:rsidR="00BC52F6" w:rsidRPr="001F5277" w:rsidRDefault="00BC52F6" w:rsidP="00BC52F6">
            <w:pPr>
              <w:rPr>
                <w:lang w:eastAsia="cs-CZ"/>
              </w:rPr>
            </w:pPr>
            <w:r w:rsidRPr="001F5277">
              <w:rPr>
                <w:lang w:eastAsia="cs-CZ"/>
              </w:rPr>
              <w:t>ve formátu RRRR</w:t>
            </w:r>
          </w:p>
        </w:tc>
      </w:tr>
      <w:tr w:rsidR="00BC52F6" w:rsidRPr="001F52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rsidR="00BC52F6" w:rsidRPr="001F5277" w:rsidRDefault="00374E22" w:rsidP="00374E22">
            <w:pPr>
              <w:rPr>
                <w:lang w:eastAsia="cs-CZ"/>
              </w:rPr>
            </w:pPr>
            <w:proofErr w:type="spellStart"/>
            <w:r>
              <w:rPr>
                <w:lang w:eastAsia="cs-CZ"/>
              </w:rPr>
              <w:t>m</w:t>
            </w:r>
            <w:r w:rsidR="00BC52F6" w:rsidRPr="001F5277">
              <w:rPr>
                <w:lang w:eastAsia="cs-CZ"/>
              </w:rPr>
              <w:t>esicz</w:t>
            </w:r>
            <w:proofErr w:type="spellEnd"/>
          </w:p>
        </w:tc>
        <w:tc>
          <w:tcPr>
            <w:tcW w:w="2879" w:type="dxa"/>
            <w:tcBorders>
              <w:top w:val="nil"/>
              <w:left w:val="nil"/>
              <w:bottom w:val="single" w:sz="4" w:space="0" w:color="auto"/>
              <w:right w:val="single" w:sz="4" w:space="0" w:color="auto"/>
            </w:tcBorders>
            <w:shd w:val="clear" w:color="auto" w:fill="auto"/>
          </w:tcPr>
          <w:p w:rsidR="00BC52F6" w:rsidRPr="001F5277" w:rsidRDefault="00BC52F6" w:rsidP="00BC52F6">
            <w:pPr>
              <w:rPr>
                <w:lang w:eastAsia="cs-CZ"/>
              </w:rPr>
            </w:pPr>
            <w:r w:rsidRPr="001F5277">
              <w:rPr>
                <w:lang w:eastAsia="cs-CZ"/>
              </w:rPr>
              <w:t>měsíc  (součást bazického období)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spacing w:after="0"/>
              <w:rPr>
                <w:lang w:eastAsia="cs-CZ"/>
              </w:rPr>
            </w:pPr>
            <w:r w:rsidRPr="001F5277">
              <w:rPr>
                <w:lang w:eastAsia="cs-CZ"/>
              </w:rPr>
              <w:t>ve formátu MM, u bazických indexů není vyplněn (jedná se o průměr za všechny měsíce bazického roku)</w:t>
            </w:r>
          </w:p>
        </w:tc>
      </w:tr>
      <w:tr w:rsidR="00BC52F6" w:rsidRPr="001F52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rsidR="00BC52F6" w:rsidRPr="001F5277" w:rsidRDefault="00374E22" w:rsidP="00374E22">
            <w:pPr>
              <w:rPr>
                <w:lang w:eastAsia="cs-CZ"/>
              </w:rPr>
            </w:pPr>
            <w:proofErr w:type="spellStart"/>
            <w:r>
              <w:rPr>
                <w:lang w:eastAsia="cs-CZ"/>
              </w:rPr>
              <w:t>r</w:t>
            </w:r>
            <w:r w:rsidR="00BC52F6" w:rsidRPr="001F5277">
              <w:rPr>
                <w:lang w:eastAsia="cs-CZ"/>
              </w:rPr>
              <w:t>okz</w:t>
            </w:r>
            <w:proofErr w:type="spellEnd"/>
          </w:p>
        </w:tc>
        <w:tc>
          <w:tcPr>
            <w:tcW w:w="2879" w:type="dxa"/>
            <w:tcBorders>
              <w:top w:val="nil"/>
              <w:left w:val="nil"/>
              <w:bottom w:val="single" w:sz="4" w:space="0" w:color="auto"/>
              <w:right w:val="single" w:sz="4" w:space="0" w:color="auto"/>
            </w:tcBorders>
            <w:shd w:val="clear" w:color="auto" w:fill="auto"/>
          </w:tcPr>
          <w:p w:rsidR="00BC52F6" w:rsidRPr="001F5277" w:rsidRDefault="00BC52F6" w:rsidP="00BC52F6">
            <w:pPr>
              <w:rPr>
                <w:lang w:eastAsia="cs-CZ"/>
              </w:rPr>
            </w:pPr>
            <w:r w:rsidRPr="001F5277">
              <w:rPr>
                <w:lang w:eastAsia="cs-CZ"/>
              </w:rPr>
              <w:t>rok (součást bazického období)</w:t>
            </w:r>
          </w:p>
        </w:tc>
        <w:tc>
          <w:tcPr>
            <w:tcW w:w="4597" w:type="dxa"/>
            <w:tcBorders>
              <w:top w:val="nil"/>
              <w:left w:val="nil"/>
              <w:bottom w:val="single" w:sz="4" w:space="0" w:color="auto"/>
              <w:right w:val="single" w:sz="4" w:space="0" w:color="auto"/>
            </w:tcBorders>
            <w:shd w:val="clear" w:color="auto" w:fill="auto"/>
          </w:tcPr>
          <w:p w:rsidR="00BC52F6" w:rsidRPr="001F5277" w:rsidRDefault="00BC52F6" w:rsidP="00BC52F6">
            <w:pPr>
              <w:rPr>
                <w:lang w:eastAsia="cs-CZ"/>
              </w:rPr>
            </w:pPr>
            <w:r w:rsidRPr="001F5277">
              <w:rPr>
                <w:lang w:eastAsia="cs-CZ"/>
              </w:rPr>
              <w:t>ve formátu RRRR</w:t>
            </w:r>
          </w:p>
        </w:tc>
      </w:tr>
      <w:tr w:rsidR="00BC52F6" w:rsidRPr="001F5277" w:rsidTr="0073521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C52F6" w:rsidRPr="001F5277" w:rsidRDefault="00BC52F6" w:rsidP="00BC52F6">
            <w:pPr>
              <w:rPr>
                <w:lang w:eastAsia="cs-CZ"/>
              </w:rPr>
            </w:pPr>
            <w:proofErr w:type="spellStart"/>
            <w:r w:rsidRPr="001F5277">
              <w:rPr>
                <w:lang w:eastAsia="cs-CZ"/>
              </w:rPr>
              <w:t>stapro_txt</w:t>
            </w:r>
            <w:proofErr w:type="spellEnd"/>
          </w:p>
        </w:tc>
        <w:tc>
          <w:tcPr>
            <w:tcW w:w="2879" w:type="dxa"/>
            <w:tcBorders>
              <w:top w:val="nil"/>
              <w:left w:val="nil"/>
              <w:bottom w:val="single" w:sz="4" w:space="0" w:color="auto"/>
              <w:right w:val="single" w:sz="4" w:space="0" w:color="auto"/>
            </w:tcBorders>
            <w:shd w:val="clear" w:color="auto" w:fill="auto"/>
            <w:hideMark/>
          </w:tcPr>
          <w:p w:rsidR="00BC52F6" w:rsidRPr="001F5277" w:rsidRDefault="00BC52F6" w:rsidP="00BC52F6">
            <w:pPr>
              <w:rPr>
                <w:lang w:eastAsia="cs-CZ"/>
              </w:rPr>
            </w:pPr>
            <w:r w:rsidRPr="001F5277">
              <w:rPr>
                <w:lang w:eastAsia="cs-CZ"/>
              </w:rPr>
              <w:t>text statistické proměnné (ukazatele)</w:t>
            </w:r>
          </w:p>
        </w:tc>
        <w:tc>
          <w:tcPr>
            <w:tcW w:w="4597" w:type="dxa"/>
            <w:tcBorders>
              <w:top w:val="nil"/>
              <w:left w:val="nil"/>
              <w:bottom w:val="single" w:sz="4" w:space="0" w:color="auto"/>
              <w:right w:val="single" w:sz="4" w:space="0" w:color="auto"/>
            </w:tcBorders>
            <w:shd w:val="clear" w:color="auto" w:fill="auto"/>
            <w:hideMark/>
          </w:tcPr>
          <w:p w:rsidR="00BC52F6" w:rsidRPr="001F5277" w:rsidRDefault="00BC52F6" w:rsidP="00BC52F6">
            <w:pPr>
              <w:rPr>
                <w:lang w:eastAsia="cs-CZ"/>
              </w:rPr>
            </w:pPr>
          </w:p>
        </w:tc>
      </w:tr>
      <w:tr w:rsidR="00BC52F6" w:rsidRPr="001F5277" w:rsidTr="00A53D4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C52F6" w:rsidRPr="001F5277" w:rsidRDefault="00BC52F6" w:rsidP="00BC52F6">
            <w:pPr>
              <w:rPr>
                <w:lang w:eastAsia="cs-CZ"/>
              </w:rPr>
            </w:pPr>
            <w:proofErr w:type="spellStart"/>
            <w:r w:rsidRPr="001F5277">
              <w:rPr>
                <w:lang w:eastAsia="cs-CZ"/>
              </w:rPr>
              <w:t>casz_text</w:t>
            </w:r>
            <w:proofErr w:type="spellEnd"/>
          </w:p>
        </w:tc>
        <w:tc>
          <w:tcPr>
            <w:tcW w:w="2879" w:type="dxa"/>
            <w:tcBorders>
              <w:top w:val="nil"/>
              <w:left w:val="nil"/>
              <w:bottom w:val="single" w:sz="4" w:space="0" w:color="auto"/>
              <w:right w:val="single" w:sz="4" w:space="0" w:color="auto"/>
            </w:tcBorders>
            <w:shd w:val="clear" w:color="auto" w:fill="auto"/>
            <w:hideMark/>
          </w:tcPr>
          <w:p w:rsidR="00BC52F6" w:rsidRPr="001F5277" w:rsidRDefault="00BC52F6" w:rsidP="00E748D8">
            <w:pPr>
              <w:rPr>
                <w:lang w:eastAsia="cs-CZ"/>
              </w:rPr>
            </w:pPr>
            <w:r w:rsidRPr="001F5277">
              <w:rPr>
                <w:lang w:eastAsia="cs-CZ"/>
              </w:rPr>
              <w:t xml:space="preserve">text položky </w:t>
            </w:r>
            <w:r w:rsidR="00E748D8">
              <w:rPr>
                <w:lang w:eastAsia="cs-CZ"/>
              </w:rPr>
              <w:t>číselníku pro základní období (</w:t>
            </w:r>
            <w:r w:rsidRPr="001F5277">
              <w:rPr>
                <w:lang w:eastAsia="cs-CZ"/>
              </w:rPr>
              <w:t>typ indexu</w:t>
            </w:r>
            <w:r w:rsidR="00E748D8">
              <w:rPr>
                <w:lang w:eastAsia="cs-CZ"/>
              </w:rPr>
              <w:t>)</w:t>
            </w:r>
          </w:p>
        </w:tc>
        <w:tc>
          <w:tcPr>
            <w:tcW w:w="4597" w:type="dxa"/>
            <w:tcBorders>
              <w:top w:val="nil"/>
              <w:left w:val="nil"/>
              <w:bottom w:val="single" w:sz="4" w:space="0" w:color="auto"/>
              <w:right w:val="single" w:sz="4" w:space="0" w:color="auto"/>
            </w:tcBorders>
            <w:shd w:val="clear" w:color="auto" w:fill="auto"/>
            <w:hideMark/>
          </w:tcPr>
          <w:p w:rsidR="00BC52F6" w:rsidRPr="001F5277" w:rsidRDefault="00BC52F6" w:rsidP="00BC52F6">
            <w:pPr>
              <w:spacing w:after="0"/>
              <w:rPr>
                <w:lang w:eastAsia="cs-CZ"/>
              </w:rPr>
            </w:pPr>
          </w:p>
        </w:tc>
      </w:tr>
      <w:tr w:rsidR="00BC52F6" w:rsidRPr="001F52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BC52F6" w:rsidRPr="001F5277" w:rsidRDefault="00BC52F6" w:rsidP="00BC52F6">
            <w:pPr>
              <w:rPr>
                <w:lang w:eastAsia="cs-CZ"/>
              </w:rPr>
            </w:pPr>
            <w:proofErr w:type="spellStart"/>
            <w:r w:rsidRPr="001F5277">
              <w:rPr>
                <w:lang w:eastAsia="cs-CZ"/>
              </w:rPr>
              <w:t>cznace_txt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BC52F6" w:rsidRPr="001F5277" w:rsidRDefault="00BC52F6" w:rsidP="001B20A2">
            <w:pPr>
              <w:rPr>
                <w:lang w:eastAsia="cs-CZ"/>
              </w:rPr>
            </w:pPr>
            <w:r w:rsidRPr="001F5277">
              <w:rPr>
                <w:lang w:eastAsia="cs-CZ"/>
              </w:rPr>
              <w:t xml:space="preserve">text </w:t>
            </w:r>
            <w:r w:rsidR="001B20A2" w:rsidRPr="001F5277">
              <w:rPr>
                <w:lang w:eastAsia="cs-CZ"/>
              </w:rPr>
              <w:t>vyjadřující odvětví</w:t>
            </w:r>
            <w:r w:rsidRPr="001F5277">
              <w:rPr>
                <w:lang w:eastAsia="cs-CZ"/>
              </w:rPr>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C52F6" w:rsidRPr="001F5277" w:rsidRDefault="00BC52F6" w:rsidP="00BC52F6">
            <w:pPr>
              <w:rPr>
                <w:lang w:eastAsia="cs-CZ"/>
              </w:rPr>
            </w:pPr>
          </w:p>
        </w:tc>
      </w:tr>
      <w:tr w:rsidR="001B20A2" w:rsidRPr="001F52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1B20A2" w:rsidRPr="001F5277" w:rsidRDefault="001B20A2" w:rsidP="001B20A2">
            <w:pPr>
              <w:rPr>
                <w:lang w:eastAsia="cs-CZ"/>
              </w:rPr>
            </w:pPr>
            <w:proofErr w:type="spellStart"/>
            <w:r w:rsidRPr="001F5277">
              <w:rPr>
                <w:lang w:eastAsia="cs-CZ"/>
              </w:rPr>
              <w:t>oceneni_txt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1B20A2" w:rsidRPr="001F5277" w:rsidRDefault="001B20A2" w:rsidP="001B20A2">
            <w:pPr>
              <w:rPr>
                <w:lang w:eastAsia="cs-CZ"/>
              </w:rPr>
            </w:pPr>
            <w:r w:rsidRPr="001F5277">
              <w:rPr>
                <w:lang w:eastAsia="cs-CZ"/>
              </w:rPr>
              <w:t>text vyjadřující ocenění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1B20A2" w:rsidRPr="001F5277" w:rsidRDefault="001B20A2" w:rsidP="001B20A2">
            <w:pPr>
              <w:rPr>
                <w:lang w:eastAsia="cs-CZ"/>
              </w:rPr>
            </w:pPr>
          </w:p>
        </w:tc>
      </w:tr>
      <w:tr w:rsidR="001B20A2" w:rsidRPr="001F52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1B20A2" w:rsidRPr="001F5277" w:rsidRDefault="001B20A2" w:rsidP="001B20A2">
            <w:pPr>
              <w:rPr>
                <w:lang w:eastAsia="cs-CZ"/>
              </w:rPr>
            </w:pPr>
            <w:proofErr w:type="spellStart"/>
            <w:r w:rsidRPr="001F5277">
              <w:rPr>
                <w:lang w:eastAsia="cs-CZ"/>
              </w:rPr>
              <w:t>ocisteni</w:t>
            </w:r>
            <w:r w:rsidR="00D25C47">
              <w:rPr>
                <w:lang w:eastAsia="cs-CZ"/>
              </w:rPr>
              <w:t>_</w:t>
            </w:r>
            <w:r w:rsidRPr="001F5277">
              <w:rPr>
                <w:lang w:eastAsia="cs-CZ"/>
              </w:rPr>
              <w:t>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1B20A2" w:rsidRPr="001F5277" w:rsidRDefault="001B20A2" w:rsidP="001B20A2">
            <w:pPr>
              <w:rPr>
                <w:lang w:eastAsia="cs-CZ"/>
              </w:rPr>
            </w:pPr>
            <w:r w:rsidRPr="001F5277">
              <w:rPr>
                <w:lang w:eastAsia="cs-CZ"/>
              </w:rPr>
              <w:t>text vyjadřující metodu očištění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1B20A2" w:rsidRPr="001F5277" w:rsidRDefault="001B20A2" w:rsidP="001B20A2">
            <w:pPr>
              <w:rPr>
                <w:lang w:eastAsia="cs-CZ"/>
              </w:rPr>
            </w:pPr>
          </w:p>
        </w:tc>
      </w:tr>
    </w:tbl>
    <w:p w:rsidR="00222387" w:rsidRPr="001F5277" w:rsidRDefault="00222387" w:rsidP="00222387"/>
    <w:p w:rsidR="003770A0" w:rsidRPr="001F5277" w:rsidRDefault="003770A0" w:rsidP="00222387">
      <w:pPr>
        <w:pStyle w:val="Nadpis2"/>
      </w:pPr>
      <w:r w:rsidRPr="001F5277">
        <w:t>Použi</w:t>
      </w:r>
      <w:r w:rsidR="001B20A2" w:rsidRPr="001F5277">
        <w:t>té číselníky a referenční údaje</w:t>
      </w:r>
    </w:p>
    <w:p w:rsidR="00717798" w:rsidRPr="001F5277" w:rsidRDefault="00717798" w:rsidP="00717972"/>
    <w:p w:rsidR="00717972" w:rsidRPr="001F5277" w:rsidRDefault="00717972" w:rsidP="00717972">
      <w:r w:rsidRPr="001F5277">
        <w:t xml:space="preserve">Pro identifikaci (definování) každého statistického údaje se využívá Statistický metainformační systém ČSÚ (SMS), a to subsystém SMS-UKAZ (statistické proměnné) a SMS-KLAS (statistické číselníky a klasifikace). </w:t>
      </w:r>
    </w:p>
    <w:p w:rsidR="003770A0" w:rsidRPr="001F5277" w:rsidRDefault="00717972" w:rsidP="00222387">
      <w:r w:rsidRPr="001F5277">
        <w:t>V datové sadě jsou použity:</w:t>
      </w:r>
    </w:p>
    <w:p w:rsidR="00571178" w:rsidRPr="001F5277" w:rsidRDefault="00571178" w:rsidP="00571178">
      <w:pPr>
        <w:rPr>
          <w:rStyle w:val="Hypertextovodkaz"/>
        </w:rPr>
      </w:pPr>
      <w:r w:rsidRPr="001F5277">
        <w:rPr>
          <w:b/>
        </w:rPr>
        <w:t>Seznam statistických proměnných</w:t>
      </w:r>
      <w:r w:rsidRPr="001F5277">
        <w:t xml:space="preserve"> - </w:t>
      </w:r>
      <w:hyperlink r:id="rId7" w:history="1">
        <w:r w:rsidRPr="001F5277">
          <w:rPr>
            <w:rStyle w:val="Hypertextovodkaz"/>
          </w:rPr>
          <w:t>https://www.czso.cz/csu/czso/statisticke-promenne-ukazatele</w:t>
        </w:r>
      </w:hyperlink>
      <w:r w:rsidR="004D6BE7" w:rsidRPr="001F5277">
        <w:rPr>
          <w:rStyle w:val="Hypertextovodkaz"/>
        </w:rPr>
        <w:t xml:space="preserve"> </w:t>
      </w:r>
    </w:p>
    <w:tbl>
      <w:tblPr>
        <w:tblW w:w="8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7702"/>
      </w:tblGrid>
      <w:tr w:rsidR="00070FB5" w:rsidRPr="001F5277" w:rsidTr="00571178">
        <w:trPr>
          <w:trHeight w:val="300"/>
        </w:trPr>
        <w:tc>
          <w:tcPr>
            <w:tcW w:w="985" w:type="dxa"/>
            <w:shd w:val="clear" w:color="auto" w:fill="auto"/>
            <w:noWrap/>
            <w:hideMark/>
          </w:tcPr>
          <w:p w:rsidR="00070FB5" w:rsidRPr="001F5277" w:rsidRDefault="00374E22" w:rsidP="00571178">
            <w:pPr>
              <w:spacing w:after="0" w:line="240" w:lineRule="auto"/>
              <w:jc w:val="center"/>
              <w:rPr>
                <w:rFonts w:eastAsia="Times New Roman" w:cs="Arial"/>
                <w:color w:val="000000"/>
                <w:szCs w:val="20"/>
                <w:lang w:eastAsia="cs-CZ"/>
              </w:rPr>
            </w:pPr>
            <w:proofErr w:type="spellStart"/>
            <w:r w:rsidRPr="001F5277">
              <w:rPr>
                <w:rFonts w:eastAsia="Times New Roman" w:cs="Arial"/>
                <w:color w:val="000000"/>
                <w:szCs w:val="20"/>
                <w:lang w:eastAsia="cs-CZ"/>
              </w:rPr>
              <w:t>K</w:t>
            </w:r>
            <w:r w:rsidR="00571178" w:rsidRPr="001F5277">
              <w:rPr>
                <w:rFonts w:eastAsia="Times New Roman" w:cs="Arial"/>
                <w:color w:val="000000"/>
                <w:szCs w:val="20"/>
                <w:lang w:eastAsia="cs-CZ"/>
              </w:rPr>
              <w:t>od</w:t>
            </w:r>
            <w:proofErr w:type="spellEnd"/>
          </w:p>
        </w:tc>
        <w:tc>
          <w:tcPr>
            <w:tcW w:w="7702" w:type="dxa"/>
            <w:shd w:val="clear" w:color="auto" w:fill="auto"/>
            <w:noWrap/>
            <w:hideMark/>
          </w:tcPr>
          <w:p w:rsidR="00070FB5" w:rsidRPr="001F5277" w:rsidRDefault="00070FB5" w:rsidP="009B06EF">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TEXT</w:t>
            </w:r>
          </w:p>
        </w:tc>
      </w:tr>
      <w:tr w:rsidR="00070FB5" w:rsidRPr="001F5277" w:rsidTr="00571178">
        <w:trPr>
          <w:trHeight w:val="300"/>
        </w:trPr>
        <w:tc>
          <w:tcPr>
            <w:tcW w:w="985" w:type="dxa"/>
            <w:shd w:val="clear" w:color="auto" w:fill="auto"/>
            <w:noWrap/>
            <w:hideMark/>
          </w:tcPr>
          <w:p w:rsidR="00070FB5" w:rsidRPr="001F5277" w:rsidRDefault="007C6226" w:rsidP="003C6D65">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1007</w:t>
            </w:r>
          </w:p>
        </w:tc>
        <w:tc>
          <w:tcPr>
            <w:tcW w:w="7702" w:type="dxa"/>
            <w:shd w:val="clear" w:color="auto" w:fill="auto"/>
            <w:noWrap/>
            <w:hideMark/>
          </w:tcPr>
          <w:p w:rsidR="00070FB5" w:rsidRPr="001F5277" w:rsidRDefault="007C6226" w:rsidP="00D17119">
            <w:pPr>
              <w:spacing w:after="0" w:line="240" w:lineRule="auto"/>
              <w:jc w:val="left"/>
              <w:rPr>
                <w:rFonts w:eastAsia="Times New Roman" w:cs="Arial"/>
                <w:color w:val="000000"/>
                <w:szCs w:val="20"/>
                <w:lang w:eastAsia="cs-CZ"/>
              </w:rPr>
            </w:pPr>
            <w:r w:rsidRPr="001F5277">
              <w:rPr>
                <w:rFonts w:eastAsia="Times New Roman" w:cs="Arial"/>
                <w:color w:val="000000"/>
                <w:szCs w:val="20"/>
                <w:lang w:eastAsia="cs-CZ"/>
              </w:rPr>
              <w:t>Tržby z prodeje výrobků</w:t>
            </w:r>
            <w:r w:rsidR="00D17119">
              <w:rPr>
                <w:rFonts w:eastAsia="Times New Roman" w:cs="Arial"/>
                <w:color w:val="000000"/>
                <w:szCs w:val="20"/>
                <w:lang w:eastAsia="cs-CZ"/>
              </w:rPr>
              <w:t>,</w:t>
            </w:r>
            <w:r w:rsidR="00D25C47">
              <w:rPr>
                <w:rFonts w:eastAsia="Times New Roman" w:cs="Arial"/>
                <w:color w:val="000000"/>
                <w:szCs w:val="20"/>
                <w:lang w:eastAsia="cs-CZ"/>
              </w:rPr>
              <w:t xml:space="preserve"> </w:t>
            </w:r>
            <w:r w:rsidRPr="001F5277">
              <w:rPr>
                <w:rFonts w:eastAsia="Times New Roman" w:cs="Arial"/>
                <w:color w:val="000000"/>
                <w:szCs w:val="20"/>
                <w:lang w:eastAsia="cs-CZ"/>
              </w:rPr>
              <w:t>služeb</w:t>
            </w:r>
            <w:r w:rsidR="00D17119">
              <w:rPr>
                <w:rFonts w:eastAsia="Times New Roman" w:cs="Arial"/>
                <w:color w:val="000000"/>
                <w:szCs w:val="20"/>
                <w:lang w:eastAsia="cs-CZ"/>
              </w:rPr>
              <w:t xml:space="preserve"> a </w:t>
            </w:r>
            <w:r w:rsidR="00D17119" w:rsidRPr="001F5277">
              <w:rPr>
                <w:rFonts w:eastAsia="Times New Roman" w:cs="Arial"/>
                <w:color w:val="000000"/>
                <w:szCs w:val="20"/>
                <w:lang w:eastAsia="cs-CZ"/>
              </w:rPr>
              <w:t>zboží</w:t>
            </w:r>
          </w:p>
        </w:tc>
      </w:tr>
    </w:tbl>
    <w:p w:rsidR="00EC4A30" w:rsidRPr="001F5277" w:rsidRDefault="00EC4A30" w:rsidP="00C27DAA">
      <w:pPr>
        <w:rPr>
          <w:b/>
        </w:rPr>
      </w:pPr>
    </w:p>
    <w:p w:rsidR="00C53450" w:rsidRDefault="00C53450" w:rsidP="001F5277">
      <w:pPr>
        <w:spacing w:after="0"/>
        <w:rPr>
          <w:rFonts w:eastAsia="Times New Roman" w:cs="Arial"/>
          <w:b/>
          <w:color w:val="000000"/>
          <w:szCs w:val="20"/>
          <w:lang w:eastAsia="cs-CZ"/>
        </w:rPr>
      </w:pPr>
      <w:r w:rsidRPr="001F5277">
        <w:rPr>
          <w:rFonts w:eastAsia="Times New Roman" w:cs="Arial"/>
          <w:b/>
          <w:color w:val="000000"/>
          <w:szCs w:val="20"/>
          <w:lang w:eastAsia="cs-CZ"/>
        </w:rPr>
        <w:t xml:space="preserve">Číselníky pro odvětví </w:t>
      </w:r>
    </w:p>
    <w:p w:rsidR="001F5277" w:rsidRPr="001F5277" w:rsidRDefault="001F5277" w:rsidP="001F5277">
      <w:pPr>
        <w:spacing w:after="0"/>
        <w:rPr>
          <w:rFonts w:eastAsia="Times New Roman" w:cs="Arial"/>
          <w:b/>
          <w:color w:val="000000"/>
          <w:szCs w:val="20"/>
          <w:lang w:eastAsia="cs-CZ"/>
        </w:rPr>
      </w:pPr>
    </w:p>
    <w:p w:rsidR="00C53450" w:rsidRPr="001F5277" w:rsidRDefault="00C53450" w:rsidP="001F5277">
      <w:pPr>
        <w:spacing w:after="0"/>
      </w:pPr>
      <w:r w:rsidRPr="001F5277">
        <w:rPr>
          <w:b/>
        </w:rPr>
        <w:t>Číselník</w:t>
      </w:r>
      <w:r w:rsidRPr="001F5277">
        <w:rPr>
          <w:rFonts w:eastAsia="Times New Roman" w:cs="Arial"/>
          <w:b/>
          <w:color w:val="000000"/>
          <w:szCs w:val="20"/>
          <w:lang w:eastAsia="cs-CZ"/>
        </w:rPr>
        <w:t xml:space="preserve"> Klasifikace ekonomických činností (CZ-NACE) – agregace </w:t>
      </w:r>
      <w:r w:rsidRPr="001F5277">
        <w:t>– kód číselníku ČSÚ 5724</w:t>
      </w:r>
    </w:p>
    <w:p w:rsidR="00C53450" w:rsidRPr="001F5277" w:rsidRDefault="00D82F7B" w:rsidP="001F5277">
      <w:pPr>
        <w:spacing w:after="0"/>
        <w:rPr>
          <w:rFonts w:eastAsia="Times New Roman" w:cs="Arial"/>
          <w:color w:val="000000"/>
          <w:szCs w:val="20"/>
          <w:lang w:eastAsia="cs-CZ"/>
        </w:rPr>
      </w:pPr>
      <w:hyperlink r:id="rId8" w:history="1">
        <w:r w:rsidR="00C53450" w:rsidRPr="001F5277">
          <w:rPr>
            <w:rStyle w:val="Hypertextovodkaz"/>
            <w:rFonts w:eastAsia="Times New Roman" w:cs="Arial"/>
            <w:szCs w:val="20"/>
            <w:lang w:eastAsia="cs-CZ"/>
          </w:rPr>
          <w:t>http://apl.czso.cz/iSMS/cisexp.jsp?kodcis=5724&amp;typdat=0&amp;cisjaz=203&amp;format=0</w:t>
        </w:r>
      </w:hyperlink>
      <w:r w:rsidR="00C53450" w:rsidRPr="001F5277">
        <w:rPr>
          <w:rFonts w:eastAsia="Times New Roman" w:cs="Arial"/>
          <w:color w:val="000000"/>
          <w:szCs w:val="20"/>
          <w:lang w:eastAsia="cs-CZ"/>
        </w:rPr>
        <w:t xml:space="preserve"> </w:t>
      </w:r>
    </w:p>
    <w:p w:rsidR="001F5277" w:rsidRDefault="001F5277" w:rsidP="001F5277">
      <w:pPr>
        <w:spacing w:after="0"/>
        <w:rPr>
          <w:rFonts w:eastAsia="Times New Roman" w:cs="Arial"/>
          <w:b/>
          <w:color w:val="000000"/>
          <w:szCs w:val="20"/>
          <w:lang w:eastAsia="cs-CZ"/>
        </w:rPr>
      </w:pPr>
    </w:p>
    <w:p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1</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Sekce</w:t>
      </w:r>
      <w:r w:rsidRPr="001F5277">
        <w:rPr>
          <w:rFonts w:eastAsia="Times New Roman" w:cs="Arial"/>
          <w:b/>
          <w:color w:val="000000"/>
          <w:szCs w:val="20"/>
          <w:lang w:eastAsia="cs-CZ"/>
        </w:rPr>
        <w:t xml:space="preserve"> </w:t>
      </w:r>
      <w:r w:rsidRPr="001F5277">
        <w:t>– kód číselníku ČSÚ 5103</w:t>
      </w:r>
    </w:p>
    <w:p w:rsidR="00C53450" w:rsidRPr="001F5277" w:rsidRDefault="00D82F7B" w:rsidP="001F5277">
      <w:pPr>
        <w:spacing w:after="0"/>
        <w:rPr>
          <w:rFonts w:eastAsia="Times New Roman" w:cs="Arial"/>
          <w:color w:val="000000"/>
          <w:szCs w:val="20"/>
          <w:lang w:eastAsia="cs-CZ"/>
        </w:rPr>
      </w:pPr>
      <w:hyperlink r:id="rId9" w:history="1">
        <w:r w:rsidR="00C53450" w:rsidRPr="001F5277">
          <w:rPr>
            <w:rStyle w:val="Hypertextovodkaz"/>
            <w:rFonts w:eastAsia="Times New Roman" w:cs="Arial"/>
            <w:szCs w:val="20"/>
            <w:lang w:eastAsia="cs-CZ"/>
          </w:rPr>
          <w:t>http://apl.czso.cz/iSMS/cisexp.jsp?kodcis=5103&amp;typdat=0&amp;cisjaz=203&amp;format=0</w:t>
        </w:r>
      </w:hyperlink>
      <w:r w:rsidR="00C53450" w:rsidRPr="001F5277">
        <w:rPr>
          <w:rFonts w:eastAsia="Times New Roman" w:cs="Arial"/>
          <w:color w:val="000000"/>
          <w:szCs w:val="20"/>
          <w:lang w:eastAsia="cs-CZ"/>
        </w:rPr>
        <w:t xml:space="preserve"> </w:t>
      </w:r>
    </w:p>
    <w:p w:rsidR="001F5277" w:rsidRDefault="001F5277" w:rsidP="001F5277">
      <w:pPr>
        <w:spacing w:after="0"/>
        <w:rPr>
          <w:rFonts w:eastAsia="Times New Roman" w:cs="Arial"/>
          <w:b/>
          <w:color w:val="000000"/>
          <w:szCs w:val="20"/>
          <w:lang w:eastAsia="cs-CZ"/>
        </w:rPr>
      </w:pPr>
    </w:p>
    <w:p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2 – Oddíl </w:t>
      </w:r>
      <w:r w:rsidRPr="001F5277">
        <w:t>– kód číselníku ČSÚ 5104</w:t>
      </w:r>
    </w:p>
    <w:p w:rsidR="00C53450" w:rsidRPr="001F5277" w:rsidRDefault="00D82F7B" w:rsidP="001F5277">
      <w:pPr>
        <w:spacing w:after="0"/>
        <w:rPr>
          <w:rFonts w:eastAsia="Times New Roman" w:cs="Arial"/>
          <w:color w:val="000000"/>
          <w:szCs w:val="20"/>
          <w:lang w:eastAsia="cs-CZ"/>
        </w:rPr>
      </w:pPr>
      <w:hyperlink r:id="rId10" w:history="1">
        <w:r w:rsidR="00C53450" w:rsidRPr="001F5277">
          <w:rPr>
            <w:rStyle w:val="Hypertextovodkaz"/>
            <w:rFonts w:eastAsia="Times New Roman" w:cs="Arial"/>
            <w:szCs w:val="20"/>
            <w:lang w:eastAsia="cs-CZ"/>
          </w:rPr>
          <w:t>http://apl.czso.cz/iSMS/cisexp.jsp?kodcis=5104&amp;typdat=0&amp;cisjaz=203&amp;format=0</w:t>
        </w:r>
      </w:hyperlink>
      <w:r w:rsidR="00C53450" w:rsidRPr="001F5277">
        <w:rPr>
          <w:rFonts w:eastAsia="Times New Roman" w:cs="Arial"/>
          <w:color w:val="000000"/>
          <w:szCs w:val="20"/>
          <w:lang w:eastAsia="cs-CZ"/>
        </w:rPr>
        <w:t xml:space="preserve"> </w:t>
      </w:r>
    </w:p>
    <w:p w:rsidR="001F5277" w:rsidRDefault="001F5277" w:rsidP="001F5277">
      <w:pPr>
        <w:spacing w:after="0"/>
        <w:rPr>
          <w:rFonts w:eastAsia="Times New Roman" w:cs="Arial"/>
          <w:b/>
          <w:color w:val="000000"/>
          <w:szCs w:val="20"/>
          <w:lang w:eastAsia="cs-CZ"/>
        </w:rPr>
      </w:pPr>
    </w:p>
    <w:p w:rsidR="00C53450" w:rsidRPr="001F5277" w:rsidRDefault="00C53450" w:rsidP="001F5277">
      <w:pPr>
        <w:spacing w:after="0"/>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3</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Skupina</w:t>
      </w:r>
      <w:r w:rsidRPr="001F5277">
        <w:rPr>
          <w:rFonts w:eastAsia="Times New Roman" w:cs="Arial"/>
          <w:b/>
          <w:color w:val="000000"/>
          <w:szCs w:val="20"/>
          <w:lang w:eastAsia="cs-CZ"/>
        </w:rPr>
        <w:t xml:space="preserve"> </w:t>
      </w:r>
      <w:r w:rsidRPr="001F5277">
        <w:t>– kód číselníku ČSÚ 5105</w:t>
      </w:r>
    </w:p>
    <w:p w:rsidR="00C53450" w:rsidRPr="001F5277" w:rsidRDefault="00D82F7B" w:rsidP="001F5277">
      <w:pPr>
        <w:spacing w:after="0"/>
        <w:rPr>
          <w:rFonts w:eastAsia="Times New Roman" w:cs="Arial"/>
          <w:color w:val="000000"/>
          <w:szCs w:val="20"/>
          <w:lang w:eastAsia="cs-CZ"/>
        </w:rPr>
      </w:pPr>
      <w:hyperlink r:id="rId11" w:history="1">
        <w:r w:rsidR="00C53450" w:rsidRPr="001F5277">
          <w:rPr>
            <w:rStyle w:val="Hypertextovodkaz"/>
            <w:rFonts w:eastAsia="Times New Roman" w:cs="Arial"/>
            <w:szCs w:val="20"/>
            <w:lang w:eastAsia="cs-CZ"/>
          </w:rPr>
          <w:t>http://apl.czso.cz/iSMS/cisexp.jsp?kodcis=5105&amp;typdat=0&amp;cisjaz=203&amp;format=0</w:t>
        </w:r>
      </w:hyperlink>
      <w:r w:rsidR="00C53450" w:rsidRPr="001F5277">
        <w:rPr>
          <w:rFonts w:eastAsia="Times New Roman" w:cs="Arial"/>
          <w:color w:val="000000"/>
          <w:szCs w:val="20"/>
          <w:lang w:eastAsia="cs-CZ"/>
        </w:rPr>
        <w:t xml:space="preserve"> </w:t>
      </w:r>
    </w:p>
    <w:p w:rsidR="001F5277" w:rsidRDefault="001F5277" w:rsidP="001F5277">
      <w:pPr>
        <w:spacing w:after="0"/>
        <w:rPr>
          <w:rFonts w:eastAsia="Times New Roman" w:cs="Arial"/>
          <w:b/>
          <w:color w:val="000000"/>
          <w:szCs w:val="20"/>
          <w:lang w:eastAsia="cs-CZ"/>
        </w:rPr>
      </w:pPr>
    </w:p>
    <w:p w:rsidR="001F5277" w:rsidRDefault="00C53450" w:rsidP="001F5277">
      <w:pPr>
        <w:spacing w:after="0"/>
      </w:pPr>
      <w:r w:rsidRPr="001F5277">
        <w:rPr>
          <w:rFonts w:eastAsia="Times New Roman" w:cs="Arial"/>
          <w:b/>
          <w:color w:val="000000"/>
          <w:szCs w:val="20"/>
          <w:lang w:eastAsia="cs-CZ"/>
        </w:rPr>
        <w:t xml:space="preserve">Číselník Klasifikace ekonomických činností (CZ-NACE) </w:t>
      </w:r>
      <w:r w:rsidR="001F5277" w:rsidRPr="001F5277">
        <w:rPr>
          <w:rFonts w:eastAsia="Times New Roman" w:cs="Arial"/>
          <w:b/>
          <w:color w:val="000000"/>
          <w:szCs w:val="20"/>
          <w:lang w:eastAsia="cs-CZ"/>
        </w:rPr>
        <w:t>–</w:t>
      </w:r>
      <w:r w:rsidRPr="001F5277">
        <w:rPr>
          <w:rFonts w:eastAsia="Times New Roman" w:cs="Arial"/>
          <w:b/>
          <w:color w:val="000000"/>
          <w:szCs w:val="20"/>
          <w:lang w:eastAsia="cs-CZ"/>
        </w:rPr>
        <w:t xml:space="preserve"> úroveň</w:t>
      </w:r>
      <w:r w:rsidR="001F5277" w:rsidRPr="001F5277">
        <w:rPr>
          <w:rFonts w:eastAsia="Times New Roman" w:cs="Arial"/>
          <w:b/>
          <w:color w:val="000000"/>
          <w:szCs w:val="20"/>
          <w:lang w:eastAsia="cs-CZ"/>
        </w:rPr>
        <w:t xml:space="preserve"> 4</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Třída</w:t>
      </w:r>
      <w:r w:rsidRPr="001F5277">
        <w:rPr>
          <w:rFonts w:eastAsia="Times New Roman" w:cs="Arial"/>
          <w:b/>
          <w:color w:val="000000"/>
          <w:szCs w:val="20"/>
          <w:lang w:eastAsia="cs-CZ"/>
        </w:rPr>
        <w:t xml:space="preserve"> </w:t>
      </w:r>
      <w:r w:rsidRPr="001F5277">
        <w:t>– kód číselníku ČSÚ 5106</w:t>
      </w:r>
    </w:p>
    <w:p w:rsidR="001F5277" w:rsidRPr="001F5277" w:rsidRDefault="001F5277" w:rsidP="001F5277">
      <w:pPr>
        <w:spacing w:after="0"/>
        <w:rPr>
          <w:rFonts w:eastAsia="Times New Roman" w:cs="Arial"/>
          <w:color w:val="000000"/>
          <w:szCs w:val="20"/>
          <w:lang w:eastAsia="cs-CZ"/>
        </w:rPr>
      </w:pPr>
      <w:r>
        <w:t xml:space="preserve"> </w:t>
      </w:r>
      <w:hyperlink r:id="rId12" w:history="1">
        <w:r w:rsidRPr="001F5277">
          <w:rPr>
            <w:rStyle w:val="Hypertextovodkaz"/>
            <w:rFonts w:eastAsia="Times New Roman" w:cs="Arial"/>
            <w:szCs w:val="20"/>
            <w:lang w:eastAsia="cs-CZ"/>
          </w:rPr>
          <w:t>http://apl.czso.cz/iSMS/cisexp.jsp?kodcis=510</w:t>
        </w:r>
        <w:r>
          <w:rPr>
            <w:rStyle w:val="Hypertextovodkaz"/>
            <w:rFonts w:eastAsia="Times New Roman" w:cs="Arial"/>
            <w:szCs w:val="20"/>
            <w:lang w:eastAsia="cs-CZ"/>
          </w:rPr>
          <w:t>6</w:t>
        </w:r>
        <w:r w:rsidRPr="001F5277">
          <w:rPr>
            <w:rStyle w:val="Hypertextovodkaz"/>
            <w:rFonts w:eastAsia="Times New Roman" w:cs="Arial"/>
            <w:szCs w:val="20"/>
            <w:lang w:eastAsia="cs-CZ"/>
          </w:rPr>
          <w:t>&amp;typdat=0&amp;cisjaz=203&amp;format=0</w:t>
        </w:r>
      </w:hyperlink>
      <w:r w:rsidRPr="001F5277">
        <w:rPr>
          <w:rFonts w:eastAsia="Times New Roman" w:cs="Arial"/>
          <w:color w:val="000000"/>
          <w:szCs w:val="20"/>
          <w:lang w:eastAsia="cs-CZ"/>
        </w:rPr>
        <w:t xml:space="preserve"> </w:t>
      </w:r>
    </w:p>
    <w:p w:rsidR="00C53450" w:rsidRDefault="00C53450" w:rsidP="00C53450"/>
    <w:p w:rsidR="00C53450" w:rsidRPr="001F5277" w:rsidRDefault="001F5277" w:rsidP="00C53450">
      <w:pPr>
        <w:rPr>
          <w:rFonts w:eastAsia="Times New Roman" w:cs="Arial"/>
          <w:color w:val="000000"/>
          <w:szCs w:val="20"/>
          <w:lang w:eastAsia="cs-CZ"/>
        </w:rPr>
      </w:pPr>
      <w:r>
        <w:rPr>
          <w:rFonts w:eastAsia="Times New Roman" w:cs="Arial"/>
          <w:color w:val="000000"/>
          <w:szCs w:val="20"/>
          <w:lang w:eastAsia="cs-CZ"/>
        </w:rPr>
        <w:t xml:space="preserve"> </w:t>
      </w:r>
      <w:r w:rsidR="00C53450" w:rsidRPr="001F5277">
        <w:rPr>
          <w:rFonts w:eastAsia="Times New Roman" w:cs="Arial"/>
          <w:color w:val="000000"/>
          <w:szCs w:val="20"/>
          <w:lang w:eastAsia="cs-CZ"/>
        </w:rPr>
        <w:t xml:space="preserve"> </w:t>
      </w:r>
      <w:r>
        <w:rPr>
          <w:rFonts w:eastAsia="Times New Roman" w:cs="Arial"/>
          <w:color w:val="000000"/>
          <w:szCs w:val="20"/>
          <w:lang w:eastAsia="cs-CZ"/>
        </w:rPr>
        <w:t xml:space="preserve"> </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145"/>
        <w:gridCol w:w="7157"/>
      </w:tblGrid>
      <w:tr w:rsidR="001F5277" w:rsidRPr="001F5277" w:rsidTr="00D5098A">
        <w:trPr>
          <w:trHeight w:val="300"/>
          <w:tblHeader/>
        </w:trPr>
        <w:tc>
          <w:tcPr>
            <w:tcW w:w="840"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číselník</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položka</w:t>
            </w:r>
          </w:p>
        </w:tc>
        <w:tc>
          <w:tcPr>
            <w:tcW w:w="7157"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význam položky</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H</w:t>
            </w:r>
          </w:p>
        </w:tc>
        <w:tc>
          <w:tcPr>
            <w:tcW w:w="7157"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Doprava a skladování</w:t>
            </w:r>
            <w:r w:rsidR="00D5098A">
              <w:rPr>
                <w:rFonts w:ascii="Calibri" w:eastAsia="Times New Roman" w:hAnsi="Calibri" w:cs="Times New Roman"/>
                <w:color w:val="000000"/>
                <w:sz w:val="22"/>
                <w:lang w:eastAsia="cs-CZ"/>
              </w:rPr>
              <w:t xml:space="preserve"> (CZ-NACE H)</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 stravování a pohostinství</w:t>
            </w:r>
            <w:r w:rsidR="00D5098A">
              <w:rPr>
                <w:rFonts w:ascii="Calibri" w:eastAsia="Times New Roman" w:hAnsi="Calibri" w:cs="Times New Roman"/>
                <w:color w:val="000000"/>
                <w:sz w:val="22"/>
                <w:lang w:eastAsia="cs-CZ"/>
              </w:rPr>
              <w:t xml:space="preserve"> (CZ-NACE I)</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J</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a komunikační činnosti</w:t>
            </w:r>
            <w:r w:rsidR="00D5098A">
              <w:rPr>
                <w:rFonts w:ascii="Calibri" w:eastAsia="Times New Roman" w:hAnsi="Calibri" w:cs="Times New Roman"/>
                <w:color w:val="000000"/>
                <w:sz w:val="22"/>
                <w:lang w:eastAsia="cs-CZ"/>
              </w:rPr>
              <w:t xml:space="preserve"> (CZ-NACE J)</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N</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a podpůrné činnosti</w:t>
            </w:r>
            <w:r w:rsidR="00D5098A">
              <w:rPr>
                <w:rFonts w:ascii="Calibri" w:eastAsia="Times New Roman" w:hAnsi="Calibri" w:cs="Times New Roman"/>
                <w:color w:val="000000"/>
                <w:sz w:val="22"/>
                <w:lang w:eastAsia="cs-CZ"/>
              </w:rPr>
              <w:t xml:space="preserve"> (CZ-NACE N)</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w:t>
            </w:r>
          </w:p>
        </w:tc>
        <w:tc>
          <w:tcPr>
            <w:tcW w:w="7157"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Velkoobchod, maloobchod a opravy motorových vozidel</w:t>
            </w:r>
            <w:r w:rsidR="00D5098A">
              <w:rPr>
                <w:rFonts w:ascii="Calibri" w:eastAsia="Times New Roman" w:hAnsi="Calibri" w:cs="Times New Roman"/>
                <w:color w:val="000000"/>
                <w:sz w:val="22"/>
                <w:lang w:eastAsia="cs-CZ"/>
              </w:rPr>
              <w:t xml:space="preserve"> (CZ-NACE 45)</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motorových vozidel</w:t>
            </w:r>
            <w:r w:rsidR="00D5098A">
              <w:rPr>
                <w:rFonts w:ascii="Calibri" w:eastAsia="Times New Roman" w:hAnsi="Calibri" w:cs="Times New Roman"/>
                <w:color w:val="000000"/>
                <w:sz w:val="22"/>
                <w:lang w:eastAsia="cs-CZ"/>
              </w:rPr>
              <w:t xml:space="preserve"> (CZ-NACE 47)</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Pozemní a potrubní doprava</w:t>
            </w:r>
            <w:r w:rsidR="00D5098A">
              <w:rPr>
                <w:rFonts w:ascii="Calibri" w:eastAsia="Times New Roman" w:hAnsi="Calibri" w:cs="Times New Roman"/>
                <w:color w:val="000000"/>
                <w:sz w:val="22"/>
                <w:lang w:eastAsia="cs-CZ"/>
              </w:rPr>
              <w:t xml:space="preserve"> (CZ-NACE 49)</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50</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Vodní doprava</w:t>
            </w:r>
            <w:r w:rsidR="00D5098A">
              <w:rPr>
                <w:rFonts w:ascii="Calibri" w:eastAsia="Times New Roman" w:hAnsi="Calibri" w:cs="Times New Roman"/>
                <w:color w:val="000000"/>
                <w:sz w:val="22"/>
                <w:lang w:eastAsia="cs-CZ"/>
              </w:rPr>
              <w:t xml:space="preserve"> (CZ-NACE 50</w:t>
            </w:r>
            <w:bookmarkStart w:id="0" w:name="_GoBack"/>
            <w:bookmarkEnd w:id="0"/>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Letecká doprava</w:t>
            </w:r>
            <w:r w:rsidR="00D5098A">
              <w:rPr>
                <w:rFonts w:ascii="Calibri" w:eastAsia="Times New Roman" w:hAnsi="Calibri" w:cs="Times New Roman"/>
                <w:color w:val="000000"/>
                <w:sz w:val="22"/>
                <w:lang w:eastAsia="cs-CZ"/>
              </w:rPr>
              <w:t xml:space="preserve"> (CZ-NACE 51)</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Skladování a vedlejší činnosti v</w:t>
            </w:r>
            <w:r w:rsidR="00D5098A">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dopravě</w:t>
            </w:r>
            <w:r w:rsidR="00D5098A">
              <w:rPr>
                <w:rFonts w:ascii="Calibri" w:eastAsia="Times New Roman" w:hAnsi="Calibri" w:cs="Times New Roman"/>
                <w:color w:val="000000"/>
                <w:sz w:val="22"/>
                <w:lang w:eastAsia="cs-CZ"/>
              </w:rPr>
              <w:t xml:space="preserve"> (CZ-</w:t>
            </w:r>
            <w:proofErr w:type="spellStart"/>
            <w:r w:rsidR="00D5098A">
              <w:rPr>
                <w:rFonts w:ascii="Calibri" w:eastAsia="Times New Roman" w:hAnsi="Calibri" w:cs="Times New Roman"/>
                <w:color w:val="000000"/>
                <w:sz w:val="22"/>
                <w:lang w:eastAsia="cs-CZ"/>
              </w:rPr>
              <w:t>NACE</w:t>
            </w:r>
            <w:proofErr w:type="spellEnd"/>
            <w:r w:rsidR="00D5098A">
              <w:rPr>
                <w:rFonts w:ascii="Calibri" w:eastAsia="Times New Roman" w:hAnsi="Calibri" w:cs="Times New Roman"/>
                <w:color w:val="000000"/>
                <w:sz w:val="22"/>
                <w:lang w:eastAsia="cs-CZ"/>
              </w:rPr>
              <w:t xml:space="preserve"> 52)</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53</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Poštovní a kurýrní činnosti</w:t>
            </w:r>
            <w:r w:rsidR="00D5098A">
              <w:rPr>
                <w:rFonts w:ascii="Calibri" w:eastAsia="Times New Roman" w:hAnsi="Calibri" w:cs="Times New Roman"/>
                <w:color w:val="000000"/>
                <w:sz w:val="22"/>
                <w:lang w:eastAsia="cs-CZ"/>
              </w:rPr>
              <w:t xml:space="preserve"> (CZ-NACE 53)</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55</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w:t>
            </w:r>
            <w:r w:rsidR="00D5098A">
              <w:rPr>
                <w:rFonts w:ascii="Calibri" w:eastAsia="Times New Roman" w:hAnsi="Calibri" w:cs="Times New Roman"/>
                <w:color w:val="000000"/>
                <w:sz w:val="22"/>
                <w:lang w:eastAsia="cs-CZ"/>
              </w:rPr>
              <w:t xml:space="preserve"> (CZ-NACE 55)</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56</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Stravování a pohostinství</w:t>
            </w:r>
            <w:r w:rsidR="00D5098A">
              <w:rPr>
                <w:rFonts w:ascii="Calibri" w:eastAsia="Times New Roman" w:hAnsi="Calibri" w:cs="Times New Roman"/>
                <w:color w:val="000000"/>
                <w:sz w:val="22"/>
                <w:lang w:eastAsia="cs-CZ"/>
              </w:rPr>
              <w:t xml:space="preserve"> (CZ-NACE 56)</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58</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Vydavatelské činnosti</w:t>
            </w:r>
            <w:r w:rsidR="00D5098A">
              <w:rPr>
                <w:rFonts w:ascii="Calibri" w:eastAsia="Times New Roman" w:hAnsi="Calibri" w:cs="Times New Roman"/>
                <w:color w:val="000000"/>
                <w:sz w:val="22"/>
                <w:lang w:eastAsia="cs-CZ"/>
              </w:rPr>
              <w:t xml:space="preserve"> (CZ-NACE 58)</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59</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filmů, videozáznamů a televizních programů, pořizování zvukových nahrávek a hudební vydavatelské činnosti</w:t>
            </w:r>
            <w:r w:rsidR="00D5098A">
              <w:rPr>
                <w:rFonts w:ascii="Calibri" w:eastAsia="Times New Roman" w:hAnsi="Calibri" w:cs="Times New Roman"/>
                <w:color w:val="000000"/>
                <w:sz w:val="22"/>
                <w:lang w:eastAsia="cs-CZ"/>
              </w:rPr>
              <w:t xml:space="preserve"> (CZ-NACE 59)</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60</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Tvorba programů a vysílání</w:t>
            </w:r>
            <w:r w:rsidR="00D5098A">
              <w:rPr>
                <w:rFonts w:ascii="Calibri" w:eastAsia="Times New Roman" w:hAnsi="Calibri" w:cs="Times New Roman"/>
                <w:color w:val="000000"/>
                <w:sz w:val="22"/>
                <w:lang w:eastAsia="cs-CZ"/>
              </w:rPr>
              <w:t xml:space="preserve"> (CZ-NACE 60)</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Telekomunikační činnosti</w:t>
            </w:r>
            <w:r w:rsidR="00D5098A">
              <w:rPr>
                <w:rFonts w:ascii="Calibri" w:eastAsia="Times New Roman" w:hAnsi="Calibri" w:cs="Times New Roman"/>
                <w:color w:val="000000"/>
                <w:sz w:val="22"/>
                <w:lang w:eastAsia="cs-CZ"/>
              </w:rPr>
              <w:t xml:space="preserve"> (CZ-NACE 61)</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informačních technologií</w:t>
            </w:r>
            <w:r w:rsidR="00D5098A">
              <w:rPr>
                <w:rFonts w:ascii="Calibri" w:eastAsia="Times New Roman" w:hAnsi="Calibri" w:cs="Times New Roman"/>
                <w:color w:val="000000"/>
                <w:sz w:val="22"/>
                <w:lang w:eastAsia="cs-CZ"/>
              </w:rPr>
              <w:t xml:space="preserve"> (CZ-NACE 62)</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63</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činnosti</w:t>
            </w:r>
            <w:r w:rsidR="00D5098A">
              <w:rPr>
                <w:rFonts w:ascii="Calibri" w:eastAsia="Times New Roman" w:hAnsi="Calibri" w:cs="Times New Roman"/>
                <w:color w:val="000000"/>
                <w:sz w:val="22"/>
                <w:lang w:eastAsia="cs-CZ"/>
              </w:rPr>
              <w:t xml:space="preserve"> (CZ-NACE 63)</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68</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nemovitostí</w:t>
            </w:r>
            <w:r w:rsidR="00D5098A">
              <w:rPr>
                <w:rFonts w:ascii="Calibri" w:eastAsia="Times New Roman" w:hAnsi="Calibri" w:cs="Times New Roman"/>
                <w:color w:val="000000"/>
                <w:sz w:val="22"/>
                <w:lang w:eastAsia="cs-CZ"/>
              </w:rPr>
              <w:t xml:space="preserve"> (CZ-NACE 68)</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Architektonické a inženýrské činnosti; technické zkoušky a analýzy</w:t>
            </w:r>
            <w:r w:rsidR="00D5098A">
              <w:rPr>
                <w:rFonts w:ascii="Calibri" w:eastAsia="Times New Roman" w:hAnsi="Calibri" w:cs="Times New Roman"/>
                <w:color w:val="000000"/>
                <w:sz w:val="22"/>
                <w:lang w:eastAsia="cs-CZ"/>
              </w:rPr>
              <w:t xml:space="preserve"> (CZ-NACE 71)</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73</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Reklama a průzkum trhu</w:t>
            </w:r>
            <w:r w:rsidR="00D5098A">
              <w:rPr>
                <w:rFonts w:ascii="Calibri" w:eastAsia="Times New Roman" w:hAnsi="Calibri" w:cs="Times New Roman"/>
                <w:color w:val="000000"/>
                <w:sz w:val="22"/>
                <w:lang w:eastAsia="cs-CZ"/>
              </w:rPr>
              <w:t xml:space="preserve"> (CZ-NACE 73)</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74</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profesní, vědecké a technické činnosti</w:t>
            </w:r>
            <w:r w:rsidR="00D5098A">
              <w:rPr>
                <w:rFonts w:ascii="Calibri" w:eastAsia="Times New Roman" w:hAnsi="Calibri" w:cs="Times New Roman"/>
                <w:color w:val="000000"/>
                <w:sz w:val="22"/>
                <w:lang w:eastAsia="cs-CZ"/>
              </w:rPr>
              <w:t xml:space="preserve"> (CZ-NACE 74)</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77</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pronájmu a operativního leasingu</w:t>
            </w:r>
            <w:r w:rsidR="00D5098A">
              <w:rPr>
                <w:rFonts w:ascii="Calibri" w:eastAsia="Times New Roman" w:hAnsi="Calibri" w:cs="Times New Roman"/>
                <w:color w:val="000000"/>
                <w:sz w:val="22"/>
                <w:lang w:eastAsia="cs-CZ"/>
              </w:rPr>
              <w:t xml:space="preserve"> (CZ-NACE 77)</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78</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související se zaměstnáním</w:t>
            </w:r>
            <w:r w:rsidR="00D5098A">
              <w:rPr>
                <w:rFonts w:ascii="Calibri" w:eastAsia="Times New Roman" w:hAnsi="Calibri" w:cs="Times New Roman"/>
                <w:color w:val="000000"/>
                <w:sz w:val="22"/>
                <w:lang w:eastAsia="cs-CZ"/>
              </w:rPr>
              <w:t xml:space="preserve"> (CZ-NACE 78)</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79</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cestovních agentur, kanceláří a jiné rezervační a související činnosti</w:t>
            </w:r>
            <w:r w:rsidR="00D5098A">
              <w:rPr>
                <w:rFonts w:ascii="Calibri" w:eastAsia="Times New Roman" w:hAnsi="Calibri" w:cs="Times New Roman"/>
                <w:color w:val="000000"/>
                <w:sz w:val="22"/>
                <w:lang w:eastAsia="cs-CZ"/>
              </w:rPr>
              <w:t xml:space="preserve"> (CZ-NACE 79)</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80</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Bezpečnostní a pátrací činnosti</w:t>
            </w:r>
            <w:r w:rsidR="00D5098A">
              <w:rPr>
                <w:rFonts w:ascii="Calibri" w:eastAsia="Times New Roman" w:hAnsi="Calibri" w:cs="Times New Roman"/>
                <w:color w:val="000000"/>
                <w:sz w:val="22"/>
                <w:lang w:eastAsia="cs-CZ"/>
              </w:rPr>
              <w:t xml:space="preserve"> (CZ-NACE 80)</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kancelářské a jiné podpůrné činnosti pro podnikání</w:t>
            </w:r>
            <w:r w:rsidR="00D5098A">
              <w:rPr>
                <w:rFonts w:ascii="Calibri" w:eastAsia="Times New Roman" w:hAnsi="Calibri" w:cs="Times New Roman"/>
                <w:color w:val="000000"/>
                <w:sz w:val="22"/>
                <w:lang w:eastAsia="cs-CZ"/>
              </w:rPr>
              <w:t xml:space="preserve"> (CZ-NACE 82)</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 nespecializovaných prodejnách</w:t>
            </w:r>
            <w:r w:rsidR="00D5098A">
              <w:rPr>
                <w:rFonts w:ascii="Calibri" w:eastAsia="Times New Roman" w:hAnsi="Calibri" w:cs="Times New Roman"/>
                <w:color w:val="000000"/>
                <w:sz w:val="22"/>
                <w:lang w:eastAsia="cs-CZ"/>
              </w:rPr>
              <w:t xml:space="preserve"> (CZ-NACE 47.1)</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potravinami, nápoji a tabákovými výrobky ve specializovaných prodejnách</w:t>
            </w:r>
            <w:r w:rsidR="00D5098A">
              <w:rPr>
                <w:rFonts w:ascii="Calibri" w:eastAsia="Times New Roman" w:hAnsi="Calibri" w:cs="Times New Roman"/>
                <w:color w:val="000000"/>
                <w:sz w:val="22"/>
                <w:lang w:eastAsia="cs-CZ"/>
              </w:rPr>
              <w:t xml:space="preserve"> (CZ-NACE 47.2)</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473</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pohonnými hmotami ve specializovaných prodejnách</w:t>
            </w:r>
            <w:r w:rsidR="00D5098A">
              <w:rPr>
                <w:rFonts w:ascii="Calibri" w:eastAsia="Times New Roman" w:hAnsi="Calibri" w:cs="Times New Roman"/>
                <w:color w:val="000000"/>
                <w:sz w:val="22"/>
                <w:lang w:eastAsia="cs-CZ"/>
              </w:rPr>
              <w:t xml:space="preserve"> (CZ-NACE 47.3)</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počítačovým a komunikačním zařízením ve specializovaných prodejnách</w:t>
            </w:r>
            <w:r w:rsidR="00D5098A">
              <w:rPr>
                <w:rFonts w:ascii="Calibri" w:eastAsia="Times New Roman" w:hAnsi="Calibri" w:cs="Times New Roman"/>
                <w:color w:val="000000"/>
                <w:sz w:val="22"/>
                <w:lang w:eastAsia="cs-CZ"/>
              </w:rPr>
              <w:t xml:space="preserve"> (CZ-NACE 47.4)</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475</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ostatními výrobky převážně pro domácnost ve specializovaných prodejnách</w:t>
            </w:r>
            <w:r w:rsidR="00D5098A">
              <w:rPr>
                <w:rFonts w:ascii="Calibri" w:eastAsia="Times New Roman" w:hAnsi="Calibri" w:cs="Times New Roman"/>
                <w:color w:val="000000"/>
                <w:sz w:val="22"/>
                <w:lang w:eastAsia="cs-CZ"/>
              </w:rPr>
              <w:t xml:space="preserve"> (CZ-NACE 47.5)</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476</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výrobky pro kulturní rozhled a rekreaci ve specializovaných prodejnách</w:t>
            </w:r>
            <w:r w:rsidR="00D5098A">
              <w:rPr>
                <w:rFonts w:ascii="Calibri" w:eastAsia="Times New Roman" w:hAnsi="Calibri" w:cs="Times New Roman"/>
                <w:color w:val="000000"/>
                <w:sz w:val="22"/>
                <w:lang w:eastAsia="cs-CZ"/>
              </w:rPr>
              <w:t xml:space="preserve"> (CZ-NACE 47.6)</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477</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 zbožím ve specializovaných prodejnách</w:t>
            </w:r>
            <w:r w:rsidR="00D5098A">
              <w:rPr>
                <w:rFonts w:ascii="Calibri" w:eastAsia="Times New Roman" w:hAnsi="Calibri" w:cs="Times New Roman"/>
                <w:color w:val="000000"/>
                <w:sz w:val="22"/>
                <w:lang w:eastAsia="cs-CZ"/>
              </w:rPr>
              <w:t xml:space="preserve"> (CZ-NACE 47.7)</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479</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mimo prodejny, stánky a trhy</w:t>
            </w:r>
            <w:r w:rsidR="00D5098A">
              <w:rPr>
                <w:rFonts w:ascii="Calibri" w:eastAsia="Times New Roman" w:hAnsi="Calibri" w:cs="Times New Roman"/>
                <w:color w:val="000000"/>
                <w:sz w:val="22"/>
                <w:lang w:eastAsia="cs-CZ"/>
              </w:rPr>
              <w:t xml:space="preserve"> (CZ-NACE 47.9)</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812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Úklidové činnosti</w:t>
            </w:r>
            <w:r w:rsidR="00D5098A">
              <w:rPr>
                <w:rFonts w:ascii="Calibri" w:eastAsia="Times New Roman" w:hAnsi="Calibri" w:cs="Times New Roman"/>
                <w:color w:val="000000"/>
                <w:sz w:val="22"/>
                <w:lang w:eastAsia="cs-CZ"/>
              </w:rPr>
              <w:t xml:space="preserve"> (CZ-NACE 81.2)</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převahou potravin, nápojů a tabákových výrobků v nespecializovaných prodejnách</w:t>
            </w:r>
            <w:r w:rsidR="00D5098A">
              <w:rPr>
                <w:rFonts w:ascii="Calibri" w:eastAsia="Times New Roman" w:hAnsi="Calibri" w:cs="Times New Roman"/>
                <w:color w:val="000000"/>
                <w:sz w:val="22"/>
                <w:lang w:eastAsia="cs-CZ"/>
              </w:rPr>
              <w:t xml:space="preserve"> (CZ-NACE 47.11)</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4719</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maloobchod v nespecializovaných prodejnách</w:t>
            </w:r>
            <w:r w:rsidR="00D5098A">
              <w:rPr>
                <w:rFonts w:ascii="Calibri" w:eastAsia="Times New Roman" w:hAnsi="Calibri" w:cs="Times New Roman"/>
                <w:color w:val="000000"/>
                <w:sz w:val="22"/>
                <w:lang w:eastAsia="cs-CZ"/>
              </w:rPr>
              <w:t xml:space="preserve"> (CZ-NACE 47.19)</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45450001</w:t>
            </w:r>
          </w:p>
        </w:tc>
        <w:tc>
          <w:tcPr>
            <w:tcW w:w="7157"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s motorovými vozidly; obchod, opravy a údržba motocyklů</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45.1 + 45.3 + 45.4</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(vč.</w:t>
            </w:r>
            <w:r w:rsidR="00D5098A">
              <w:rPr>
                <w:rFonts w:ascii="Calibri" w:eastAsia="Times New Roman" w:hAnsi="Calibri" w:cs="Times New Roman"/>
                <w:color w:val="000000"/>
                <w:sz w:val="22"/>
                <w:lang w:eastAsia="cs-CZ"/>
              </w:rPr>
              <w:t xml:space="preserve"> </w:t>
            </w:r>
            <w:r w:rsidRPr="001F5277">
              <w:rPr>
                <w:rFonts w:ascii="Calibri" w:eastAsia="Times New Roman" w:hAnsi="Calibri" w:cs="Times New Roman"/>
                <w:color w:val="000000"/>
                <w:sz w:val="22"/>
                <w:lang w:eastAsia="cs-CZ"/>
              </w:rPr>
              <w:t xml:space="preserve">maloobchodního prodeje pohonných hmot) a prodej </w:t>
            </w:r>
            <w:r w:rsidR="0065491F">
              <w:rPr>
                <w:rFonts w:ascii="Calibri" w:eastAsia="Times New Roman" w:hAnsi="Calibri" w:cs="Times New Roman"/>
                <w:color w:val="000000"/>
                <w:sz w:val="22"/>
                <w:lang w:eastAsia="cs-CZ"/>
              </w:rPr>
              <w:t xml:space="preserve">a opravy </w:t>
            </w:r>
            <w:r w:rsidRPr="001F5277">
              <w:rPr>
                <w:rFonts w:ascii="Calibri" w:eastAsia="Times New Roman" w:hAnsi="Calibri" w:cs="Times New Roman"/>
                <w:color w:val="000000"/>
                <w:sz w:val="22"/>
                <w:lang w:eastAsia="cs-CZ"/>
              </w:rPr>
              <w:t>motorových vozidel</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45 + 47</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opravy a údržba motorových vozidel a maloobchodní prodej pohonných hmot</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45 + 47.3</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w:t>
            </w:r>
            <w:r w:rsidR="00D5098A">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potravinami</w:t>
            </w:r>
            <w:r w:rsidR="00D5098A">
              <w:rPr>
                <w:rFonts w:ascii="Calibri" w:eastAsia="Times New Roman" w:hAnsi="Calibri" w:cs="Times New Roman"/>
                <w:color w:val="000000"/>
                <w:sz w:val="22"/>
                <w:lang w:eastAsia="cs-CZ"/>
              </w:rPr>
              <w:t xml:space="preserve"> (CZ-</w:t>
            </w:r>
            <w:proofErr w:type="spellStart"/>
            <w:r w:rsidR="00D5098A">
              <w:rPr>
                <w:rFonts w:ascii="Calibri" w:eastAsia="Times New Roman" w:hAnsi="Calibri" w:cs="Times New Roman"/>
                <w:color w:val="000000"/>
                <w:sz w:val="22"/>
                <w:lang w:eastAsia="cs-CZ"/>
              </w:rPr>
              <w:t>NACE</w:t>
            </w:r>
            <w:proofErr w:type="spellEnd"/>
            <w:r w:rsidR="00D5098A">
              <w:rPr>
                <w:rFonts w:ascii="Calibri" w:eastAsia="Times New Roman" w:hAnsi="Calibri" w:cs="Times New Roman"/>
                <w:color w:val="000000"/>
                <w:sz w:val="22"/>
                <w:lang w:eastAsia="cs-CZ"/>
              </w:rPr>
              <w:t xml:space="preserve"> </w:t>
            </w:r>
            <w:r w:rsidR="00D5098A" w:rsidRPr="00D5098A">
              <w:rPr>
                <w:rFonts w:ascii="Calibri" w:eastAsia="Times New Roman" w:hAnsi="Calibri" w:cs="Times New Roman"/>
                <w:color w:val="000000"/>
                <w:sz w:val="22"/>
                <w:lang w:eastAsia="cs-CZ"/>
              </w:rPr>
              <w:t>47.11 + 47.2</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47470002</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nepotravinářským zbožím</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47.19 + 47.4 + 47.5 + 47.6 + 47.7 + 47.8 + 47.9</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47470003</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maloobchodního prodeje pohonných hmot</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47.1 + 47.2 + 47.4 + 47.5 + 47.6 + 47.7 + 47.8 + 47.9</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47470004</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oděvy a maloobchod s obuví a koženými výrobky</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47.71 + 47.72</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47470006</w:t>
            </w:r>
          </w:p>
        </w:tc>
        <w:tc>
          <w:tcPr>
            <w:tcW w:w="7157"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 xml:space="preserve">Maloobchod s farmaceutickým, zdravotnickým, </w:t>
            </w:r>
            <w:proofErr w:type="spellStart"/>
            <w:r w:rsidRPr="001F5277">
              <w:rPr>
                <w:rFonts w:ascii="Calibri" w:eastAsia="Times New Roman" w:hAnsi="Calibri" w:cs="Times New Roman"/>
                <w:color w:val="000000"/>
                <w:sz w:val="22"/>
                <w:lang w:eastAsia="cs-CZ"/>
              </w:rPr>
              <w:t>kosmetic</w:t>
            </w:r>
            <w:proofErr w:type="spellEnd"/>
            <w:r w:rsidRPr="001F5277">
              <w:rPr>
                <w:rFonts w:ascii="Calibri" w:eastAsia="Times New Roman" w:hAnsi="Calibri" w:cs="Times New Roman"/>
                <w:color w:val="000000"/>
                <w:sz w:val="22"/>
                <w:lang w:eastAsia="cs-CZ"/>
              </w:rPr>
              <w:t xml:space="preserve">. a drogistickým zbožím ve </w:t>
            </w:r>
            <w:proofErr w:type="spellStart"/>
            <w:r w:rsidRPr="001F5277">
              <w:rPr>
                <w:rFonts w:ascii="Calibri" w:eastAsia="Times New Roman" w:hAnsi="Calibri" w:cs="Times New Roman"/>
                <w:color w:val="000000"/>
                <w:sz w:val="22"/>
                <w:lang w:eastAsia="cs-CZ"/>
              </w:rPr>
              <w:t>specializ</w:t>
            </w:r>
            <w:proofErr w:type="spellEnd"/>
            <w:r w:rsidRPr="001F5277">
              <w:rPr>
                <w:rFonts w:ascii="Calibri" w:eastAsia="Times New Roman" w:hAnsi="Calibri" w:cs="Times New Roman"/>
                <w:color w:val="000000"/>
                <w:sz w:val="22"/>
                <w:lang w:eastAsia="cs-CZ"/>
              </w:rPr>
              <w:t xml:space="preserve">. </w:t>
            </w:r>
            <w:r w:rsidR="00D25C47">
              <w:rPr>
                <w:rFonts w:ascii="Calibri" w:eastAsia="Times New Roman" w:hAnsi="Calibri" w:cs="Times New Roman"/>
                <w:color w:val="000000"/>
                <w:sz w:val="22"/>
                <w:lang w:eastAsia="cs-CZ"/>
              </w:rPr>
              <w:t>p</w:t>
            </w:r>
            <w:r w:rsidRPr="001F5277">
              <w:rPr>
                <w:rFonts w:ascii="Calibri" w:eastAsia="Times New Roman" w:hAnsi="Calibri" w:cs="Times New Roman"/>
                <w:color w:val="000000"/>
                <w:sz w:val="22"/>
                <w:lang w:eastAsia="cs-CZ"/>
              </w:rPr>
              <w:t>rodejnách</w:t>
            </w:r>
            <w:r w:rsidR="00D5098A">
              <w:rPr>
                <w:rFonts w:ascii="Calibri" w:eastAsia="Times New Roman" w:hAnsi="Calibri" w:cs="Times New Roman"/>
                <w:color w:val="000000"/>
                <w:sz w:val="22"/>
                <w:lang w:eastAsia="cs-CZ"/>
              </w:rPr>
              <w:t xml:space="preserve"> (CZ-</w:t>
            </w:r>
            <w:proofErr w:type="spellStart"/>
            <w:r w:rsidR="00D5098A">
              <w:rPr>
                <w:rFonts w:ascii="Calibri" w:eastAsia="Times New Roman" w:hAnsi="Calibri" w:cs="Times New Roman"/>
                <w:color w:val="000000"/>
                <w:sz w:val="22"/>
                <w:lang w:eastAsia="cs-CZ"/>
              </w:rPr>
              <w:t>NACE</w:t>
            </w:r>
            <w:proofErr w:type="spellEnd"/>
            <w:r w:rsidR="00D5098A">
              <w:rPr>
                <w:rFonts w:ascii="Calibri" w:eastAsia="Times New Roman" w:hAnsi="Calibri" w:cs="Times New Roman"/>
                <w:color w:val="000000"/>
                <w:sz w:val="22"/>
                <w:lang w:eastAsia="cs-CZ"/>
              </w:rPr>
              <w:t xml:space="preserve"> </w:t>
            </w:r>
            <w:r w:rsidR="00D5098A" w:rsidRPr="00D5098A">
              <w:rPr>
                <w:rFonts w:ascii="Calibri" w:eastAsia="Times New Roman" w:hAnsi="Calibri" w:cs="Times New Roman"/>
                <w:color w:val="000000"/>
                <w:sz w:val="22"/>
                <w:lang w:eastAsia="cs-CZ"/>
              </w:rPr>
              <w:t>47.73 + 47.74 + 47.75</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49820001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Služby celkem</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H + I + J + L + M + N</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69700001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Právní a účetnické činnosti a poradenství v oblasti řízení</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69 + 70.2</w:t>
            </w:r>
            <w:r w:rsidR="00D5098A">
              <w:rPr>
                <w:rFonts w:ascii="Calibri" w:eastAsia="Times New Roman" w:hAnsi="Calibri" w:cs="Times New Roman"/>
                <w:color w:val="000000"/>
                <w:sz w:val="22"/>
                <w:lang w:eastAsia="cs-CZ"/>
              </w:rPr>
              <w:t>)</w:t>
            </w:r>
          </w:p>
        </w:tc>
      </w:tr>
      <w:tr w:rsidR="001F5277" w:rsidRPr="001F5277" w:rsidTr="00D5098A">
        <w:trPr>
          <w:trHeight w:val="300"/>
        </w:trPr>
        <w:tc>
          <w:tcPr>
            <w:tcW w:w="840" w:type="dxa"/>
            <w:shd w:val="clear" w:color="auto" w:fill="auto"/>
            <w:noWrap/>
            <w:vAlign w:val="bottom"/>
            <w:hideMark/>
          </w:tcPr>
          <w:p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69740001</w:t>
            </w:r>
          </w:p>
        </w:tc>
        <w:tc>
          <w:tcPr>
            <w:tcW w:w="7157" w:type="dxa"/>
            <w:shd w:val="clear" w:color="auto" w:fill="auto"/>
            <w:noWrap/>
            <w:vAlign w:val="bottom"/>
            <w:hideMark/>
          </w:tcPr>
          <w:p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Profesní, vědecké a technické činnosti</w:t>
            </w:r>
            <w:r w:rsidR="00D5098A">
              <w:rPr>
                <w:rFonts w:ascii="Calibri" w:eastAsia="Times New Roman" w:hAnsi="Calibri" w:cs="Times New Roman"/>
                <w:color w:val="000000"/>
                <w:sz w:val="22"/>
                <w:lang w:eastAsia="cs-CZ"/>
              </w:rPr>
              <w:t xml:space="preserve"> (CZ-NACE </w:t>
            </w:r>
            <w:r w:rsidR="00D5098A" w:rsidRPr="00D5098A">
              <w:rPr>
                <w:rFonts w:ascii="Calibri" w:eastAsia="Times New Roman" w:hAnsi="Calibri" w:cs="Times New Roman"/>
                <w:color w:val="000000"/>
                <w:sz w:val="22"/>
                <w:lang w:eastAsia="cs-CZ"/>
              </w:rPr>
              <w:t>69 + 70 + 71 + 73 + 74</w:t>
            </w:r>
            <w:r w:rsidR="00D5098A">
              <w:rPr>
                <w:rFonts w:ascii="Calibri" w:eastAsia="Times New Roman" w:hAnsi="Calibri" w:cs="Times New Roman"/>
                <w:color w:val="000000"/>
                <w:sz w:val="22"/>
                <w:lang w:eastAsia="cs-CZ"/>
              </w:rPr>
              <w:t>)</w:t>
            </w:r>
          </w:p>
        </w:tc>
      </w:tr>
    </w:tbl>
    <w:p w:rsidR="00C53450" w:rsidRPr="001F5277" w:rsidRDefault="00C53450" w:rsidP="00C53450">
      <w:pPr>
        <w:rPr>
          <w:b/>
        </w:rPr>
      </w:pPr>
    </w:p>
    <w:p w:rsidR="00C53450" w:rsidRPr="001F5277" w:rsidRDefault="00C53450" w:rsidP="00C53450">
      <w:r w:rsidRPr="001F5277">
        <w:rPr>
          <w:b/>
        </w:rPr>
        <w:t xml:space="preserve">Číselník Určení základního období </w:t>
      </w:r>
      <w:r w:rsidRPr="001F5277">
        <w:t xml:space="preserve">– kód číselníku ČSÚ 7626 </w:t>
      </w:r>
    </w:p>
    <w:p w:rsidR="00C53450" w:rsidRPr="001F5277" w:rsidRDefault="00D82F7B" w:rsidP="00C53450">
      <w:hyperlink r:id="rId13" w:history="1">
        <w:r w:rsidR="00C53450" w:rsidRPr="001F5277">
          <w:rPr>
            <w:rStyle w:val="Hypertextovodkaz"/>
          </w:rPr>
          <w:t>http://apl.czso.cz/iSMS/cisexp.jsp?kodcis=5584&amp;typdat=0&amp;cisjaz=203&amp;format=0</w:t>
        </w:r>
      </w:hyperlink>
      <w:r w:rsidR="00C53450" w:rsidRPr="001F5277">
        <w:t xml:space="preserve"> </w:t>
      </w:r>
    </w:p>
    <w:p w:rsidR="00C53450" w:rsidRPr="001F5277" w:rsidRDefault="00C53450" w:rsidP="00C53450">
      <w:pPr>
        <w:rPr>
          <w:b/>
        </w:rPr>
      </w:pPr>
    </w:p>
    <w:p w:rsidR="00C53450" w:rsidRPr="001F5277" w:rsidRDefault="00C53450" w:rsidP="00C53450">
      <w:r w:rsidRPr="001F5277">
        <w:rPr>
          <w:b/>
        </w:rPr>
        <w:t xml:space="preserve">Číselník Specifikace cenové hladiny </w:t>
      </w:r>
      <w:r w:rsidRPr="001F5277">
        <w:t xml:space="preserve">– kód číselníku ČSÚ 7603 </w:t>
      </w:r>
    </w:p>
    <w:p w:rsidR="00C53450" w:rsidRPr="001F5277" w:rsidRDefault="00C53450" w:rsidP="00C53450">
      <w:pPr>
        <w:rPr>
          <w:b/>
        </w:rPr>
      </w:pPr>
      <w:r w:rsidRPr="001F5277">
        <w:rPr>
          <w:rStyle w:val="Hypertextovodkaz"/>
        </w:rPr>
        <w:t>http://apl.czso.cz/iSMS/cisexp.jsp?</w:t>
      </w:r>
      <w:hyperlink r:id="rId14" w:history="1">
        <w:r w:rsidRPr="001F5277">
          <w:rPr>
            <w:rStyle w:val="Hypertextovodkaz"/>
          </w:rPr>
          <w:t>kodcis</w:t>
        </w:r>
      </w:hyperlink>
      <w:r w:rsidRPr="001F5277">
        <w:rPr>
          <w:rStyle w:val="Hypertextovodkaz"/>
        </w:rPr>
        <w:t>=7603&amp;typdat=0&amp;cisjaz=203&amp;format=0</w:t>
      </w:r>
    </w:p>
    <w:p w:rsidR="00C53450" w:rsidRPr="001F5277" w:rsidRDefault="00C53450" w:rsidP="00C53450">
      <w:pPr>
        <w:rPr>
          <w:b/>
        </w:rPr>
      </w:pPr>
    </w:p>
    <w:p w:rsidR="00C53450" w:rsidRPr="001F5277" w:rsidRDefault="00C53450" w:rsidP="00C53450">
      <w:r w:rsidRPr="001F5277">
        <w:rPr>
          <w:b/>
        </w:rPr>
        <w:t xml:space="preserve">Číselník Sezónní a jiná očištění – základní </w:t>
      </w:r>
      <w:r w:rsidRPr="001F5277">
        <w:t xml:space="preserve">– kód číselníku ČSÚ 7604 </w:t>
      </w:r>
    </w:p>
    <w:p w:rsidR="00C53450" w:rsidRPr="001F5277" w:rsidRDefault="00D82F7B" w:rsidP="00C53450">
      <w:hyperlink r:id="rId15" w:history="1">
        <w:r w:rsidR="00C53450" w:rsidRPr="001F5277">
          <w:rPr>
            <w:rStyle w:val="Hypertextovodkaz"/>
          </w:rPr>
          <w:t>http://apl.czso.cz/iSMS/cisexp.jsp?kodcis=7604&amp;typdat=0&amp;cisjaz=203&amp;format=0</w:t>
        </w:r>
      </w:hyperlink>
      <w:r w:rsidR="00C53450" w:rsidRPr="001F5277">
        <w:t xml:space="preserve"> </w:t>
      </w:r>
    </w:p>
    <w:p w:rsidR="00C53450" w:rsidRPr="001F5277" w:rsidRDefault="00C53450" w:rsidP="00222387">
      <w:pPr>
        <w:rPr>
          <w:rFonts w:eastAsia="Times New Roman" w:cs="Arial"/>
          <w:b/>
          <w:color w:val="000000"/>
          <w:szCs w:val="20"/>
          <w:lang w:eastAsia="cs-CZ"/>
        </w:rPr>
      </w:pPr>
    </w:p>
    <w:p w:rsidR="00C27DAA" w:rsidRPr="001F5277" w:rsidRDefault="00C27DAA" w:rsidP="00222387">
      <w:pPr>
        <w:rPr>
          <w:rFonts w:eastAsia="Times New Roman" w:cs="Arial"/>
          <w:b/>
          <w:color w:val="000000"/>
          <w:szCs w:val="20"/>
          <w:lang w:eastAsia="cs-CZ"/>
        </w:rPr>
      </w:pPr>
      <w:r w:rsidRPr="001F5277">
        <w:rPr>
          <w:rFonts w:eastAsia="Times New Roman" w:cs="Arial"/>
          <w:b/>
          <w:color w:val="000000"/>
          <w:szCs w:val="20"/>
          <w:lang w:eastAsia="cs-CZ"/>
        </w:rPr>
        <w:t>Časové vymezení</w:t>
      </w:r>
    </w:p>
    <w:p w:rsidR="00C53450" w:rsidRPr="001F5277" w:rsidRDefault="00C53450" w:rsidP="00C53450">
      <w:pPr>
        <w:rPr>
          <w:rFonts w:eastAsia="Times New Roman" w:cs="Arial"/>
          <w:color w:val="000000"/>
          <w:szCs w:val="20"/>
          <w:lang w:eastAsia="cs-CZ"/>
        </w:rPr>
      </w:pPr>
      <w:r w:rsidRPr="001F5277">
        <w:rPr>
          <w:rFonts w:eastAsia="Times New Roman" w:cs="Arial"/>
          <w:color w:val="000000"/>
          <w:szCs w:val="20"/>
          <w:lang w:eastAsia="cs-CZ"/>
        </w:rPr>
        <w:t>Datová sada obsahuje měsíční údaje, rok a měsíc sledovaného období jsou uvedeny v samostatných sloupcích, je uveden rovněž měsíc a rok bazického období, ke kterému se sledované údaje vztahují.</w:t>
      </w:r>
    </w:p>
    <w:p w:rsidR="005C7437" w:rsidRPr="00C27DAA" w:rsidRDefault="00C53450" w:rsidP="00C53450">
      <w:pPr>
        <w:rPr>
          <w:rFonts w:eastAsia="Times New Roman" w:cs="Arial"/>
          <w:color w:val="000000"/>
          <w:szCs w:val="20"/>
          <w:lang w:eastAsia="cs-CZ"/>
        </w:rPr>
      </w:pPr>
      <w:r w:rsidRPr="001F5277">
        <w:rPr>
          <w:rFonts w:eastAsia="Times New Roman" w:cs="Arial"/>
          <w:color w:val="000000"/>
          <w:szCs w:val="20"/>
          <w:lang w:eastAsia="cs-CZ"/>
        </w:rPr>
        <w:t>Časová řada začíná lednem 2000</w:t>
      </w:r>
      <w:r w:rsidR="000411CB">
        <w:rPr>
          <w:rFonts w:eastAsia="Times New Roman" w:cs="Arial"/>
          <w:color w:val="000000"/>
          <w:szCs w:val="20"/>
          <w:lang w:eastAsia="cs-CZ"/>
        </w:rPr>
        <w:t xml:space="preserve"> popř. lednem 2005</w:t>
      </w:r>
      <w:r w:rsidRPr="001F5277">
        <w:rPr>
          <w:rFonts w:eastAsia="Times New Roman" w:cs="Arial"/>
          <w:color w:val="000000"/>
          <w:szCs w:val="20"/>
          <w:lang w:eastAsia="cs-CZ"/>
        </w:rPr>
        <w:t>.</w:t>
      </w:r>
      <w:r w:rsidR="001F5277" w:rsidRPr="00C27DAA">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3770A0"/>
    <w:rsid w:val="00021988"/>
    <w:rsid w:val="000411CB"/>
    <w:rsid w:val="00070FB5"/>
    <w:rsid w:val="000A6AD0"/>
    <w:rsid w:val="000B4CC3"/>
    <w:rsid w:val="000E69C3"/>
    <w:rsid w:val="000F0D56"/>
    <w:rsid w:val="00111090"/>
    <w:rsid w:val="00116DCD"/>
    <w:rsid w:val="0013212B"/>
    <w:rsid w:val="00141DC7"/>
    <w:rsid w:val="001447CB"/>
    <w:rsid w:val="001618CD"/>
    <w:rsid w:val="00161AC3"/>
    <w:rsid w:val="00192F96"/>
    <w:rsid w:val="001A2F1C"/>
    <w:rsid w:val="001B20A2"/>
    <w:rsid w:val="001E4168"/>
    <w:rsid w:val="001F2DB8"/>
    <w:rsid w:val="001F5277"/>
    <w:rsid w:val="00217962"/>
    <w:rsid w:val="00222387"/>
    <w:rsid w:val="00243D92"/>
    <w:rsid w:val="002531AE"/>
    <w:rsid w:val="003259D9"/>
    <w:rsid w:val="003329E6"/>
    <w:rsid w:val="00341F73"/>
    <w:rsid w:val="003469AC"/>
    <w:rsid w:val="00347443"/>
    <w:rsid w:val="0036737E"/>
    <w:rsid w:val="003721AA"/>
    <w:rsid w:val="003727F5"/>
    <w:rsid w:val="00374E22"/>
    <w:rsid w:val="003770A0"/>
    <w:rsid w:val="0039075C"/>
    <w:rsid w:val="003A0180"/>
    <w:rsid w:val="003A349C"/>
    <w:rsid w:val="003C3C63"/>
    <w:rsid w:val="003C6D65"/>
    <w:rsid w:val="003D0144"/>
    <w:rsid w:val="003E0ED7"/>
    <w:rsid w:val="0041591F"/>
    <w:rsid w:val="00427BC7"/>
    <w:rsid w:val="004357C5"/>
    <w:rsid w:val="004B0EAB"/>
    <w:rsid w:val="004C3390"/>
    <w:rsid w:val="004D6BE7"/>
    <w:rsid w:val="004E47F3"/>
    <w:rsid w:val="00526A21"/>
    <w:rsid w:val="0055574E"/>
    <w:rsid w:val="00571178"/>
    <w:rsid w:val="00573AFB"/>
    <w:rsid w:val="0058334C"/>
    <w:rsid w:val="005B027B"/>
    <w:rsid w:val="005B31CE"/>
    <w:rsid w:val="005C7437"/>
    <w:rsid w:val="005F1D35"/>
    <w:rsid w:val="005F668F"/>
    <w:rsid w:val="00603920"/>
    <w:rsid w:val="006269C0"/>
    <w:rsid w:val="00645704"/>
    <w:rsid w:val="006462A7"/>
    <w:rsid w:val="006505BC"/>
    <w:rsid w:val="006526D2"/>
    <w:rsid w:val="00653991"/>
    <w:rsid w:val="0065491F"/>
    <w:rsid w:val="00715CE1"/>
    <w:rsid w:val="007176BC"/>
    <w:rsid w:val="00717798"/>
    <w:rsid w:val="00717972"/>
    <w:rsid w:val="0073521D"/>
    <w:rsid w:val="00757006"/>
    <w:rsid w:val="0079430A"/>
    <w:rsid w:val="007C6226"/>
    <w:rsid w:val="007E3C0B"/>
    <w:rsid w:val="00804D77"/>
    <w:rsid w:val="008207F9"/>
    <w:rsid w:val="008244BC"/>
    <w:rsid w:val="00885388"/>
    <w:rsid w:val="008954BC"/>
    <w:rsid w:val="008A20ED"/>
    <w:rsid w:val="008A4DB6"/>
    <w:rsid w:val="008C7634"/>
    <w:rsid w:val="008C7F12"/>
    <w:rsid w:val="008E54F2"/>
    <w:rsid w:val="008F6FEA"/>
    <w:rsid w:val="00904DD2"/>
    <w:rsid w:val="00911D3A"/>
    <w:rsid w:val="00935DD9"/>
    <w:rsid w:val="00981B0F"/>
    <w:rsid w:val="009D2211"/>
    <w:rsid w:val="009E45D2"/>
    <w:rsid w:val="009F0AD8"/>
    <w:rsid w:val="00A53D4D"/>
    <w:rsid w:val="00AA6A13"/>
    <w:rsid w:val="00AE194B"/>
    <w:rsid w:val="00B374CE"/>
    <w:rsid w:val="00B46285"/>
    <w:rsid w:val="00BB766E"/>
    <w:rsid w:val="00BC52F6"/>
    <w:rsid w:val="00BD50F4"/>
    <w:rsid w:val="00BE5F60"/>
    <w:rsid w:val="00C27DAA"/>
    <w:rsid w:val="00C31E02"/>
    <w:rsid w:val="00C4651B"/>
    <w:rsid w:val="00C53450"/>
    <w:rsid w:val="00C71A7A"/>
    <w:rsid w:val="00C74D82"/>
    <w:rsid w:val="00C77E64"/>
    <w:rsid w:val="00C94754"/>
    <w:rsid w:val="00D10FFF"/>
    <w:rsid w:val="00D127CC"/>
    <w:rsid w:val="00D17119"/>
    <w:rsid w:val="00D25C47"/>
    <w:rsid w:val="00D46F79"/>
    <w:rsid w:val="00D5098A"/>
    <w:rsid w:val="00D539D1"/>
    <w:rsid w:val="00D82F7B"/>
    <w:rsid w:val="00D87FCF"/>
    <w:rsid w:val="00DA59DF"/>
    <w:rsid w:val="00DA719B"/>
    <w:rsid w:val="00E13299"/>
    <w:rsid w:val="00E748D8"/>
    <w:rsid w:val="00E906A3"/>
    <w:rsid w:val="00EC14FF"/>
    <w:rsid w:val="00EC4A30"/>
    <w:rsid w:val="00EE78D1"/>
    <w:rsid w:val="00F03115"/>
    <w:rsid w:val="00F30E98"/>
    <w:rsid w:val="00F4243C"/>
    <w:rsid w:val="00F94DB4"/>
    <w:rsid w:val="00FA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4C5AC-A342-4FB8-97DA-47F8535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iceouttxt">
    <w:name w:val="iceouttxt"/>
    <w:basedOn w:val="Standardnpsmoodstavce"/>
    <w:rsid w:val="0039075C"/>
  </w:style>
  <w:style w:type="paragraph" w:styleId="Zkladntext">
    <w:name w:val="Body Text"/>
    <w:basedOn w:val="Normln"/>
    <w:link w:val="ZkladntextChar"/>
    <w:uiPriority w:val="99"/>
    <w:semiHidden/>
    <w:unhideWhenUsed/>
    <w:rsid w:val="00715CE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15CE1"/>
    <w:rPr>
      <w:rFonts w:ascii="Times New Roman" w:eastAsia="Times New Roman" w:hAnsi="Times New Roman" w:cs="Times New Roman"/>
      <w:color w:val="auto"/>
      <w:sz w:val="24"/>
      <w:szCs w:val="24"/>
      <w:lang w:eastAsia="cs-CZ"/>
    </w:rPr>
  </w:style>
  <w:style w:type="character" w:customStyle="1" w:styleId="content">
    <w:name w:val="content"/>
    <w:basedOn w:val="Standardnpsmoodstavce"/>
    <w:rsid w:val="0073521D"/>
  </w:style>
  <w:style w:type="character" w:styleId="Odkaznakoment">
    <w:name w:val="annotation reference"/>
    <w:basedOn w:val="Standardnpsmoodstavce"/>
    <w:uiPriority w:val="99"/>
    <w:semiHidden/>
    <w:unhideWhenUsed/>
    <w:rsid w:val="001618CD"/>
    <w:rPr>
      <w:sz w:val="16"/>
      <w:szCs w:val="16"/>
    </w:rPr>
  </w:style>
  <w:style w:type="paragraph" w:styleId="Textkomente">
    <w:name w:val="annotation text"/>
    <w:basedOn w:val="Normln"/>
    <w:link w:val="TextkomenteChar"/>
    <w:uiPriority w:val="99"/>
    <w:semiHidden/>
    <w:unhideWhenUsed/>
    <w:rsid w:val="001618CD"/>
    <w:pPr>
      <w:spacing w:line="240" w:lineRule="auto"/>
    </w:pPr>
    <w:rPr>
      <w:szCs w:val="20"/>
    </w:rPr>
  </w:style>
  <w:style w:type="character" w:customStyle="1" w:styleId="TextkomenteChar">
    <w:name w:val="Text komentáře Char"/>
    <w:basedOn w:val="Standardnpsmoodstavce"/>
    <w:link w:val="Textkomente"/>
    <w:uiPriority w:val="99"/>
    <w:semiHidden/>
    <w:rsid w:val="001618CD"/>
    <w:rPr>
      <w:color w:val="auto"/>
      <w:sz w:val="20"/>
      <w:szCs w:val="20"/>
    </w:rPr>
  </w:style>
  <w:style w:type="paragraph" w:styleId="Pedmtkomente">
    <w:name w:val="annotation subject"/>
    <w:basedOn w:val="Textkomente"/>
    <w:next w:val="Textkomente"/>
    <w:link w:val="PedmtkomenteChar"/>
    <w:uiPriority w:val="99"/>
    <w:semiHidden/>
    <w:unhideWhenUsed/>
    <w:rsid w:val="001618CD"/>
    <w:rPr>
      <w:b/>
      <w:bCs/>
    </w:rPr>
  </w:style>
  <w:style w:type="character" w:customStyle="1" w:styleId="PedmtkomenteChar">
    <w:name w:val="Předmět komentáře Char"/>
    <w:basedOn w:val="TextkomenteChar"/>
    <w:link w:val="Pedmtkomente"/>
    <w:uiPriority w:val="99"/>
    <w:semiHidden/>
    <w:rsid w:val="001618CD"/>
    <w:rPr>
      <w:b/>
      <w:bCs/>
      <w:color w:val="auto"/>
      <w:sz w:val="20"/>
      <w:szCs w:val="20"/>
    </w:rPr>
  </w:style>
  <w:style w:type="paragraph" w:styleId="Revize">
    <w:name w:val="Revision"/>
    <w:hidden/>
    <w:uiPriority w:val="99"/>
    <w:semiHidden/>
    <w:rsid w:val="001618CD"/>
    <w:pPr>
      <w:spacing w:after="0" w:line="240" w:lineRule="auto"/>
    </w:pPr>
    <w:rPr>
      <w:color w:val="auto"/>
      <w:sz w:val="20"/>
    </w:rPr>
  </w:style>
  <w:style w:type="paragraph" w:styleId="Textbubliny">
    <w:name w:val="Balloon Text"/>
    <w:basedOn w:val="Normln"/>
    <w:link w:val="TextbublinyChar"/>
    <w:uiPriority w:val="99"/>
    <w:semiHidden/>
    <w:unhideWhenUsed/>
    <w:rsid w:val="00161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8C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806">
      <w:bodyDiv w:val="1"/>
      <w:marLeft w:val="0"/>
      <w:marRight w:val="0"/>
      <w:marTop w:val="0"/>
      <w:marBottom w:val="0"/>
      <w:divBdr>
        <w:top w:val="none" w:sz="0" w:space="0" w:color="auto"/>
        <w:left w:val="none" w:sz="0" w:space="0" w:color="auto"/>
        <w:bottom w:val="none" w:sz="0" w:space="0" w:color="auto"/>
        <w:right w:val="none" w:sz="0" w:space="0" w:color="auto"/>
      </w:divBdr>
      <w:divsChild>
        <w:div w:id="1793009790">
          <w:marLeft w:val="0"/>
          <w:marRight w:val="0"/>
          <w:marTop w:val="0"/>
          <w:marBottom w:val="0"/>
          <w:divBdr>
            <w:top w:val="none" w:sz="0" w:space="0" w:color="auto"/>
            <w:left w:val="none" w:sz="0" w:space="0" w:color="auto"/>
            <w:bottom w:val="none" w:sz="0" w:space="0" w:color="auto"/>
            <w:right w:val="none" w:sz="0" w:space="0" w:color="auto"/>
          </w:divBdr>
          <w:divsChild>
            <w:div w:id="265625465">
              <w:marLeft w:val="0"/>
              <w:marRight w:val="0"/>
              <w:marTop w:val="0"/>
              <w:marBottom w:val="0"/>
              <w:divBdr>
                <w:top w:val="none" w:sz="0" w:space="0" w:color="auto"/>
                <w:left w:val="none" w:sz="0" w:space="0" w:color="auto"/>
                <w:bottom w:val="none" w:sz="0" w:space="0" w:color="auto"/>
                <w:right w:val="none" w:sz="0" w:space="0" w:color="auto"/>
              </w:divBdr>
              <w:divsChild>
                <w:div w:id="2020623248">
                  <w:marLeft w:val="0"/>
                  <w:marRight w:val="0"/>
                  <w:marTop w:val="0"/>
                  <w:marBottom w:val="0"/>
                  <w:divBdr>
                    <w:top w:val="none" w:sz="0" w:space="0" w:color="auto"/>
                    <w:left w:val="none" w:sz="0" w:space="0" w:color="auto"/>
                    <w:bottom w:val="none" w:sz="0" w:space="0" w:color="auto"/>
                    <w:right w:val="none" w:sz="0" w:space="0" w:color="auto"/>
                  </w:divBdr>
                </w:div>
                <w:div w:id="170993523">
                  <w:marLeft w:val="0"/>
                  <w:marRight w:val="0"/>
                  <w:marTop w:val="0"/>
                  <w:marBottom w:val="0"/>
                  <w:divBdr>
                    <w:top w:val="none" w:sz="0" w:space="0" w:color="auto"/>
                    <w:left w:val="none" w:sz="0" w:space="0" w:color="auto"/>
                    <w:bottom w:val="none" w:sz="0" w:space="0" w:color="auto"/>
                    <w:right w:val="none" w:sz="0" w:space="0" w:color="auto"/>
                  </w:divBdr>
                </w:div>
                <w:div w:id="6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664941132">
      <w:bodyDiv w:val="1"/>
      <w:marLeft w:val="0"/>
      <w:marRight w:val="0"/>
      <w:marTop w:val="0"/>
      <w:marBottom w:val="0"/>
      <w:divBdr>
        <w:top w:val="none" w:sz="0" w:space="0" w:color="auto"/>
        <w:left w:val="none" w:sz="0" w:space="0" w:color="auto"/>
        <w:bottom w:val="none" w:sz="0" w:space="0" w:color="auto"/>
        <w:right w:val="none" w:sz="0" w:space="0" w:color="auto"/>
      </w:divBdr>
    </w:div>
    <w:div w:id="762073687">
      <w:bodyDiv w:val="1"/>
      <w:marLeft w:val="0"/>
      <w:marRight w:val="0"/>
      <w:marTop w:val="0"/>
      <w:marBottom w:val="0"/>
      <w:divBdr>
        <w:top w:val="none" w:sz="0" w:space="0" w:color="auto"/>
        <w:left w:val="none" w:sz="0" w:space="0" w:color="auto"/>
        <w:bottom w:val="none" w:sz="0" w:space="0" w:color="auto"/>
        <w:right w:val="none" w:sz="0" w:space="0" w:color="auto"/>
      </w:divBdr>
    </w:div>
    <w:div w:id="791897647">
      <w:bodyDiv w:val="1"/>
      <w:marLeft w:val="0"/>
      <w:marRight w:val="0"/>
      <w:marTop w:val="0"/>
      <w:marBottom w:val="0"/>
      <w:divBdr>
        <w:top w:val="none" w:sz="0" w:space="0" w:color="auto"/>
        <w:left w:val="none" w:sz="0" w:space="0" w:color="auto"/>
        <w:bottom w:val="none" w:sz="0" w:space="0" w:color="auto"/>
        <w:right w:val="none" w:sz="0" w:space="0" w:color="auto"/>
      </w:divBdr>
    </w:div>
    <w:div w:id="806777357">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1024089102">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512069227">
      <w:bodyDiv w:val="1"/>
      <w:marLeft w:val="0"/>
      <w:marRight w:val="0"/>
      <w:marTop w:val="0"/>
      <w:marBottom w:val="0"/>
      <w:divBdr>
        <w:top w:val="none" w:sz="0" w:space="0" w:color="auto"/>
        <w:left w:val="none" w:sz="0" w:space="0" w:color="auto"/>
        <w:bottom w:val="none" w:sz="0" w:space="0" w:color="auto"/>
        <w:right w:val="none" w:sz="0" w:space="0" w:color="auto"/>
      </w:divBdr>
    </w:div>
    <w:div w:id="1611548742">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634559243">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21461502">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1945266933">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5724&amp;typdat=0&amp;cisjaz=203&amp;format=0" TargetMode="External"/><Relationship Id="rId13" Type="http://schemas.openxmlformats.org/officeDocument/2006/relationships/hyperlink" Target="http://apl.czso.cz/iSMS/cisexp.jsp?kodcis=5584&amp;typdat=0&amp;cisjaz=203&amp;format=0" TargetMode="External"/><Relationship Id="rId3" Type="http://schemas.openxmlformats.org/officeDocument/2006/relationships/settings" Target="settings.xml"/><Relationship Id="rId7" Type="http://schemas.openxmlformats.org/officeDocument/2006/relationships/hyperlink" Target="https://www.czso.cz/csu/czso/statisticke-promenne-ukazatele" TargetMode="External"/><Relationship Id="rId12" Type="http://schemas.openxmlformats.org/officeDocument/2006/relationships/hyperlink" Target="http://apl.czso.cz/iSMS/cisexp.jsp?kodcis=5106&amp;typdat=0&amp;cisjaz=203&amp;format=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zso.cz/csu/czso/1-slu_m2013" TargetMode="External"/><Relationship Id="rId11" Type="http://schemas.openxmlformats.org/officeDocument/2006/relationships/hyperlink" Target="http://apl.czso.cz/iSMS/cisexp.jsp?kodcis=5105&amp;typdat=0&amp;cisjaz=203&amp;format=0" TargetMode="External"/><Relationship Id="rId5" Type="http://schemas.openxmlformats.org/officeDocument/2006/relationships/hyperlink" Target="https://www.czso.cz/csu/czso/metodika_mesicni_indexy_trzeb_v_odvetvi_obchodu_ubytovani_a_stravovani" TargetMode="External"/><Relationship Id="rId15" Type="http://schemas.openxmlformats.org/officeDocument/2006/relationships/hyperlink" Target="http://apl.czso.cz/iSMS/cisexp.jsp?kodcis=7604&amp;typdat=0&amp;cisjaz=203&amp;format=0" TargetMode="External"/><Relationship Id="rId10" Type="http://schemas.openxmlformats.org/officeDocument/2006/relationships/hyperlink" Target="http://apl.czso.cz/iSMS/cisexp.jsp?kodcis=5104&amp;typdat=0&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5103&amp;typdat=0&amp;cisjaz=203&amp;format=0" TargetMode="External"/><Relationship Id="rId14" Type="http://schemas.openxmlformats.org/officeDocument/2006/relationships/hyperlink" Target="http://apl.czso.cz/iSMS/cisexp.jsp?kodcis=7603&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1858</Words>
  <Characters>10969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Durník</cp:lastModifiedBy>
  <cp:revision>3</cp:revision>
  <dcterms:created xsi:type="dcterms:W3CDTF">2019-03-13T13:29:00Z</dcterms:created>
  <dcterms:modified xsi:type="dcterms:W3CDTF">2019-03-13T13:36:00Z</dcterms:modified>
</cp:coreProperties>
</file>