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2" w:rsidRDefault="00A05D32" w:rsidP="00A05D32">
      <w:pPr>
        <w:pStyle w:val="Datum"/>
        <w:spacing w:line="360" w:lineRule="auto"/>
      </w:pPr>
      <w:r>
        <w:t>3. 4. 2019</w:t>
      </w:r>
    </w:p>
    <w:p w:rsidR="00A05D32" w:rsidRPr="00D75F5F" w:rsidRDefault="009C336D" w:rsidP="00A05D32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Míra zadlužení</w:t>
      </w:r>
      <w:r w:rsidR="00A05D32" w:rsidRPr="00D75F5F">
        <w:rPr>
          <w:color w:val="BD1B21"/>
          <w:sz w:val="32"/>
          <w:szCs w:val="32"/>
        </w:rPr>
        <w:t xml:space="preserve"> </w:t>
      </w:r>
      <w:r w:rsidR="00A05D32">
        <w:rPr>
          <w:color w:val="BD1B21"/>
          <w:sz w:val="32"/>
          <w:szCs w:val="32"/>
        </w:rPr>
        <w:t>poklesl</w:t>
      </w:r>
      <w:r>
        <w:rPr>
          <w:color w:val="BD1B21"/>
          <w:sz w:val="32"/>
          <w:szCs w:val="32"/>
        </w:rPr>
        <w:t>a</w:t>
      </w:r>
    </w:p>
    <w:p w:rsidR="00A05D32" w:rsidRPr="00D75F5F" w:rsidRDefault="00A05D32" w:rsidP="00A05D32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>
        <w:rPr>
          <w:color w:val="auto"/>
          <w:sz w:val="28"/>
          <w:szCs w:val="28"/>
        </w:rPr>
        <w:t>8</w:t>
      </w:r>
    </w:p>
    <w:p w:rsidR="00A05D32" w:rsidRDefault="00A05D32" w:rsidP="00A05D32"/>
    <w:p w:rsidR="00A05D32" w:rsidRPr="00D55535" w:rsidRDefault="00A05D32" w:rsidP="00A05D32">
      <w:pPr>
        <w:rPr>
          <w:b/>
        </w:rPr>
      </w:pPr>
      <w:r w:rsidRPr="00D55535">
        <w:rPr>
          <w:b/>
        </w:rPr>
        <w:t xml:space="preserve">Saldo hospodaření sektoru vládních institucí skončilo za rok 2018 přebytkem ve výši </w:t>
      </w:r>
      <w:r w:rsidRPr="00D55535">
        <w:rPr>
          <w:b/>
        </w:rPr>
        <w:br/>
        <w:t>47,4 miliardy Kč, jenž v relativním vyjádření odpovídá 0,89 % HDP. Výše zadlužení sektoru dosáhla na konci roku 2018 úrovně 32,71 % HDP</w:t>
      </w:r>
      <w:bookmarkStart w:id="0" w:name="_GoBack"/>
      <w:bookmarkEnd w:id="0"/>
      <w:r w:rsidRPr="00D55535">
        <w:rPr>
          <w:b/>
        </w:rPr>
        <w:t xml:space="preserve"> při meziročním poklesu o 1,95 procentního bodu (p.</w:t>
      </w:r>
      <w:r>
        <w:rPr>
          <w:b/>
        </w:rPr>
        <w:t> </w:t>
      </w:r>
      <w:r w:rsidRPr="00D55535">
        <w:rPr>
          <w:b/>
        </w:rPr>
        <w:t>b.). Uvedené fiskální údaje sloužící k hodnocení plnění maastrichtských konvergenčních kritérií byly zaslány Evropské komisi v rámci prvních notifikací v roce 2019.</w:t>
      </w:r>
    </w:p>
    <w:p w:rsidR="00A05D32" w:rsidRDefault="00A05D32" w:rsidP="00A05D32"/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t xml:space="preserve">Přebytek hospodaření sektoru vládních institucí se meziročně snížil o 31,7 mld. Kč. Saldo hospodaření ústředních vládních institucí dosáhlo přebytku 12,0 mld. Kč, který však byl meziročně o 17,0 mld. Kč nižší. Přebytek hospodaření místních vládních institucí meziročně klesl o 22,9 mld. na 19,0 mld. Kč. </w:t>
      </w:r>
      <w:r w:rsidRPr="00E45FD0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8,2</w:t>
      </w:r>
      <w:r w:rsidRPr="00E45FD0">
        <w:rPr>
          <w:rFonts w:cs="Arial"/>
          <w:szCs w:val="20"/>
        </w:rPr>
        <w:t xml:space="preserve"> mld. na </w:t>
      </w:r>
      <w:r>
        <w:rPr>
          <w:rFonts w:cs="Arial"/>
          <w:szCs w:val="20"/>
        </w:rPr>
        <w:t>16,4</w:t>
      </w:r>
      <w:r w:rsidRPr="00E45FD0">
        <w:rPr>
          <w:rFonts w:cs="Arial"/>
          <w:szCs w:val="20"/>
        </w:rPr>
        <w:t xml:space="preserve"> mld. Kč vzrostl přebytek</w:t>
      </w:r>
      <w:r>
        <w:rPr>
          <w:rFonts w:cs="Arial"/>
          <w:szCs w:val="20"/>
        </w:rPr>
        <w:t xml:space="preserve"> salda hospodaření </w:t>
      </w:r>
      <w:proofErr w:type="spellStart"/>
      <w:r>
        <w:rPr>
          <w:rFonts w:cs="Arial"/>
          <w:szCs w:val="20"/>
        </w:rPr>
        <w:t>subsektoru</w:t>
      </w:r>
      <w:proofErr w:type="spellEnd"/>
      <w:r>
        <w:rPr>
          <w:rFonts w:cs="Arial"/>
          <w:szCs w:val="20"/>
        </w:rPr>
        <w:t xml:space="preserve"> fondů sociální</w:t>
      </w:r>
      <w:r w:rsidRPr="00E45FD0">
        <w:rPr>
          <w:rFonts w:cs="Arial"/>
          <w:szCs w:val="20"/>
        </w:rPr>
        <w:t>h</w:t>
      </w:r>
      <w:r>
        <w:rPr>
          <w:rFonts w:cs="Arial"/>
          <w:szCs w:val="20"/>
        </w:rPr>
        <w:t>o</w:t>
      </w:r>
      <w:r w:rsidRPr="00E45FD0">
        <w:rPr>
          <w:rFonts w:cs="Arial"/>
          <w:szCs w:val="20"/>
        </w:rPr>
        <w:t xml:space="preserve"> zabezpečení</w:t>
      </w:r>
      <w:r>
        <w:rPr>
          <w:rFonts w:cs="Arial"/>
          <w:szCs w:val="20"/>
        </w:rPr>
        <w:t xml:space="preserve"> (zdravotních pojišťoven)</w:t>
      </w:r>
      <w:r w:rsidRPr="00E45FD0">
        <w:rPr>
          <w:rFonts w:cs="Arial"/>
          <w:szCs w:val="20"/>
        </w:rPr>
        <w:t>.</w:t>
      </w:r>
    </w:p>
    <w:p w:rsidR="00A05D32" w:rsidRPr="00556B2C" w:rsidRDefault="00A05D32" w:rsidP="00A05D32"/>
    <w:p w:rsidR="00A05D32" w:rsidRPr="00556B2C" w:rsidRDefault="00C9006B" w:rsidP="00A05D32">
      <w:pPr>
        <w:pStyle w:val="TabulkaGraf"/>
      </w:pPr>
      <w:r>
        <w:t xml:space="preserve">Tab. 1: </w:t>
      </w:r>
      <w:r w:rsidR="00A05D32" w:rsidRPr="00556B2C">
        <w:t>Notifikační tabulka deficitu a dluhu vládních institucí, Česká republika, 201</w:t>
      </w:r>
      <w:r w:rsidR="00A05D32">
        <w:t>5</w:t>
      </w:r>
      <w:r w:rsidR="00EA6BA8">
        <w:t>–</w:t>
      </w:r>
      <w:r w:rsidR="00A05D32" w:rsidRPr="00556B2C">
        <w:t>201</w:t>
      </w:r>
      <w:r w:rsidR="00A05D32">
        <w:t>8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A05D32" w:rsidRPr="00556B2C" w:rsidTr="00B663A0">
        <w:trPr>
          <w:cantSplit/>
        </w:trPr>
        <w:tc>
          <w:tcPr>
            <w:tcW w:w="3261" w:type="dxa"/>
            <w:vMerge w:val="restart"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A05D32" w:rsidRPr="00556B2C" w:rsidTr="00B663A0">
        <w:trPr>
          <w:cantSplit/>
        </w:trPr>
        <w:tc>
          <w:tcPr>
            <w:tcW w:w="3261" w:type="dxa"/>
            <w:vMerge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</w:tr>
      <w:tr w:rsidR="00A05D32" w:rsidRPr="00556B2C" w:rsidTr="00B663A0">
        <w:tc>
          <w:tcPr>
            <w:tcW w:w="3261" w:type="dxa"/>
            <w:vAlign w:val="center"/>
          </w:tcPr>
          <w:p w:rsidR="00A05D32" w:rsidRPr="00556B2C" w:rsidRDefault="00A05D32" w:rsidP="00B663A0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A05D32" w:rsidRDefault="00A8665F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A05D32">
              <w:rPr>
                <w:rFonts w:cs="Arial"/>
                <w:szCs w:val="20"/>
              </w:rPr>
              <w:t>28 260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34 274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79 149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47 427</w:t>
            </w:r>
          </w:p>
        </w:tc>
      </w:tr>
      <w:tr w:rsidR="00A05D32" w:rsidRPr="00556B2C" w:rsidTr="00B663A0">
        <w:tc>
          <w:tcPr>
            <w:tcW w:w="3261" w:type="dxa"/>
            <w:vAlign w:val="center"/>
          </w:tcPr>
          <w:p w:rsidR="00A05D32" w:rsidRPr="00556B2C" w:rsidRDefault="00A05D32" w:rsidP="00B663A0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1 836 255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1 735 076</w:t>
            </w:r>
          </w:p>
        </w:tc>
      </w:tr>
      <w:tr w:rsidR="00A05D32" w:rsidRPr="00556B2C" w:rsidTr="00B663A0">
        <w:tc>
          <w:tcPr>
            <w:tcW w:w="3261" w:type="dxa"/>
            <w:vAlign w:val="center"/>
          </w:tcPr>
          <w:p w:rsidR="00A05D32" w:rsidRPr="00556B2C" w:rsidRDefault="00A05D32" w:rsidP="00B663A0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4 595 783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5 304 386</w:t>
            </w:r>
          </w:p>
        </w:tc>
      </w:tr>
      <w:tr w:rsidR="00A05D32" w:rsidRPr="00556B2C" w:rsidTr="00B663A0">
        <w:tc>
          <w:tcPr>
            <w:tcW w:w="3261" w:type="dxa"/>
            <w:vAlign w:val="center"/>
          </w:tcPr>
          <w:p w:rsidR="00A05D32" w:rsidRPr="00556B2C" w:rsidRDefault="00A05D32" w:rsidP="00B663A0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A05D32" w:rsidRDefault="00A8665F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A05D32">
              <w:rPr>
                <w:rFonts w:cs="Arial"/>
                <w:szCs w:val="20"/>
              </w:rPr>
              <w:t>0,61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0,89</w:t>
            </w:r>
          </w:p>
        </w:tc>
      </w:tr>
      <w:tr w:rsidR="00A05D32" w:rsidRPr="00AB45CA" w:rsidTr="00B663A0">
        <w:tc>
          <w:tcPr>
            <w:tcW w:w="3261" w:type="dxa"/>
            <w:vAlign w:val="center"/>
          </w:tcPr>
          <w:p w:rsidR="00A05D32" w:rsidRPr="00556B2C" w:rsidRDefault="00A05D32" w:rsidP="00B663A0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39,96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34,66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32,71</w:t>
            </w:r>
          </w:p>
        </w:tc>
      </w:tr>
    </w:tbl>
    <w:p w:rsidR="00A05D32" w:rsidRPr="00AB45CA" w:rsidRDefault="00A05D32" w:rsidP="00A05D32">
      <w:pPr>
        <w:rPr>
          <w:rFonts w:cs="Arial"/>
          <w:szCs w:val="20"/>
          <w:highlight w:val="yellow"/>
        </w:rPr>
      </w:pPr>
    </w:p>
    <w:p w:rsidR="00A05D32" w:rsidRDefault="00A05D32" w:rsidP="00A05D32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příjmy sektoru vládních institucí vzrostly </w:t>
      </w:r>
      <w:r>
        <w:rPr>
          <w:rFonts w:cs="Arial"/>
          <w:szCs w:val="20"/>
        </w:rPr>
        <w:t xml:space="preserve">v roce 2018 </w:t>
      </w:r>
      <w:r w:rsidRPr="00E45FD0">
        <w:rPr>
          <w:rFonts w:cs="Arial"/>
          <w:szCs w:val="20"/>
        </w:rPr>
        <w:t xml:space="preserve">meziročně o </w:t>
      </w:r>
      <w:r>
        <w:rPr>
          <w:rFonts w:cs="Arial"/>
          <w:szCs w:val="20"/>
        </w:rPr>
        <w:t>8,1</w:t>
      </w:r>
      <w:r w:rsidRPr="00DF45B4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, což představovalo absolutní nárůst o 166,1 mld. Kč</w:t>
      </w:r>
      <w:r w:rsidRPr="00DF45B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Vzrostly všechny druhy příjmů, z čehož nejvíce </w:t>
      </w:r>
      <w:r w:rsidRPr="00DF45B4">
        <w:rPr>
          <w:rFonts w:cs="Arial"/>
          <w:szCs w:val="20"/>
        </w:rPr>
        <w:t>sociální příspěvk</w:t>
      </w:r>
      <w:r>
        <w:rPr>
          <w:rFonts w:cs="Arial"/>
          <w:szCs w:val="20"/>
        </w:rPr>
        <w:t>y</w:t>
      </w:r>
      <w:r w:rsidRPr="00DF45B4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+74,3 mld., resp. 8</w:t>
      </w:r>
      <w:r w:rsidRPr="00DF45B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F45B4">
        <w:rPr>
          <w:rFonts w:cs="Arial"/>
          <w:szCs w:val="20"/>
        </w:rPr>
        <w:t xml:space="preserve"> %), </w:t>
      </w:r>
      <w:r>
        <w:rPr>
          <w:rFonts w:cs="Arial"/>
          <w:szCs w:val="20"/>
        </w:rPr>
        <w:t>daně z výroby a dovozu (+30,2 mld., resp. 4,8 %), důchodové daně (+27,3 mld., resp. 7,0 %) a kapitálové transfery (+10,3 mld., resp. 31,3%).</w:t>
      </w:r>
      <w:r w:rsidRPr="00E45FD0">
        <w:rPr>
          <w:rFonts w:cs="Arial"/>
          <w:szCs w:val="20"/>
        </w:rPr>
        <w:t xml:space="preserve"> </w:t>
      </w:r>
    </w:p>
    <w:p w:rsidR="00A05D32" w:rsidRPr="00677437" w:rsidRDefault="00A05D32" w:rsidP="00A05D32">
      <w:pPr>
        <w:rPr>
          <w:rFonts w:cs="Arial"/>
          <w:szCs w:val="20"/>
          <w:highlight w:val="yellow"/>
        </w:rPr>
      </w:pPr>
    </w:p>
    <w:p w:rsidR="00A05D32" w:rsidRDefault="00A05D32" w:rsidP="00A05D32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výdaje sektoru vládních institucí meziročně </w:t>
      </w:r>
      <w:r>
        <w:rPr>
          <w:rFonts w:cs="Arial"/>
          <w:szCs w:val="20"/>
        </w:rPr>
        <w:t>vzrostly</w:t>
      </w:r>
      <w:r w:rsidRPr="00E45F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roce 2018 </w:t>
      </w:r>
      <w:r w:rsidRPr="00E45FD0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10,1</w:t>
      </w:r>
      <w:r w:rsidRPr="00E45FD0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, resp. 198,8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mld. Kč</w:t>
      </w:r>
      <w:r w:rsidRPr="00E45FD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Nejvíce vzrostly vyplacené náhrady zaměstnancům (+58,8 mld., resp. 12,7 %), výdaje na hrubou tvorbu kapitálu (+47,3 mld., resp. 26,7 %) a sociální dávky (+41,6 mld., resp. 5,5 %). 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 souladu s aktualizovanou metodikou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 xml:space="preserve"> k pohledávkám vládních institucí došlo ke změně zachycení souvisejících úroků v letech 2015 až 2018. Vliv této úpravy na saldo hospodaření v letech 2015 až 2017 ilustruje následující tabulka:</w:t>
      </w:r>
    </w:p>
    <w:p w:rsidR="00A05D32" w:rsidRDefault="00A05D32" w:rsidP="00A05D32">
      <w:pPr>
        <w:rPr>
          <w:rFonts w:cs="Arial"/>
          <w:szCs w:val="20"/>
        </w:rPr>
      </w:pPr>
    </w:p>
    <w:p w:rsidR="00A05D32" w:rsidRPr="00FA56ED" w:rsidRDefault="00C9006B" w:rsidP="00A05D3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2: </w:t>
      </w:r>
      <w:r w:rsidR="00A05D32" w:rsidRPr="00FA56ED">
        <w:rPr>
          <w:rFonts w:cs="Arial"/>
          <w:b/>
          <w:szCs w:val="20"/>
        </w:rPr>
        <w:t xml:space="preserve">Vliv metodické změny zachycení </w:t>
      </w:r>
      <w:r w:rsidR="00A05D32">
        <w:rPr>
          <w:rFonts w:cs="Arial"/>
          <w:b/>
          <w:szCs w:val="20"/>
        </w:rPr>
        <w:t>pohledávek</w:t>
      </w:r>
      <w:r w:rsidR="00A05D32" w:rsidRPr="00FA56ED">
        <w:rPr>
          <w:rFonts w:cs="Arial"/>
          <w:b/>
          <w:szCs w:val="20"/>
        </w:rPr>
        <w:t>, 201</w:t>
      </w:r>
      <w:r w:rsidR="00A05D32">
        <w:rPr>
          <w:rFonts w:cs="Arial"/>
          <w:b/>
          <w:szCs w:val="20"/>
        </w:rPr>
        <w:t>5</w:t>
      </w:r>
      <w:r w:rsidR="00A8665F">
        <w:rPr>
          <w:rFonts w:cs="Arial"/>
          <w:b/>
          <w:szCs w:val="20"/>
        </w:rPr>
        <w:t>–</w:t>
      </w:r>
      <w:r w:rsidR="00A05D32" w:rsidRPr="00FA56ED">
        <w:rPr>
          <w:rFonts w:cs="Arial"/>
          <w:b/>
          <w:szCs w:val="20"/>
        </w:rPr>
        <w:t>201</w:t>
      </w:r>
      <w:r w:rsidR="00A05D32">
        <w:rPr>
          <w:rFonts w:cs="Arial"/>
          <w:b/>
          <w:szCs w:val="20"/>
        </w:rPr>
        <w:t>7</w:t>
      </w:r>
    </w:p>
    <w:tbl>
      <w:tblPr>
        <w:tblStyle w:val="Mkatabulky"/>
        <w:tblW w:w="7621" w:type="dxa"/>
        <w:tblInd w:w="108" w:type="dxa"/>
        <w:tblLook w:val="04A0" w:firstRow="1" w:lastRow="0" w:firstColumn="1" w:lastColumn="0" w:noHBand="0" w:noVBand="1"/>
      </w:tblPr>
      <w:tblGrid>
        <w:gridCol w:w="2802"/>
        <w:gridCol w:w="1028"/>
        <w:gridCol w:w="1240"/>
        <w:gridCol w:w="1275"/>
        <w:gridCol w:w="1276"/>
      </w:tblGrid>
      <w:tr w:rsidR="00A05D32" w:rsidTr="00B663A0">
        <w:tc>
          <w:tcPr>
            <w:tcW w:w="2802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Jednotka</w:t>
            </w:r>
          </w:p>
        </w:tc>
        <w:tc>
          <w:tcPr>
            <w:tcW w:w="1240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275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276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</w:tr>
      <w:tr w:rsidR="00A05D32" w:rsidTr="00B663A0">
        <w:tc>
          <w:tcPr>
            <w:tcW w:w="2802" w:type="dxa"/>
          </w:tcPr>
          <w:p w:rsidR="00A05D32" w:rsidRDefault="00C9006B" w:rsidP="00B66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A05D32">
              <w:rPr>
                <w:rFonts w:cs="Arial"/>
                <w:szCs w:val="20"/>
              </w:rPr>
              <w:t>liv na saldo hospodaření</w:t>
            </w:r>
          </w:p>
        </w:tc>
        <w:tc>
          <w:tcPr>
            <w:tcW w:w="1028" w:type="dxa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mil. Kč</w:t>
            </w:r>
          </w:p>
        </w:tc>
        <w:tc>
          <w:tcPr>
            <w:tcW w:w="1240" w:type="dxa"/>
            <w:vAlign w:val="bottom"/>
          </w:tcPr>
          <w:p w:rsidR="00A05D32" w:rsidRPr="00FA56ED" w:rsidRDefault="00EA6BA8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A05D32">
              <w:rPr>
                <w:rFonts w:cs="Arial"/>
                <w:szCs w:val="20"/>
              </w:rPr>
              <w:t>332</w:t>
            </w:r>
          </w:p>
        </w:tc>
        <w:tc>
          <w:tcPr>
            <w:tcW w:w="1275" w:type="dxa"/>
            <w:vAlign w:val="bottom"/>
          </w:tcPr>
          <w:p w:rsidR="00A05D32" w:rsidRPr="00FA56ED" w:rsidRDefault="00EA6BA8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A05D32">
              <w:rPr>
                <w:rFonts w:cs="Arial"/>
                <w:szCs w:val="20"/>
              </w:rPr>
              <w:t>368</w:t>
            </w:r>
          </w:p>
        </w:tc>
        <w:tc>
          <w:tcPr>
            <w:tcW w:w="1276" w:type="dxa"/>
            <w:vAlign w:val="bottom"/>
          </w:tcPr>
          <w:p w:rsidR="00A05D32" w:rsidRPr="00FA56ED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738</w:t>
            </w:r>
          </w:p>
        </w:tc>
      </w:tr>
    </w:tbl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t xml:space="preserve">Dluh vládních institucí v roce 2018 meziročně poklesl o 14,5 mld. Kč na 1 735,1 mld. Kč, což v relativním vyjádření odpovídá </w:t>
      </w:r>
      <w:r w:rsidRPr="00CD42BA">
        <w:rPr>
          <w:rFonts w:cs="Arial"/>
          <w:szCs w:val="20"/>
        </w:rPr>
        <w:t>3</w:t>
      </w:r>
      <w:r>
        <w:rPr>
          <w:rFonts w:cs="Arial"/>
          <w:szCs w:val="20"/>
        </w:rPr>
        <w:t>2</w:t>
      </w:r>
      <w:r w:rsidRPr="00CD42BA">
        <w:rPr>
          <w:rFonts w:cs="Arial"/>
          <w:szCs w:val="20"/>
        </w:rPr>
        <w:t>,</w:t>
      </w:r>
      <w:r>
        <w:rPr>
          <w:rFonts w:cs="Arial"/>
          <w:szCs w:val="20"/>
        </w:rPr>
        <w:t>71</w:t>
      </w:r>
      <w:r w:rsidRPr="00CD42BA">
        <w:rPr>
          <w:rFonts w:cs="Arial"/>
          <w:szCs w:val="20"/>
        </w:rPr>
        <w:t xml:space="preserve"> % HDP</w:t>
      </w:r>
      <w:r>
        <w:rPr>
          <w:rFonts w:cs="Arial"/>
          <w:szCs w:val="20"/>
        </w:rPr>
        <w:t xml:space="preserve">. </w:t>
      </w:r>
      <w:r w:rsidRPr="00CD42BA">
        <w:rPr>
          <w:rFonts w:cs="Arial"/>
          <w:szCs w:val="20"/>
        </w:rPr>
        <w:t xml:space="preserve">Meziročně došlo k poklesu relativní zadluženosti o </w:t>
      </w:r>
      <w:r>
        <w:rPr>
          <w:rFonts w:cs="Arial"/>
          <w:szCs w:val="20"/>
        </w:rPr>
        <w:t>1,95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p. b. Na</w:t>
      </w:r>
      <w:r w:rsidRPr="00CD42BA">
        <w:rPr>
          <w:rFonts w:cs="Arial"/>
          <w:szCs w:val="20"/>
        </w:rPr>
        <w:t xml:space="preserve"> snížení relativní výše zadlužení </w:t>
      </w:r>
      <w:r>
        <w:rPr>
          <w:rFonts w:cs="Arial"/>
          <w:szCs w:val="20"/>
        </w:rPr>
        <w:t>se podílel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zejména rostoucí nominální HDP (1,68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p. b.), pokles nominální výše dluhu přispěl 0</w:t>
      </w:r>
      <w:r w:rsidRPr="00CD42BA">
        <w:rPr>
          <w:rFonts w:cs="Arial"/>
          <w:szCs w:val="20"/>
        </w:rPr>
        <w:t>,</w:t>
      </w:r>
      <w:r>
        <w:rPr>
          <w:rFonts w:cs="Arial"/>
          <w:szCs w:val="20"/>
        </w:rPr>
        <w:t>27</w:t>
      </w:r>
      <w:r w:rsidRPr="00CD42BA">
        <w:rPr>
          <w:rFonts w:cs="Arial"/>
          <w:szCs w:val="20"/>
        </w:rPr>
        <w:t xml:space="preserve"> p.</w:t>
      </w:r>
      <w:r>
        <w:rPr>
          <w:rFonts w:cs="Arial"/>
          <w:szCs w:val="20"/>
        </w:rPr>
        <w:t xml:space="preserve"> </w:t>
      </w:r>
      <w:r w:rsidRPr="00CD42BA">
        <w:rPr>
          <w:rFonts w:cs="Arial"/>
          <w:szCs w:val="20"/>
        </w:rPr>
        <w:t>b.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t>Ve struktuře dluhu byl zaznamenán pokles emitovaných dluhových cenných papírů (-47,8 mld. Kč), a to zejména krátkodobých (-39,6 mld. Kč). Podíl dluhových cenných papírů poklesl o 1,99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p. b. </w:t>
      </w:r>
      <w:proofErr w:type="gramStart"/>
      <w:r>
        <w:rPr>
          <w:rFonts w:cs="Arial"/>
          <w:szCs w:val="20"/>
        </w:rPr>
        <w:t>na</w:t>
      </w:r>
      <w:proofErr w:type="gramEnd"/>
      <w:r>
        <w:rPr>
          <w:rFonts w:cs="Arial"/>
          <w:szCs w:val="20"/>
        </w:rPr>
        <w:t xml:space="preserve"> 89,6 % a dluhové cenné papíry tak zůstávají dominantní složkou dluhu. Objem přijatých půjček vzrostl o 30,6 mld. Kč, přičemž u krátkodobých půjček byl zaznamenán nárůst o 42,4 mld. Kč, zatímco objem dlouhodobých půjček poklesl o 11,9 mld. Kč. Objem přijatých vkladů vzrostl o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2,8 mld. Kč.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r w:rsidRPr="00E155B6">
        <w:rPr>
          <w:rFonts w:cs="Arial"/>
          <w:szCs w:val="20"/>
        </w:rPr>
        <w:t xml:space="preserve">Ukazatele uvedené v tabulce </w:t>
      </w:r>
      <w:r w:rsidR="00C9006B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>
        <w:rPr>
          <w:rFonts w:cs="Arial"/>
          <w:szCs w:val="20"/>
        </w:rPr>
        <w:t>30.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března 2019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A05D32" w:rsidRDefault="00A05D32" w:rsidP="00A05D32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23. 04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A05D32" w:rsidRPr="00645994" w:rsidRDefault="00A05D32" w:rsidP="00A05D32"/>
    <w:p w:rsidR="00A05D32" w:rsidRPr="00A05D32" w:rsidRDefault="00A05D32" w:rsidP="00A05D32"/>
    <w:sectPr w:rsidR="00A05D32" w:rsidRPr="00A05D32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4" w:rsidRDefault="00514514" w:rsidP="00BA6370">
      <w:r>
        <w:separator/>
      </w:r>
    </w:p>
  </w:endnote>
  <w:endnote w:type="continuationSeparator" w:id="0">
    <w:p w:rsidR="00514514" w:rsidRDefault="005145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4BE6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4" w:rsidRDefault="00514514" w:rsidP="00BA6370">
      <w:r>
        <w:separator/>
      </w:r>
    </w:p>
  </w:footnote>
  <w:footnote w:type="continuationSeparator" w:id="0">
    <w:p w:rsidR="00514514" w:rsidRDefault="005145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19F1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A43F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50A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BE4B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FCCB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7185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500D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DE6D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4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14514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65891"/>
    <w:rsid w:val="00986DD7"/>
    <w:rsid w:val="009B55B1"/>
    <w:rsid w:val="009C336D"/>
    <w:rsid w:val="00A05D32"/>
    <w:rsid w:val="00A0762A"/>
    <w:rsid w:val="00A4343D"/>
    <w:rsid w:val="00A502F1"/>
    <w:rsid w:val="00A70A83"/>
    <w:rsid w:val="00A81EB3"/>
    <w:rsid w:val="00A8665F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7611F"/>
    <w:rsid w:val="00C8406E"/>
    <w:rsid w:val="00C9006B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A6BA8"/>
    <w:rsid w:val="00EB1ED3"/>
    <w:rsid w:val="00EF7AED"/>
    <w:rsid w:val="00F75F2A"/>
    <w:rsid w:val="00F80FFC"/>
    <w:rsid w:val="00F829E8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87F68CE"/>
  <w15:docId w15:val="{C85E69E8-CFE4-408E-8241-FFE42DD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A0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05D32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5D32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DA78-80AE-411D-BEA6-B9868137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17</TotalTime>
  <Pages>3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7</cp:revision>
  <cp:lastPrinted>2019-04-02T09:36:00Z</cp:lastPrinted>
  <dcterms:created xsi:type="dcterms:W3CDTF">2019-04-02T06:33:00Z</dcterms:created>
  <dcterms:modified xsi:type="dcterms:W3CDTF">2019-04-02T10:26:00Z</dcterms:modified>
</cp:coreProperties>
</file>