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75679" w:rsidP="00AE6D5B">
      <w:pPr>
        <w:pStyle w:val="Datum"/>
      </w:pPr>
      <w:r>
        <w:t>7</w:t>
      </w:r>
      <w:r w:rsidR="00474D1E">
        <w:t>.</w:t>
      </w:r>
      <w:r w:rsidR="00857A66">
        <w:t xml:space="preserve"> </w:t>
      </w:r>
      <w:r w:rsidR="00F54E46">
        <w:t>ří</w:t>
      </w:r>
      <w:r>
        <w:t>jna</w:t>
      </w:r>
      <w:r w:rsidR="00AF776C">
        <w:t xml:space="preserve"> 2019</w:t>
      </w:r>
    </w:p>
    <w:p w:rsidR="00867569" w:rsidRPr="00AE6D5B" w:rsidRDefault="00D75679" w:rsidP="00AE6D5B">
      <w:pPr>
        <w:pStyle w:val="Nzev"/>
      </w:pPr>
      <w:r>
        <w:t>Inženýrské stavitelství zmírnilo pokles stavební produkce</w:t>
      </w:r>
    </w:p>
    <w:p w:rsidR="00D75679" w:rsidRDefault="00D75679" w:rsidP="008702A5">
      <w:pPr>
        <w:pStyle w:val="Perex"/>
        <w:spacing w:after="0"/>
      </w:pPr>
      <w:r w:rsidRPr="00D75679">
        <w:t xml:space="preserve">Stavební produkce v srpnu po očištění o vliv počtu pracovních dnů reálně meziročně klesla o 2,4 %. Po vyloučení sezónních vlivů byla meziměsíčně nižší o 2,8 %. Stavební úřady vydaly meziročně o 1,1 % stavebních povolení více a orientační hodnota těchto povolení vzrostla o 3,3 %. Meziročně bylo zahájeno o 3,1 % bytů více. Dokončeno bylo </w:t>
      </w:r>
    </w:p>
    <w:p w:rsidR="008202DD" w:rsidRPr="005C44D3" w:rsidRDefault="00D75679" w:rsidP="008702A5">
      <w:pPr>
        <w:pStyle w:val="Perex"/>
        <w:spacing w:after="0"/>
      </w:pPr>
      <w:r w:rsidRPr="00D75679">
        <w:t>o 3,3 % bytů více.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D75679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szCs w:val="20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D75679" w:rsidRPr="00D75679">
        <w:rPr>
          <w:rFonts w:cs="Arial"/>
          <w:i/>
          <w:szCs w:val="20"/>
          <w:lang w:eastAsia="cs-CZ"/>
        </w:rPr>
        <w:t xml:space="preserve">Stavební produkce v srpnu klesla a tento pokles byl zčásti způsoben vyšší srovnávací základnou ze srpna minulého roku. Horší výsledek zaznamenalo pozemní stavitelství, produkce na inženýrských stavbách naopak rostla a zmírnila </w:t>
      </w:r>
      <w:r w:rsidR="00D75679">
        <w:rPr>
          <w:rFonts w:cs="Arial"/>
          <w:i/>
          <w:szCs w:val="20"/>
          <w:lang w:eastAsia="cs-CZ"/>
        </w:rPr>
        <w:t>tak celkový pokles stavebnictví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C44A2B">
        <w:rPr>
          <w:rFonts w:cs="Arial"/>
          <w:szCs w:val="20"/>
        </w:rPr>
        <w:t xml:space="preserve">říká </w:t>
      </w:r>
      <w:r w:rsidR="009F201A" w:rsidRPr="009F201A">
        <w:rPr>
          <w:rFonts w:cs="Arial"/>
          <w:szCs w:val="20"/>
        </w:rPr>
        <w:t>Petra Cuřínová, vedoucí oddělení statistiky stavebnictví a bytové výstavby ČSÚ.</w:t>
      </w:r>
    </w:p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D75679" w:rsidRPr="00D75679">
          <w:rPr>
            <w:rStyle w:val="Hypertextovodkaz"/>
          </w:rPr>
          <w:t>https://www.czso.cz/csu/czso/cri/stavebnictvi-srpen-2019</w:t>
        </w:r>
      </w:hyperlink>
      <w:r w:rsidRPr="009F201A">
        <w:t>.</w:t>
      </w:r>
    </w:p>
    <w:p w:rsidR="00BC6F77" w:rsidRDefault="00BC6F77" w:rsidP="00BC6F77">
      <w:bookmarkStart w:id="0" w:name="_GoBack"/>
      <w:bookmarkEnd w:id="0"/>
    </w:p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03" w:rsidRDefault="00B31F03" w:rsidP="00BA6370">
      <w:r>
        <w:separator/>
      </w:r>
    </w:p>
  </w:endnote>
  <w:endnote w:type="continuationSeparator" w:id="0">
    <w:p w:rsidR="00B31F03" w:rsidRDefault="00B31F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7567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7567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03" w:rsidRDefault="00B31F03" w:rsidP="00BA6370">
      <w:r>
        <w:separator/>
      </w:r>
    </w:p>
  </w:footnote>
  <w:footnote w:type="continuationSeparator" w:id="0">
    <w:p w:rsidR="00B31F03" w:rsidRDefault="00B31F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31F03"/>
    <w:rsid w:val="00B54290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75679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8506FDD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srp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4992-A044-4175-BB6D-E3573349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2019-10-04T08:57:00Z</dcterms:created>
  <dcterms:modified xsi:type="dcterms:W3CDTF">2019-10-04T08:57:00Z</dcterms:modified>
</cp:coreProperties>
</file>