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51" w:rsidRDefault="00CC3A61" w:rsidP="00277D51">
      <w:pPr>
        <w:pStyle w:val="Datum"/>
      </w:pPr>
      <w:r>
        <w:t>01</w:t>
      </w:r>
      <w:r w:rsidR="00277D51">
        <w:t>. 0</w:t>
      </w:r>
      <w:r>
        <w:t>7</w:t>
      </w:r>
      <w:r w:rsidR="00277D51">
        <w:t>. 2019</w:t>
      </w:r>
    </w:p>
    <w:p w:rsidR="00277D51" w:rsidRPr="00DB7DDE" w:rsidRDefault="00277D51" w:rsidP="00277D51">
      <w:pPr>
        <w:pStyle w:val="Podtitulek"/>
        <w:spacing w:before="240"/>
        <w:rPr>
          <w:color w:val="BD1B21"/>
          <w:sz w:val="32"/>
          <w:szCs w:val="32"/>
        </w:rPr>
      </w:pPr>
      <w:r w:rsidRPr="00AE7664">
        <w:rPr>
          <w:color w:val="BD1B21"/>
          <w:sz w:val="32"/>
          <w:szCs w:val="32"/>
        </w:rPr>
        <w:t xml:space="preserve">Saldo hospodaření </w:t>
      </w:r>
      <w:r w:rsidR="00BE6EEB">
        <w:rPr>
          <w:color w:val="BD1B21"/>
          <w:sz w:val="32"/>
          <w:szCs w:val="32"/>
        </w:rPr>
        <w:t>vládních institucí skončilo v mírném deficitu</w:t>
      </w:r>
    </w:p>
    <w:p w:rsidR="00277D51" w:rsidRDefault="00277D51" w:rsidP="00277D51">
      <w:pPr>
        <w:pStyle w:val="Podtitulek"/>
      </w:pPr>
      <w:r>
        <w:t xml:space="preserve">Deficit a dluh vládních institucí – </w:t>
      </w:r>
      <w:r w:rsidR="00CC3A61">
        <w:t>1</w:t>
      </w:r>
      <w:r>
        <w:t>. čtvrtletí 201</w:t>
      </w:r>
      <w:r w:rsidR="00CC3A61">
        <w:t>9</w:t>
      </w:r>
    </w:p>
    <w:p w:rsidR="00277D51" w:rsidRDefault="00277D51" w:rsidP="00277D51">
      <w:pPr>
        <w:rPr>
          <w:b/>
        </w:rPr>
      </w:pPr>
      <w:r w:rsidRPr="002A63D2">
        <w:rPr>
          <w:b/>
        </w:rPr>
        <w:t xml:space="preserve">Saldo hospodaření sektoru vládních institucí dosáhlo v </w:t>
      </w:r>
      <w:r w:rsidR="00CC3A61">
        <w:rPr>
          <w:b/>
        </w:rPr>
        <w:t>prvním</w:t>
      </w:r>
      <w:r w:rsidRPr="002A63D2">
        <w:rPr>
          <w:b/>
        </w:rPr>
        <w:t xml:space="preserve"> čtvrtletí 201</w:t>
      </w:r>
      <w:r w:rsidR="00CC3A61">
        <w:rPr>
          <w:b/>
        </w:rPr>
        <w:t>9</w:t>
      </w:r>
      <w:r w:rsidRPr="002A63D2">
        <w:rPr>
          <w:b/>
        </w:rPr>
        <w:t xml:space="preserve"> </w:t>
      </w:r>
      <w:r>
        <w:rPr>
          <w:b/>
        </w:rPr>
        <w:t>schodku</w:t>
      </w:r>
      <w:r w:rsidRPr="002A63D2">
        <w:rPr>
          <w:b/>
        </w:rPr>
        <w:t xml:space="preserve"> </w:t>
      </w:r>
      <w:r w:rsidR="00CC3A61">
        <w:rPr>
          <w:b/>
        </w:rPr>
        <w:t>2,3</w:t>
      </w:r>
      <w:r w:rsidR="00BE6EEB">
        <w:rPr>
          <w:b/>
        </w:rPr>
        <w:t> </w:t>
      </w:r>
      <w:r w:rsidRPr="002A63D2">
        <w:rPr>
          <w:b/>
        </w:rPr>
        <w:t xml:space="preserve">mld. Kč, což představuje </w:t>
      </w:r>
      <w:r>
        <w:rPr>
          <w:b/>
        </w:rPr>
        <w:t>0,</w:t>
      </w:r>
      <w:r w:rsidR="006F36B6">
        <w:rPr>
          <w:b/>
        </w:rPr>
        <w:t>18</w:t>
      </w:r>
      <w:r w:rsidRPr="002A63D2">
        <w:rPr>
          <w:b/>
        </w:rPr>
        <w:t xml:space="preserve"> % </w:t>
      </w:r>
      <w:r w:rsidRPr="003E37C7">
        <w:rPr>
          <w:b/>
        </w:rPr>
        <w:t xml:space="preserve">HDP. Příjmy sektoru vládních institucí dosáhly </w:t>
      </w:r>
      <w:r>
        <w:rPr>
          <w:b/>
        </w:rPr>
        <w:t>41,</w:t>
      </w:r>
      <w:r w:rsidR="00CC3A61">
        <w:rPr>
          <w:b/>
        </w:rPr>
        <w:t>7</w:t>
      </w:r>
      <w:r>
        <w:rPr>
          <w:b/>
        </w:rPr>
        <w:t> </w:t>
      </w:r>
      <w:r w:rsidRPr="003E37C7">
        <w:rPr>
          <w:b/>
        </w:rPr>
        <w:t xml:space="preserve">% HDP, zatímco výdaje </w:t>
      </w:r>
      <w:r>
        <w:rPr>
          <w:b/>
        </w:rPr>
        <w:t>4</w:t>
      </w:r>
      <w:r w:rsidR="00CC3A61">
        <w:rPr>
          <w:b/>
        </w:rPr>
        <w:t>1</w:t>
      </w:r>
      <w:r>
        <w:rPr>
          <w:b/>
        </w:rPr>
        <w:t>,</w:t>
      </w:r>
      <w:r w:rsidR="00CC3A61">
        <w:rPr>
          <w:b/>
        </w:rPr>
        <w:t>9</w:t>
      </w:r>
      <w:r w:rsidRPr="003E37C7">
        <w:rPr>
          <w:b/>
        </w:rPr>
        <w:t xml:space="preserve"> % HDP. </w:t>
      </w:r>
      <w:r w:rsidRPr="00AE7664">
        <w:rPr>
          <w:b/>
        </w:rPr>
        <w:t>Míra zadlužení sektoru vládních institucí klesla meziročně o 1,</w:t>
      </w:r>
      <w:r w:rsidR="00AE7664" w:rsidRPr="00AE7664">
        <w:rPr>
          <w:b/>
        </w:rPr>
        <w:t>80</w:t>
      </w:r>
      <w:r w:rsidRPr="00AE7664">
        <w:rPr>
          <w:b/>
        </w:rPr>
        <w:t xml:space="preserve"> procentního bodu </w:t>
      </w:r>
      <w:r w:rsidR="00494AE6" w:rsidRPr="00AE7664">
        <w:rPr>
          <w:b/>
        </w:rPr>
        <w:t xml:space="preserve">(p. b.) </w:t>
      </w:r>
      <w:r w:rsidRPr="00AE7664">
        <w:rPr>
          <w:b/>
        </w:rPr>
        <w:t xml:space="preserve">na </w:t>
      </w:r>
      <w:r w:rsidR="00AE7664" w:rsidRPr="00AE7664">
        <w:rPr>
          <w:b/>
        </w:rPr>
        <w:t>3</w:t>
      </w:r>
      <w:r w:rsidR="00130B45">
        <w:rPr>
          <w:b/>
        </w:rPr>
        <w:t>3,99</w:t>
      </w:r>
      <w:r w:rsidRPr="00AE7664">
        <w:rPr>
          <w:b/>
        </w:rPr>
        <w:t xml:space="preserve"> % HDP.</w:t>
      </w:r>
    </w:p>
    <w:p w:rsidR="00277D51" w:rsidRDefault="00277D51" w:rsidP="00277D51"/>
    <w:p w:rsidR="00CC3A61" w:rsidRDefault="00277D51" w:rsidP="00277D51">
      <w:r>
        <w:t xml:space="preserve">V </w:t>
      </w:r>
      <w:r w:rsidR="00CC3A61">
        <w:t>prvním</w:t>
      </w:r>
      <w:r>
        <w:t xml:space="preserve"> čtvrtletí 201</w:t>
      </w:r>
      <w:r w:rsidR="00CC3A61">
        <w:t>9</w:t>
      </w:r>
      <w:r w:rsidR="002E49ED">
        <w:t xml:space="preserve"> došlo meziročně k poklesu</w:t>
      </w:r>
      <w:r>
        <w:t xml:space="preserve"> salda hospodaření vládních institucí o</w:t>
      </w:r>
      <w:r w:rsidR="00BE6EEB">
        <w:t> </w:t>
      </w:r>
      <w:r w:rsidR="00CC3A61">
        <w:t>3,6</w:t>
      </w:r>
      <w:r w:rsidR="00493A7C">
        <w:t> </w:t>
      </w:r>
      <w:r>
        <w:t>mld.</w:t>
      </w:r>
      <w:r w:rsidR="00BE6EEB">
        <w:t> </w:t>
      </w:r>
      <w:r>
        <w:t>Kč.</w:t>
      </w:r>
      <w:r w:rsidR="00CC3A61">
        <w:t xml:space="preserve"> </w:t>
      </w:r>
      <w:r>
        <w:t xml:space="preserve">Saldo hospodaření ústředních vládních institucí se meziročně zhoršilo o </w:t>
      </w:r>
      <w:r w:rsidR="00CC3A61">
        <w:t>9,6</w:t>
      </w:r>
      <w:r>
        <w:t xml:space="preserve"> mld. Kč </w:t>
      </w:r>
      <w:r w:rsidR="00CC3A61">
        <w:t xml:space="preserve">a dosáhlo schodku 26,1 </w:t>
      </w:r>
      <w:r>
        <w:t xml:space="preserve">mld. Kč, </w:t>
      </w:r>
      <w:r w:rsidR="00CC3A61">
        <w:t>zatímco místní vládní instituce hospodařily s přebytkem 20,4 mld. Kč, který byl meziročně o 6</w:t>
      </w:r>
      <w:r w:rsidR="00AB1049">
        <w:t>,0</w:t>
      </w:r>
      <w:r w:rsidR="00CC3A61">
        <w:t xml:space="preserve"> mld. Kč vyšší. Hospodaření fondů sociálního zabezpečení se meziročně nezměnilo a dosáhlo přebytku 3,4 mld. Kč</w:t>
      </w:r>
      <w:r w:rsidR="00BE6EEB">
        <w:t>.</w:t>
      </w:r>
    </w:p>
    <w:p w:rsidR="00CC3A61" w:rsidRDefault="00CC3A61" w:rsidP="00277D51"/>
    <w:p w:rsidR="00277D51" w:rsidRDefault="00277D51" w:rsidP="00277D51">
      <w:pPr>
        <w:pStyle w:val="TabulkaGraf"/>
      </w:pPr>
      <w:r>
        <w:t xml:space="preserve">Saldo hospodaření sektoru vládních institucí, </w:t>
      </w:r>
      <w:r w:rsidR="005210B3">
        <w:t>1</w:t>
      </w:r>
      <w:r>
        <w:t>. čtvrtletí 201</w:t>
      </w:r>
      <w:r w:rsidR="005210B3">
        <w:t>7</w:t>
      </w:r>
      <w:r>
        <w:t xml:space="preserve"> –</w:t>
      </w:r>
      <w:r w:rsidRPr="007F7CB9">
        <w:t xml:space="preserve"> </w:t>
      </w:r>
      <w:r w:rsidR="005210B3">
        <w:t>1</w:t>
      </w:r>
      <w:r>
        <w:t>. čtvrtletí 201</w:t>
      </w:r>
      <w:r w:rsidR="005210B3">
        <w:t>9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5210B3" w:rsidRPr="000A5146" w:rsidTr="00B663A0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0A5146" w:rsidRDefault="005210B3" w:rsidP="005210B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5210B3" w:rsidRDefault="005210B3" w:rsidP="005210B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210B3">
              <w:rPr>
                <w:rFonts w:cs="Arial"/>
                <w:color w:val="000000"/>
                <w:sz w:val="18"/>
                <w:szCs w:val="18"/>
              </w:rPr>
              <w:t>1.Q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5210B3" w:rsidRDefault="005210B3" w:rsidP="005210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5210B3">
              <w:rPr>
                <w:rFonts w:cs="Arial"/>
                <w:color w:val="000000"/>
                <w:sz w:val="18"/>
                <w:szCs w:val="18"/>
              </w:rPr>
              <w:t>2.Q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5210B3" w:rsidRDefault="005210B3" w:rsidP="005210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5210B3">
              <w:rPr>
                <w:rFonts w:cs="Arial"/>
                <w:color w:val="000000"/>
                <w:sz w:val="18"/>
                <w:szCs w:val="18"/>
              </w:rPr>
              <w:t>3.Q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5210B3" w:rsidRDefault="005210B3" w:rsidP="005210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5210B3">
              <w:rPr>
                <w:rFonts w:cs="Arial"/>
                <w:color w:val="000000"/>
                <w:sz w:val="18"/>
                <w:szCs w:val="18"/>
              </w:rPr>
              <w:t>4.Q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5210B3" w:rsidRDefault="005210B3" w:rsidP="005210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5210B3">
              <w:rPr>
                <w:rFonts w:cs="Arial"/>
                <w:color w:val="000000"/>
                <w:sz w:val="18"/>
                <w:szCs w:val="18"/>
              </w:rPr>
              <w:t>1.Q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5210B3" w:rsidRDefault="005210B3" w:rsidP="005210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5210B3">
              <w:rPr>
                <w:rFonts w:cs="Arial"/>
                <w:color w:val="000000"/>
                <w:sz w:val="18"/>
                <w:szCs w:val="18"/>
              </w:rPr>
              <w:t>2.Q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5210B3" w:rsidRDefault="005210B3" w:rsidP="005210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5210B3">
              <w:rPr>
                <w:rFonts w:cs="Arial"/>
                <w:color w:val="000000"/>
                <w:sz w:val="18"/>
                <w:szCs w:val="18"/>
              </w:rPr>
              <w:t>3.Q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5210B3" w:rsidRDefault="005210B3" w:rsidP="005210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5210B3">
              <w:rPr>
                <w:rFonts w:cs="Arial"/>
                <w:color w:val="000000"/>
                <w:sz w:val="18"/>
                <w:szCs w:val="18"/>
              </w:rPr>
              <w:t>4.Q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0B3" w:rsidRPr="005210B3" w:rsidRDefault="005210B3" w:rsidP="005210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5210B3">
              <w:rPr>
                <w:rFonts w:cs="Arial"/>
                <w:color w:val="000000"/>
                <w:sz w:val="18"/>
                <w:szCs w:val="18"/>
              </w:rPr>
              <w:t>1.Q 2019</w:t>
            </w:r>
            <w:proofErr w:type="gramEnd"/>
          </w:p>
        </w:tc>
      </w:tr>
      <w:tr w:rsidR="006F36B6" w:rsidRPr="000A5146" w:rsidTr="00B663A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0A5146" w:rsidRDefault="006F36B6" w:rsidP="006F36B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-9,8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-2,3</w:t>
            </w:r>
          </w:p>
        </w:tc>
      </w:tr>
      <w:tr w:rsidR="006F36B6" w:rsidRPr="000A5146" w:rsidTr="00B663A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0A5146" w:rsidRDefault="006F36B6" w:rsidP="006F36B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-0,70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B6" w:rsidRPr="006F36B6" w:rsidRDefault="006F36B6" w:rsidP="006F36B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F36B6">
              <w:rPr>
                <w:rFonts w:cs="Arial"/>
                <w:color w:val="000000"/>
                <w:sz w:val="18"/>
                <w:szCs w:val="18"/>
              </w:rPr>
              <w:t>-0,18</w:t>
            </w:r>
          </w:p>
        </w:tc>
      </w:tr>
    </w:tbl>
    <w:p w:rsidR="00277D51" w:rsidRPr="00281792" w:rsidRDefault="00277D51" w:rsidP="00277D51">
      <w:pPr>
        <w:rPr>
          <w:i/>
          <w:sz w:val="18"/>
          <w:szCs w:val="18"/>
        </w:rPr>
      </w:pPr>
      <w:r w:rsidRPr="00281792">
        <w:rPr>
          <w:i/>
          <w:sz w:val="18"/>
          <w:szCs w:val="18"/>
        </w:rPr>
        <w:t>Poznámka: Údaje v tabulce nejsou sezónně očištěny, nelze je srovnávat mezičtvrtletně.</w:t>
      </w:r>
    </w:p>
    <w:p w:rsidR="00277D51" w:rsidRDefault="00277D51" w:rsidP="00277D51"/>
    <w:p w:rsidR="00277D51" w:rsidRPr="00642760" w:rsidRDefault="00277D51" w:rsidP="00277D51">
      <w:r w:rsidRPr="00642760">
        <w:t xml:space="preserve">Celkové příjmy sektoru vládních institucí vzrostly meziročně o </w:t>
      </w:r>
      <w:r>
        <w:t>8,</w:t>
      </w:r>
      <w:r w:rsidR="00FF2A11">
        <w:t>3</w:t>
      </w:r>
      <w:r w:rsidRPr="00642760">
        <w:t xml:space="preserve"> %</w:t>
      </w:r>
      <w:r>
        <w:t>. Na meziročním růstu příjmů se zejména podílel růst příjmů z přijatých sociálních příspěvků (+</w:t>
      </w:r>
      <w:r w:rsidR="00157319">
        <w:t>8,2</w:t>
      </w:r>
      <w:r>
        <w:t xml:space="preserve"> % na 21</w:t>
      </w:r>
      <w:r w:rsidR="00157319">
        <w:t>7</w:t>
      </w:r>
      <w:r>
        <w:t>,</w:t>
      </w:r>
      <w:r w:rsidR="00157319">
        <w:t xml:space="preserve">6 mld. Kč), </w:t>
      </w:r>
      <w:r>
        <w:t>daní z důchodů (+</w:t>
      </w:r>
      <w:r w:rsidR="00157319">
        <w:t>10,4</w:t>
      </w:r>
      <w:r>
        <w:t xml:space="preserve"> % na 10</w:t>
      </w:r>
      <w:r w:rsidR="00157319">
        <w:t>3</w:t>
      </w:r>
      <w:r>
        <w:t>,</w:t>
      </w:r>
      <w:r w:rsidR="00157319">
        <w:t>6</w:t>
      </w:r>
      <w:r>
        <w:t xml:space="preserve"> mld. Kč), kapitálových transferů (+</w:t>
      </w:r>
      <w:r w:rsidR="00157319">
        <w:t>56</w:t>
      </w:r>
      <w:r>
        <w:t>,</w:t>
      </w:r>
      <w:r w:rsidR="00157319">
        <w:t>1</w:t>
      </w:r>
      <w:r>
        <w:t xml:space="preserve"> % na 7,</w:t>
      </w:r>
      <w:r w:rsidR="00157319">
        <w:t>6</w:t>
      </w:r>
      <w:r>
        <w:t xml:space="preserve"> mld. Kč) a běžných transferů (+</w:t>
      </w:r>
      <w:r w:rsidR="00157319">
        <w:t>19</w:t>
      </w:r>
      <w:r>
        <w:t>,</w:t>
      </w:r>
      <w:r w:rsidR="00157319">
        <w:t>2</w:t>
      </w:r>
      <w:r>
        <w:t xml:space="preserve"> % na </w:t>
      </w:r>
      <w:r w:rsidR="00157319">
        <w:t>12,0</w:t>
      </w:r>
      <w:r>
        <w:t xml:space="preserve"> mld. Kč). Celkové výdaje vládních institucí vzrostly meziročně o </w:t>
      </w:r>
      <w:r w:rsidR="00157319">
        <w:t>9,1</w:t>
      </w:r>
      <w:r w:rsidR="006839CA">
        <w:t> </w:t>
      </w:r>
      <w:r>
        <w:t xml:space="preserve">%. K růstu výdajů nejvíce přispěl růst objemu </w:t>
      </w:r>
      <w:r w:rsidR="00157319">
        <w:t>vyplacených běžných transferů (+33,0 % na 33,9 mld. Kč)</w:t>
      </w:r>
      <w:r w:rsidR="00281792">
        <w:t xml:space="preserve"> zejména z důvodu vyšší</w:t>
      </w:r>
      <w:r w:rsidR="006839CA">
        <w:t xml:space="preserve">ch odvodů vlastních zdrojů </w:t>
      </w:r>
      <w:r w:rsidR="00281792">
        <w:t>do rozpočtu EU. Rovněž vzrostly investiční</w:t>
      </w:r>
      <w:r>
        <w:t xml:space="preserve"> výdaj</w:t>
      </w:r>
      <w:r w:rsidR="00281792">
        <w:t>e</w:t>
      </w:r>
      <w:r>
        <w:t xml:space="preserve"> (+</w:t>
      </w:r>
      <w:r w:rsidR="00157319">
        <w:t>15,7</w:t>
      </w:r>
      <w:r>
        <w:t xml:space="preserve"> % na </w:t>
      </w:r>
      <w:r w:rsidR="00157319">
        <w:t>50,7</w:t>
      </w:r>
      <w:r>
        <w:t xml:space="preserve"> mld. Kč)</w:t>
      </w:r>
      <w:r w:rsidR="003D316B">
        <w:t xml:space="preserve">, </w:t>
      </w:r>
      <w:r>
        <w:t>náhrad</w:t>
      </w:r>
      <w:r w:rsidR="00281792">
        <w:t>y</w:t>
      </w:r>
      <w:r>
        <w:t xml:space="preserve"> zaměstnancům (+</w:t>
      </w:r>
      <w:r w:rsidR="003D316B">
        <w:t>9,6</w:t>
      </w:r>
      <w:r>
        <w:t xml:space="preserve"> % na </w:t>
      </w:r>
      <w:r w:rsidR="003D316B">
        <w:t>136,6</w:t>
      </w:r>
      <w:r w:rsidR="00281792">
        <w:t xml:space="preserve"> mld. Kč) a vyplacené sociální dávky</w:t>
      </w:r>
      <w:r>
        <w:t xml:space="preserve"> (+</w:t>
      </w:r>
      <w:r w:rsidR="003D316B">
        <w:t>7,4</w:t>
      </w:r>
      <w:r>
        <w:t xml:space="preserve"> % na 1</w:t>
      </w:r>
      <w:r w:rsidR="003D316B">
        <w:t>69,3</w:t>
      </w:r>
      <w:r>
        <w:t xml:space="preserve"> mld. Kč). </w:t>
      </w:r>
    </w:p>
    <w:p w:rsidR="00277D51" w:rsidRDefault="00277D51" w:rsidP="00277D51"/>
    <w:p w:rsidR="00277D51" w:rsidRDefault="00277D51" w:rsidP="00277D51">
      <w:r w:rsidRPr="005C7AB9">
        <w:t>Míra zadlužení sektoru vládních institucí meziročně poklesla z</w:t>
      </w:r>
      <w:r w:rsidR="005C7AB9">
        <w:t> </w:t>
      </w:r>
      <w:r w:rsidRPr="005C7AB9">
        <w:t>3</w:t>
      </w:r>
      <w:r w:rsidR="005C7AB9">
        <w:t>5,79</w:t>
      </w:r>
      <w:r w:rsidRPr="005C7AB9">
        <w:t xml:space="preserve"> na </w:t>
      </w:r>
      <w:r w:rsidR="00130B45">
        <w:t>33,99</w:t>
      </w:r>
      <w:r w:rsidRPr="005C7AB9">
        <w:t xml:space="preserve"> % HDP, přičemž rostoucí nominální HDP přispěl k poklesu zadlužení o 1,</w:t>
      </w:r>
      <w:r w:rsidR="005C7AB9">
        <w:t>90</w:t>
      </w:r>
      <w:r w:rsidRPr="005C7AB9">
        <w:t xml:space="preserve"> p. b. Nominální dluh vládních institucí meziročně </w:t>
      </w:r>
      <w:r w:rsidR="005C7AB9">
        <w:t>vzrostl</w:t>
      </w:r>
      <w:r w:rsidRPr="005C7AB9">
        <w:t xml:space="preserve"> o </w:t>
      </w:r>
      <w:r w:rsidR="004B2E4B">
        <w:t>4,7</w:t>
      </w:r>
      <w:r w:rsidRPr="005C7AB9">
        <w:t xml:space="preserve"> mld. </w:t>
      </w:r>
      <w:r w:rsidR="00846DCC">
        <w:t xml:space="preserve">Kč </w:t>
      </w:r>
      <w:r w:rsidRPr="005C7AB9">
        <w:t>na 1</w:t>
      </w:r>
      <w:r w:rsidR="00621E4F">
        <w:t> 837,0</w:t>
      </w:r>
      <w:r w:rsidRPr="005C7AB9">
        <w:t xml:space="preserve"> mld.</w:t>
      </w:r>
      <w:r w:rsidR="00846DCC">
        <w:t xml:space="preserve"> Kč</w:t>
      </w:r>
      <w:r w:rsidRPr="005C7AB9">
        <w:t xml:space="preserve"> a </w:t>
      </w:r>
      <w:r w:rsidR="00621E4F">
        <w:t>přispěl tak k </w:t>
      </w:r>
      <w:r w:rsidR="00FD00A7">
        <w:t>nárůstu</w:t>
      </w:r>
      <w:r w:rsidR="00621E4F">
        <w:t xml:space="preserve"> míry zadlužení o</w:t>
      </w:r>
      <w:r w:rsidR="006839CA">
        <w:t> </w:t>
      </w:r>
      <w:r w:rsidRPr="005C7AB9">
        <w:t>0,</w:t>
      </w:r>
      <w:r w:rsidR="00621E4F">
        <w:t>10</w:t>
      </w:r>
      <w:r w:rsidRPr="005C7AB9">
        <w:t> p.</w:t>
      </w:r>
      <w:r w:rsidR="006839CA">
        <w:t> </w:t>
      </w:r>
      <w:r w:rsidRPr="005C7AB9">
        <w:t>b. Mezičtvrtletně došlo k</w:t>
      </w:r>
      <w:r w:rsidR="00FD00A7">
        <w:t>e</w:t>
      </w:r>
      <w:r w:rsidRPr="005C7AB9">
        <w:t> </w:t>
      </w:r>
      <w:r w:rsidR="00FD00A7">
        <w:t xml:space="preserve">zvýšení dluhu o 101,9 mld. Kč, přičemž </w:t>
      </w:r>
      <w:r w:rsidR="00445CAB">
        <w:t>obdobně</w:t>
      </w:r>
      <w:r w:rsidR="00FD00A7">
        <w:t xml:space="preserve"> vzrostla </w:t>
      </w:r>
      <w:r w:rsidR="00445CAB">
        <w:t>i</w:t>
      </w:r>
      <w:r w:rsidR="006839CA">
        <w:t> </w:t>
      </w:r>
      <w:r w:rsidR="00FD00A7">
        <w:t xml:space="preserve">hodnota finančních aktiv v držení vládních institucí. Ve srovnání s předchozím čtvrtletím míra zadluženosti stoupla o 1,43 p. b. </w:t>
      </w:r>
    </w:p>
    <w:p w:rsidR="00EB333A" w:rsidRPr="005C7AB9" w:rsidRDefault="00EB333A" w:rsidP="00277D51"/>
    <w:p w:rsidR="00277D51" w:rsidRPr="005C7AB9" w:rsidRDefault="00277D51" w:rsidP="009D294D">
      <w:r w:rsidRPr="005C7AB9">
        <w:t>Z hlediska jednotlivých komponent dluhu</w:t>
      </w:r>
      <w:r w:rsidR="007379CF">
        <w:t xml:space="preserve"> byl meziroční nárůst dluhu způsoben přijatými půjčkami (18,3 %)</w:t>
      </w:r>
      <w:r w:rsidR="0061331F">
        <w:t>,</w:t>
      </w:r>
      <w:r w:rsidR="007379CF">
        <w:t xml:space="preserve"> naopak hodnota emitovaných dluhových cenných papírů poklesla o 1</w:t>
      </w:r>
      <w:r w:rsidR="00706DBC">
        <w:t>,0</w:t>
      </w:r>
      <w:r w:rsidR="007379CF">
        <w:t xml:space="preserve"> %. Objem krátkodobých cenných papírů poklesl o 177,7 mld. Kč, zatímco hodnota dlouhodobých cenných </w:t>
      </w:r>
      <w:r w:rsidR="007379CF">
        <w:lastRenderedPageBreak/>
        <w:t>papírů vzrostla o 160,3 mld. Kč.</w:t>
      </w:r>
      <w:r w:rsidR="004B0C7A">
        <w:t xml:space="preserve"> </w:t>
      </w:r>
      <w:r w:rsidRPr="005C7AB9">
        <w:t>V mezičtvrtletním srovnání došlo</w:t>
      </w:r>
      <w:r w:rsidR="004B0C7A">
        <w:t xml:space="preserve"> k nárůstu emitovaných cenných papírů o 7,5 % při poklesu ostatních složek dluhu. Hlavním instrument</w:t>
      </w:r>
      <w:r w:rsidR="00066592">
        <w:t>em</w:t>
      </w:r>
      <w:r w:rsidR="004B0C7A">
        <w:t xml:space="preserve"> zůstávají emitované cenné papíry s podílem 91,0 %.</w:t>
      </w:r>
    </w:p>
    <w:p w:rsidR="00277D51" w:rsidRPr="00E77B62" w:rsidRDefault="00277D51" w:rsidP="00277D51">
      <w:pPr>
        <w:rPr>
          <w:highlight w:val="yellow"/>
        </w:rPr>
      </w:pPr>
    </w:p>
    <w:p w:rsidR="00277D51" w:rsidRPr="00706DBC" w:rsidRDefault="00277D51" w:rsidP="00277D51">
      <w:pPr>
        <w:pStyle w:val="TabulkaGraf"/>
      </w:pPr>
      <w:r w:rsidRPr="00706DBC">
        <w:t xml:space="preserve">Dluh sektoru vládních institucí, </w:t>
      </w:r>
      <w:r w:rsidR="00E77B62" w:rsidRPr="00706DBC">
        <w:t>1</w:t>
      </w:r>
      <w:r w:rsidRPr="00706DBC">
        <w:t>. čtvrtletí 201</w:t>
      </w:r>
      <w:r w:rsidR="00E77B62" w:rsidRPr="00706DBC">
        <w:t>7</w:t>
      </w:r>
      <w:r w:rsidRPr="00706DBC">
        <w:t xml:space="preserve"> – </w:t>
      </w:r>
      <w:r w:rsidR="00E77B62" w:rsidRPr="00706DBC">
        <w:t>1</w:t>
      </w:r>
      <w:r w:rsidRPr="00706DBC">
        <w:t>. čtvrtletí 201</w:t>
      </w:r>
      <w:r w:rsidR="00E77B62" w:rsidRPr="00706DBC">
        <w:t>9</w:t>
      </w:r>
    </w:p>
    <w:p w:rsidR="00277D51" w:rsidRPr="00270F84" w:rsidRDefault="00706DBC" w:rsidP="00277D51">
      <w:r>
        <w:rPr>
          <w:noProof/>
          <w:lang w:eastAsia="cs-CZ"/>
        </w:rPr>
        <w:drawing>
          <wp:inline distT="0" distB="0" distL="0" distR="0" wp14:anchorId="018B4BE0" wp14:editId="5BF366CE">
            <wp:extent cx="5446644" cy="2997642"/>
            <wp:effectExtent l="0" t="0" r="1905" b="1270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32CC" w:rsidRDefault="00B632CC" w:rsidP="00043BF4"/>
    <w:p w:rsidR="0061331F" w:rsidRDefault="0061331F" w:rsidP="00E77B62">
      <w:r>
        <w:t>Český statistický úřad prvně přináší i údaje o saldu vládních institucí očištěném o sezónní a kalendářní vlivy. Tento ukazatel bude pravidelně součástí rychlé informace k deficitu a dluhu vládních institucí.</w:t>
      </w:r>
    </w:p>
    <w:p w:rsidR="0061331F" w:rsidRDefault="0061331F" w:rsidP="00E77B62"/>
    <w:p w:rsidR="00E77B62" w:rsidRDefault="00AB1049" w:rsidP="00E77B62">
      <w:r>
        <w:t>Saldo hospodaření vládních institucí po očištění o sezónní a kalendářní vlivy skončilo v přebytku 15,7 mld. Kč, který představuje 1,13 % HDP.</w:t>
      </w:r>
      <w:r w:rsidR="002A61EA">
        <w:t xml:space="preserve"> </w:t>
      </w:r>
      <w:r>
        <w:t>Mezičtvrtletně vzrostl očištěný přebytek hospodaření o 4,2 mld. Kč</w:t>
      </w:r>
      <w:r w:rsidR="002A61EA">
        <w:t>. Vývoj salda hospodaření vládních institucí očištěného o sezónní a kalendářní vlivy ilustruje následující graf.</w:t>
      </w:r>
    </w:p>
    <w:p w:rsidR="004E1F8B" w:rsidRDefault="004E1F8B" w:rsidP="00E77B62"/>
    <w:p w:rsidR="00276A00" w:rsidRPr="00706DBC" w:rsidRDefault="0061331F" w:rsidP="0061331F">
      <w:pPr>
        <w:pStyle w:val="TabulkaGraf"/>
        <w:keepNext/>
      </w:pPr>
      <w:r>
        <w:lastRenderedPageBreak/>
        <w:t>Sezónně o</w:t>
      </w:r>
      <w:r w:rsidR="00276A00">
        <w:t>čištěné saldo hospodaření</w:t>
      </w:r>
      <w:r w:rsidR="00276A00" w:rsidRPr="00706DBC">
        <w:t xml:space="preserve"> vládních institucí, 1. čtvrtletí 2017 – 1. čtvrtletí 2019</w:t>
      </w:r>
    </w:p>
    <w:p w:rsidR="004E1F8B" w:rsidRDefault="00A70BE8" w:rsidP="00E77B62">
      <w:r>
        <w:rPr>
          <w:noProof/>
          <w:lang w:eastAsia="cs-CZ"/>
        </w:rPr>
        <w:drawing>
          <wp:inline distT="0" distB="0" distL="0" distR="0" wp14:anchorId="46B63925" wp14:editId="13E86443">
            <wp:extent cx="5400040" cy="2294255"/>
            <wp:effectExtent l="0" t="0" r="10160" b="1079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1F8B" w:rsidRDefault="004E1F8B" w:rsidP="00E77B62"/>
    <w:p w:rsidR="00277D51" w:rsidRPr="004920AD" w:rsidRDefault="00277D51" w:rsidP="00277D51">
      <w:pPr>
        <w:pStyle w:val="Poznmky0"/>
      </w:pPr>
      <w:bookmarkStart w:id="0" w:name="_GoBack"/>
      <w:bookmarkEnd w:id="0"/>
      <w:r>
        <w:t>Poznámky:</w:t>
      </w:r>
    </w:p>
    <w:p w:rsidR="00277D51" w:rsidRPr="002C1411" w:rsidRDefault="00277D51" w:rsidP="00277D51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</w:t>
      </w:r>
      <w:r w:rsidR="0035353B">
        <w:rPr>
          <w:i/>
          <w:sz w:val="18"/>
          <w:szCs w:val="18"/>
        </w:rPr>
        <w:t>y</w:t>
      </w:r>
      <w:r>
        <w:rPr>
          <w:i/>
          <w:sz w:val="18"/>
          <w:szCs w:val="18"/>
        </w:rPr>
        <w:t xml:space="preserve">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:rsidR="00277D51" w:rsidRPr="002C1411" w:rsidRDefault="00277D51" w:rsidP="00277D51">
      <w:pPr>
        <w:rPr>
          <w:i/>
          <w:sz w:val="18"/>
          <w:szCs w:val="18"/>
        </w:rPr>
      </w:pPr>
    </w:p>
    <w:p w:rsidR="00277D51" w:rsidRPr="002009DA" w:rsidRDefault="00277D51" w:rsidP="00277D51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 w:rsidR="002E3B63"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 w:rsidR="002E3B63"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:rsidR="00277D51" w:rsidRPr="002009DA" w:rsidRDefault="00277D51" w:rsidP="00277D51">
      <w:pPr>
        <w:rPr>
          <w:rFonts w:cs="Arial"/>
          <w:i/>
          <w:sz w:val="18"/>
          <w:szCs w:val="18"/>
        </w:rPr>
      </w:pPr>
    </w:p>
    <w:p w:rsidR="00277D51" w:rsidRPr="002C1411" w:rsidRDefault="00277D51" w:rsidP="00277D51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:rsidR="00277D51" w:rsidRPr="002C1411" w:rsidRDefault="00277D51" w:rsidP="00277D51">
      <w:pPr>
        <w:rPr>
          <w:i/>
          <w:sz w:val="18"/>
          <w:szCs w:val="18"/>
        </w:rPr>
      </w:pPr>
    </w:p>
    <w:p w:rsidR="00277D51" w:rsidRPr="002C1411" w:rsidRDefault="00277D51" w:rsidP="00277D51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277D51" w:rsidRDefault="00277D51" w:rsidP="00277D51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9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332342" w:rsidRDefault="00332342" w:rsidP="00277D51">
      <w:pPr>
        <w:rPr>
          <w:i/>
          <w:sz w:val="18"/>
          <w:szCs w:val="18"/>
        </w:rPr>
      </w:pPr>
    </w:p>
    <w:p w:rsidR="00332342" w:rsidRPr="002C1411" w:rsidRDefault="00332342" w:rsidP="00277D51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:rsidR="00277D51" w:rsidRPr="002C1411" w:rsidRDefault="00277D51" w:rsidP="00277D51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277D51" w:rsidRDefault="00277D51" w:rsidP="00B663A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0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277D51" w:rsidRDefault="00277D51" w:rsidP="00B663A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1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277D51" w:rsidRPr="007F7CB9" w:rsidRDefault="00277D51" w:rsidP="00E4359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E4359E">
              <w:rPr>
                <w:i/>
                <w:iCs/>
                <w:sz w:val="18"/>
                <w:szCs w:val="18"/>
              </w:rPr>
              <w:t>2</w:t>
            </w:r>
            <w:r w:rsidRPr="007F7CB9">
              <w:rPr>
                <w:i/>
                <w:iCs/>
                <w:sz w:val="18"/>
                <w:szCs w:val="18"/>
              </w:rPr>
              <w:t xml:space="preserve">. </w:t>
            </w:r>
            <w:r w:rsidR="00E4359E">
              <w:rPr>
                <w:i/>
                <w:iCs/>
                <w:sz w:val="18"/>
                <w:szCs w:val="18"/>
              </w:rPr>
              <w:t>10</w:t>
            </w:r>
            <w:r>
              <w:rPr>
                <w:i/>
                <w:iCs/>
                <w:sz w:val="18"/>
                <w:szCs w:val="18"/>
              </w:rPr>
              <w:t>. 2019</w:t>
            </w:r>
          </w:p>
        </w:tc>
      </w:tr>
    </w:tbl>
    <w:p w:rsidR="00277D51" w:rsidRPr="00277D51" w:rsidRDefault="00277D51" w:rsidP="00277D51"/>
    <w:sectPr w:rsidR="00277D51" w:rsidRPr="00277D51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EC" w:rsidRDefault="00847BEC" w:rsidP="00BA6370">
      <w:r>
        <w:separator/>
      </w:r>
    </w:p>
  </w:endnote>
  <w:endnote w:type="continuationSeparator" w:id="0">
    <w:p w:rsidR="00847BEC" w:rsidRDefault="00847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47B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C2B9E4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EC" w:rsidRDefault="00847BEC" w:rsidP="00BA6370">
      <w:r>
        <w:separator/>
      </w:r>
    </w:p>
  </w:footnote>
  <w:footnote w:type="continuationSeparator" w:id="0">
    <w:p w:rsidR="00847BEC" w:rsidRDefault="00847B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47B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D99BC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1648A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EDBA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B8EF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7ADF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A416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AE90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195CD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EC"/>
    <w:rsid w:val="00043BF4"/>
    <w:rsid w:val="00066592"/>
    <w:rsid w:val="000843A5"/>
    <w:rsid w:val="000910DA"/>
    <w:rsid w:val="00094EAB"/>
    <w:rsid w:val="00096D6C"/>
    <w:rsid w:val="000B6F63"/>
    <w:rsid w:val="000D093F"/>
    <w:rsid w:val="000E43CC"/>
    <w:rsid w:val="00112B77"/>
    <w:rsid w:val="00130B45"/>
    <w:rsid w:val="001404AB"/>
    <w:rsid w:val="001505BE"/>
    <w:rsid w:val="00157319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76A00"/>
    <w:rsid w:val="00277D51"/>
    <w:rsid w:val="00281792"/>
    <w:rsid w:val="002A61EA"/>
    <w:rsid w:val="002B2E47"/>
    <w:rsid w:val="002E3B63"/>
    <w:rsid w:val="002E49ED"/>
    <w:rsid w:val="003301A3"/>
    <w:rsid w:val="00332342"/>
    <w:rsid w:val="0035353B"/>
    <w:rsid w:val="0036777B"/>
    <w:rsid w:val="0038282A"/>
    <w:rsid w:val="00397580"/>
    <w:rsid w:val="003A45C8"/>
    <w:rsid w:val="003C2DCF"/>
    <w:rsid w:val="003C7FE7"/>
    <w:rsid w:val="003D0499"/>
    <w:rsid w:val="003D316B"/>
    <w:rsid w:val="003D3576"/>
    <w:rsid w:val="003F526A"/>
    <w:rsid w:val="00405244"/>
    <w:rsid w:val="004154C7"/>
    <w:rsid w:val="004436EE"/>
    <w:rsid w:val="00445CAB"/>
    <w:rsid w:val="0045547F"/>
    <w:rsid w:val="00471DEF"/>
    <w:rsid w:val="004920AD"/>
    <w:rsid w:val="00493A7C"/>
    <w:rsid w:val="00494AE6"/>
    <w:rsid w:val="004B0C7A"/>
    <w:rsid w:val="004B2E4B"/>
    <w:rsid w:val="004B7E30"/>
    <w:rsid w:val="004D05B3"/>
    <w:rsid w:val="004E1F8B"/>
    <w:rsid w:val="004E479E"/>
    <w:rsid w:val="004F686C"/>
    <w:rsid w:val="004F78E6"/>
    <w:rsid w:val="0050420E"/>
    <w:rsid w:val="00512D99"/>
    <w:rsid w:val="005210B3"/>
    <w:rsid w:val="00531DBB"/>
    <w:rsid w:val="005442A9"/>
    <w:rsid w:val="00573994"/>
    <w:rsid w:val="005C7AB9"/>
    <w:rsid w:val="005F79FB"/>
    <w:rsid w:val="00604406"/>
    <w:rsid w:val="00605F4A"/>
    <w:rsid w:val="00607822"/>
    <w:rsid w:val="006103AA"/>
    <w:rsid w:val="0061331F"/>
    <w:rsid w:val="00613BBF"/>
    <w:rsid w:val="00621E4F"/>
    <w:rsid w:val="00622B80"/>
    <w:rsid w:val="0064139A"/>
    <w:rsid w:val="006839CA"/>
    <w:rsid w:val="006931CF"/>
    <w:rsid w:val="006B1F93"/>
    <w:rsid w:val="006E024F"/>
    <w:rsid w:val="006E4E81"/>
    <w:rsid w:val="006F36B6"/>
    <w:rsid w:val="00706DBC"/>
    <w:rsid w:val="00707F7D"/>
    <w:rsid w:val="00717EC5"/>
    <w:rsid w:val="007379CF"/>
    <w:rsid w:val="00741BA4"/>
    <w:rsid w:val="0074303E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46DCC"/>
    <w:rsid w:val="00847BEC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65891"/>
    <w:rsid w:val="00986DD7"/>
    <w:rsid w:val="009B55B1"/>
    <w:rsid w:val="009D294D"/>
    <w:rsid w:val="00A0762A"/>
    <w:rsid w:val="00A4343D"/>
    <w:rsid w:val="00A502F1"/>
    <w:rsid w:val="00A70A83"/>
    <w:rsid w:val="00A70BE8"/>
    <w:rsid w:val="00A81EB3"/>
    <w:rsid w:val="00A87CF6"/>
    <w:rsid w:val="00AB1049"/>
    <w:rsid w:val="00AB3410"/>
    <w:rsid w:val="00AB4F10"/>
    <w:rsid w:val="00AE7664"/>
    <w:rsid w:val="00B00C1D"/>
    <w:rsid w:val="00B55375"/>
    <w:rsid w:val="00B632CC"/>
    <w:rsid w:val="00BA12F1"/>
    <w:rsid w:val="00BA439F"/>
    <w:rsid w:val="00BA6370"/>
    <w:rsid w:val="00BE3D5B"/>
    <w:rsid w:val="00BE6EEB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C3A61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D461E"/>
    <w:rsid w:val="00DF47FE"/>
    <w:rsid w:val="00E0156A"/>
    <w:rsid w:val="00E26704"/>
    <w:rsid w:val="00E31980"/>
    <w:rsid w:val="00E3358A"/>
    <w:rsid w:val="00E4359E"/>
    <w:rsid w:val="00E539F9"/>
    <w:rsid w:val="00E6423C"/>
    <w:rsid w:val="00E77B62"/>
    <w:rsid w:val="00E93830"/>
    <w:rsid w:val="00E93E0E"/>
    <w:rsid w:val="00EB1ED3"/>
    <w:rsid w:val="00EB333A"/>
    <w:rsid w:val="00EF7AED"/>
    <w:rsid w:val="00F75F2A"/>
    <w:rsid w:val="00F80FFC"/>
    <w:rsid w:val="00FA015E"/>
    <w:rsid w:val="00FB687C"/>
    <w:rsid w:val="00FD00A7"/>
    <w:rsid w:val="00FF2A1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6C89CB9D"/>
  <w15:docId w15:val="{64AD427F-18A6-43FF-AF6B-7864E84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27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roslav.kahoun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tr.musil@czs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.indexnu_gov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5335\AppData\Local\Temp\Rychl&#225;%20informace%20CZ_2019-01-25-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1Q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1Q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2.7777777777777779E-3"/>
                  <c:y val="-2.84776902887139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672-4116-9EFE-AE446058A222}"/>
                </c:ext>
              </c:extLst>
            </c:dLbl>
            <c:dLbl>
              <c:idx val="1"/>
              <c:layout>
                <c:manualLayout>
                  <c:x val="-2.546266881603998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72-4116-9EFE-AE446058A222}"/>
                </c:ext>
              </c:extLst>
            </c:dLbl>
            <c:dLbl>
              <c:idx val="2"/>
              <c:layout>
                <c:manualLayout>
                  <c:x val="-2.7777777777778286E-3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72-4116-9EFE-AE446058A222}"/>
                </c:ext>
              </c:extLst>
            </c:dLbl>
            <c:dLbl>
              <c:idx val="3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72-4116-9EFE-AE446058A22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graf!$E$2:$M$2</c:f>
              <c:strCache>
                <c:ptCount val="9"/>
                <c:pt idx="0">
                  <c:v>1.Q 2017</c:v>
                </c:pt>
                <c:pt idx="1">
                  <c:v>2.Q 2017</c:v>
                </c:pt>
                <c:pt idx="2">
                  <c:v>3.Q 2017</c:v>
                </c:pt>
                <c:pt idx="3">
                  <c:v>4.Q 2017</c:v>
                </c:pt>
                <c:pt idx="4">
                  <c:v>1.Q 2018</c:v>
                </c:pt>
                <c:pt idx="5">
                  <c:v>2.Q 2018</c:v>
                </c:pt>
                <c:pt idx="6">
                  <c:v>3.Q 2018</c:v>
                </c:pt>
                <c:pt idx="7">
                  <c:v>4.Q 2018</c:v>
                </c:pt>
                <c:pt idx="8">
                  <c:v>1.Q 2019</c:v>
                </c:pt>
              </c:strCache>
            </c:strRef>
          </c:cat>
          <c:val>
            <c:numRef>
              <c:f>graf!$E$3:$M$3</c:f>
              <c:numCache>
                <c:formatCode>#,##0</c:formatCode>
                <c:ptCount val="9"/>
                <c:pt idx="0">
                  <c:v>1924.075</c:v>
                </c:pt>
                <c:pt idx="1">
                  <c:v>1923.566</c:v>
                </c:pt>
                <c:pt idx="2">
                  <c:v>1739.357</c:v>
                </c:pt>
                <c:pt idx="3">
                  <c:v>1749.5319999999999</c:v>
                </c:pt>
                <c:pt idx="4">
                  <c:v>1832.346</c:v>
                </c:pt>
                <c:pt idx="5">
                  <c:v>1827.29</c:v>
                </c:pt>
                <c:pt idx="6">
                  <c:v>1776.5309999999999</c:v>
                </c:pt>
                <c:pt idx="7">
                  <c:v>1735.076</c:v>
                </c:pt>
                <c:pt idx="8">
                  <c:v>1836.963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72-4116-9EFE-AE446058A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1869539392570684E-2"/>
                  <c:y val="4.9062791939143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672-4116-9EFE-AE446058A222}"/>
                </c:ext>
              </c:extLst>
            </c:dLbl>
            <c:dLbl>
              <c:idx val="2"/>
              <c:layout>
                <c:manualLayout>
                  <c:x val="-5.2315522469449934E-2"/>
                  <c:y val="5.8322100627252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672-4116-9EFE-AE446058A222}"/>
                </c:ext>
              </c:extLst>
            </c:dLbl>
            <c:dLbl>
              <c:idx val="3"/>
              <c:layout>
                <c:manualLayout>
                  <c:x val="-5.1869539392570684E-2"/>
                  <c:y val="4.8670425730681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672-4116-9EFE-AE446058A222}"/>
                </c:ext>
              </c:extLst>
            </c:dLbl>
            <c:dLbl>
              <c:idx val="5"/>
              <c:layout>
                <c:manualLayout>
                  <c:x val="-5.0133712299603686E-2"/>
                  <c:y val="5.6030294941945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672-4116-9EFE-AE446058A222}"/>
                </c:ext>
              </c:extLst>
            </c:dLbl>
            <c:dLbl>
              <c:idx val="6"/>
              <c:layout>
                <c:manualLayout>
                  <c:x val="-4.6361859541953897E-2"/>
                  <c:y val="4.25336981182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672-4116-9EFE-AE446058A222}"/>
                </c:ext>
              </c:extLst>
            </c:dLbl>
            <c:dLbl>
              <c:idx val="8"/>
              <c:layout>
                <c:manualLayout>
                  <c:x val="-4.8693677193813692E-2"/>
                  <c:y val="3.7511677565727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672-4116-9EFE-AE446058A2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graf!$E$2:$M$2</c:f>
              <c:strCache>
                <c:ptCount val="9"/>
                <c:pt idx="0">
                  <c:v>1.Q 2017</c:v>
                </c:pt>
                <c:pt idx="1">
                  <c:v>2.Q 2017</c:v>
                </c:pt>
                <c:pt idx="2">
                  <c:v>3.Q 2017</c:v>
                </c:pt>
                <c:pt idx="3">
                  <c:v>4.Q 2017</c:v>
                </c:pt>
                <c:pt idx="4">
                  <c:v>1.Q 2018</c:v>
                </c:pt>
                <c:pt idx="5">
                  <c:v>2.Q 2018</c:v>
                </c:pt>
                <c:pt idx="6">
                  <c:v>3.Q 2018</c:v>
                </c:pt>
                <c:pt idx="7">
                  <c:v>4.Q 2018</c:v>
                </c:pt>
                <c:pt idx="8">
                  <c:v>1.Q 2019</c:v>
                </c:pt>
              </c:strCache>
            </c:strRef>
          </c:xVal>
          <c:yVal>
            <c:numRef>
              <c:f>graf!$E$4:$M$4</c:f>
              <c:numCache>
                <c:formatCode>0.00</c:formatCode>
                <c:ptCount val="9"/>
                <c:pt idx="0">
                  <c:v>39.94</c:v>
                </c:pt>
                <c:pt idx="1">
                  <c:v>39.450000000000003</c:v>
                </c:pt>
                <c:pt idx="2">
                  <c:v>35.11</c:v>
                </c:pt>
                <c:pt idx="3">
                  <c:v>34.659999999999997</c:v>
                </c:pt>
                <c:pt idx="4">
                  <c:v>35.79</c:v>
                </c:pt>
                <c:pt idx="5">
                  <c:v>35.229999999999997</c:v>
                </c:pt>
                <c:pt idx="6">
                  <c:v>33.83</c:v>
                </c:pt>
                <c:pt idx="7">
                  <c:v>32.56</c:v>
                </c:pt>
                <c:pt idx="8">
                  <c:v>33.99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A672-4116-9EFE-AE446058A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2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14536929356082E-2"/>
          <c:y val="5.0925925925925923E-2"/>
          <c:w val="0.89880204591077106"/>
          <c:h val="0.84401254437715068"/>
        </c:manualLayout>
      </c:layout>
      <c:lineChart>
        <c:grouping val="standard"/>
        <c:varyColors val="0"/>
        <c:ser>
          <c:idx val="0"/>
          <c:order val="0"/>
          <c:tx>
            <c:strRef>
              <c:f>SEZ!$A$4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E8B-4B51-9E66-45099C93FCEC}"/>
                </c:ext>
              </c:extLst>
            </c:dLbl>
            <c:dLbl>
              <c:idx val="2"/>
              <c:layout>
                <c:manualLayout>
                  <c:x val="-5.128205128205128E-2"/>
                  <c:y val="-4.1666666666666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E8B-4B51-9E66-45099C93FCEC}"/>
                </c:ext>
              </c:extLst>
            </c:dLbl>
            <c:dLbl>
              <c:idx val="4"/>
              <c:layout>
                <c:manualLayout>
                  <c:x val="0"/>
                  <c:y val="-2.777777777777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E8B-4B51-9E66-45099C93FCEC}"/>
                </c:ext>
              </c:extLst>
            </c:dLbl>
            <c:dLbl>
              <c:idx val="8"/>
              <c:layout>
                <c:manualLayout>
                  <c:x val="-3.9215686274509914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E8B-4B51-9E66-45099C93FC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SEZ!$B$1:$J$1</c:f>
              <c:strCache>
                <c:ptCount val="9"/>
                <c:pt idx="0">
                  <c:v>1.Q 2017</c:v>
                </c:pt>
                <c:pt idx="1">
                  <c:v>2.Q 2017</c:v>
                </c:pt>
                <c:pt idx="2">
                  <c:v>3.Q 2017</c:v>
                </c:pt>
                <c:pt idx="3">
                  <c:v>4.Q 2017</c:v>
                </c:pt>
                <c:pt idx="4">
                  <c:v>1.Q 2018</c:v>
                </c:pt>
                <c:pt idx="5">
                  <c:v>2.Q 2018</c:v>
                </c:pt>
                <c:pt idx="6">
                  <c:v>3.Q 2018</c:v>
                </c:pt>
                <c:pt idx="7">
                  <c:v>4.Q 2018</c:v>
                </c:pt>
                <c:pt idx="8">
                  <c:v>1.Q 2019</c:v>
                </c:pt>
              </c:strCache>
            </c:strRef>
          </c:cat>
          <c:val>
            <c:numRef>
              <c:f>SEZ!$B$4:$J$4</c:f>
              <c:numCache>
                <c:formatCode>#,##0.00</c:formatCode>
                <c:ptCount val="9"/>
                <c:pt idx="0">
                  <c:v>1.1529654159392384</c:v>
                </c:pt>
                <c:pt idx="1">
                  <c:v>1.465243666978663</c:v>
                </c:pt>
                <c:pt idx="2">
                  <c:v>1.6905924588742012</c:v>
                </c:pt>
                <c:pt idx="3">
                  <c:v>1.8683051240435893</c:v>
                </c:pt>
                <c:pt idx="4">
                  <c:v>1.1761017830381992</c:v>
                </c:pt>
                <c:pt idx="5">
                  <c:v>1.1650720600702433</c:v>
                </c:pt>
                <c:pt idx="6">
                  <c:v>0.36504241679553001</c:v>
                </c:pt>
                <c:pt idx="7">
                  <c:v>0.84638751781781674</c:v>
                </c:pt>
                <c:pt idx="8">
                  <c:v>1.133315513453889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E8B-4B51-9E66-45099C93F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.0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4BE2-5FC8-4A44-A31C-6530D04C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326</TotalTime>
  <Pages>3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Musil</dc:creator>
  <cp:keywords/>
  <cp:lastModifiedBy>Petr Musil</cp:lastModifiedBy>
  <cp:revision>36</cp:revision>
  <cp:lastPrinted>2019-04-02T06:52:00Z</cp:lastPrinted>
  <dcterms:created xsi:type="dcterms:W3CDTF">2019-04-02T06:40:00Z</dcterms:created>
  <dcterms:modified xsi:type="dcterms:W3CDTF">2019-06-28T09:58:00Z</dcterms:modified>
</cp:coreProperties>
</file>