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FA1DE2" w:rsidP="00B708AC">
      <w:pPr>
        <w:pStyle w:val="datum"/>
      </w:pPr>
      <w:r>
        <w:t>11.</w:t>
      </w:r>
      <w:r w:rsidR="00B708AC">
        <w:t xml:space="preserve"> </w:t>
      </w:r>
      <w:r>
        <w:t>3.</w:t>
      </w:r>
      <w:r w:rsidR="00B708AC">
        <w:t xml:space="preserve"> 2019</w:t>
      </w:r>
    </w:p>
    <w:p w:rsidR="00B708AC" w:rsidRPr="00C51127" w:rsidRDefault="00A94755" w:rsidP="00B708AC">
      <w:pPr>
        <w:pStyle w:val="Nzev"/>
        <w:spacing w:after="120" w:line="240" w:lineRule="auto"/>
      </w:pPr>
      <w:bookmarkStart w:id="0" w:name="OLE_LINK1"/>
      <w:r>
        <w:t>Saldo zahraničního obchodu</w:t>
      </w:r>
      <w:r w:rsidR="00731D82">
        <w:t xml:space="preserve"> meziročně </w:t>
      </w:r>
      <w:r w:rsidR="003F2B0E">
        <w:t>klesl</w:t>
      </w:r>
      <w:r>
        <w:t>o</w:t>
      </w:r>
      <w:bookmarkStart w:id="1" w:name="_GoBack"/>
      <w:bookmarkEnd w:id="1"/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FA1DE2">
        <w:t>leden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 xml:space="preserve"> </w:t>
      </w:r>
      <w:r w:rsidR="00F47A3D">
        <w:rPr>
          <w:rFonts w:cs="Arial"/>
          <w:b/>
          <w:szCs w:val="18"/>
        </w:rPr>
        <w:t>lednu</w:t>
      </w:r>
      <w:r w:rsidRPr="00534D5E">
        <w:rPr>
          <w:rFonts w:cs="Arial"/>
          <w:b/>
          <w:szCs w:val="18"/>
        </w:rPr>
        <w:t xml:space="preserve"> bilance zahraničního obchodu se 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12,1 </w:t>
      </w:r>
      <w:r w:rsidR="004D7551" w:rsidRPr="00F43741">
        <w:rPr>
          <w:rFonts w:cs="Arial"/>
          <w:b/>
          <w:szCs w:val="18"/>
        </w:rPr>
        <w:t>mld.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 xml:space="preserve">Kč, </w:t>
      </w:r>
      <w:r w:rsidR="004D7551">
        <w:rPr>
          <w:rFonts w:cs="Arial"/>
          <w:b/>
          <w:color w:val="000000"/>
          <w:szCs w:val="18"/>
        </w:rPr>
        <w:t>který byl meziročně o 7,7 mld. Kč nižší.</w:t>
      </w:r>
      <w:r w:rsidR="004D7551">
        <w:rPr>
          <w:rFonts w:cs="Arial"/>
          <w:b/>
          <w:szCs w:val="18"/>
        </w:rPr>
        <w:t xml:space="preserve"> </w:t>
      </w:r>
    </w:p>
    <w:p w:rsidR="004D7551" w:rsidRDefault="004D7551" w:rsidP="004D7551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>
        <w:t>nepříznivě ovlivnilo především prohloubení schodku bilance</w:t>
      </w:r>
      <w:r w:rsidR="00D907C6">
        <w:t xml:space="preserve"> s počítači, elektronickými a optickými přístroji o 5,7 mld. Kč a ropou a zemním plynem o 1,6 mld. Kč. </w:t>
      </w:r>
      <w:r w:rsidR="00275856">
        <w:t xml:space="preserve">Nižší přebytek </w:t>
      </w:r>
      <w:r w:rsidR="003F4272">
        <w:t>vykázaly</w:t>
      </w:r>
      <w:r w:rsidR="00D907C6">
        <w:t xml:space="preserve"> bilance motorových vozidel </w:t>
      </w:r>
      <w:r w:rsidR="00275856">
        <w:t>(</w:t>
      </w:r>
      <w:r w:rsidR="00D907C6">
        <w:t>o 1,9 mld. Kč</w:t>
      </w:r>
      <w:r w:rsidR="00275856">
        <w:t>)</w:t>
      </w:r>
      <w:r w:rsidR="009D65CC">
        <w:t xml:space="preserve"> a strojů a </w:t>
      </w:r>
      <w:r w:rsidR="00D907C6">
        <w:t xml:space="preserve">zařízení </w:t>
      </w:r>
      <w:r w:rsidR="00275856">
        <w:t>(</w:t>
      </w:r>
      <w:r w:rsidR="00D907C6">
        <w:t>o 1,0 mld. Kč</w:t>
      </w:r>
      <w:r w:rsidR="00275856">
        <w:t>)</w:t>
      </w:r>
      <w:r w:rsidR="00D907C6">
        <w:t>.</w:t>
      </w:r>
      <w:r>
        <w:t xml:space="preserve"> </w:t>
      </w:r>
    </w:p>
    <w:p w:rsidR="004D7551" w:rsidRDefault="004D7551" w:rsidP="004D7551">
      <w:pPr>
        <w:keepNext/>
        <w:keepLines/>
        <w:spacing w:after="160"/>
        <w:outlineLvl w:val="1"/>
      </w:pPr>
      <w:r>
        <w:t>Přízniv</w:t>
      </w:r>
      <w:r w:rsidR="003F4272">
        <w:t>ě se na celkovém saldu odrazila</w:t>
      </w:r>
      <w:r>
        <w:t xml:space="preserve"> </w:t>
      </w:r>
      <w:r w:rsidR="003F4272">
        <w:t>zejména lepší bilance ostatních dopravních prostředků a zařízení o 2,0 mld. Kč a nižší schodek</w:t>
      </w:r>
      <w:r>
        <w:t xml:space="preserve"> bilance </w:t>
      </w:r>
      <w:r w:rsidR="003F4272">
        <w:t>základních kovů o 1,2 mld. Kč.</w:t>
      </w:r>
    </w:p>
    <w:p w:rsidR="00B708AC" w:rsidRPr="007D79D1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>
        <w:rPr>
          <w:rFonts w:cs="Arial"/>
          <w:szCs w:val="18"/>
        </w:rPr>
        <w:t xml:space="preserve"> </w:t>
      </w:r>
      <w:r w:rsidR="00F47A3D">
        <w:rPr>
          <w:rFonts w:cs="Arial"/>
          <w:szCs w:val="18"/>
        </w:rPr>
        <w:t>lednu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3F4272">
        <w:rPr>
          <w:rFonts w:cs="Arial"/>
          <w:szCs w:val="18"/>
        </w:rPr>
        <w:t>72,5</w:t>
      </w:r>
      <w:r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>
        <w:rPr>
          <w:rFonts w:cs="Arial"/>
          <w:szCs w:val="18"/>
        </w:rPr>
        <w:t xml:space="preserve"> </w:t>
      </w:r>
      <w:r w:rsidR="003F4272">
        <w:rPr>
          <w:rFonts w:cs="Arial"/>
          <w:szCs w:val="18"/>
        </w:rPr>
        <w:t>4,8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3F4272">
        <w:rPr>
          <w:rFonts w:cs="Arial"/>
          <w:szCs w:val="18"/>
        </w:rPr>
        <w:t>12,4</w:t>
      </w:r>
      <w:r w:rsidRPr="007D79D1">
        <w:rPr>
          <w:rFonts w:cs="Arial"/>
          <w:szCs w:val="18"/>
        </w:rPr>
        <w:t> mld. Kč na </w:t>
      </w:r>
      <w:r w:rsidR="003F4272">
        <w:rPr>
          <w:rFonts w:cs="Arial"/>
          <w:szCs w:val="18"/>
        </w:rPr>
        <w:t>58,5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v národním pojetí </w:t>
      </w:r>
      <w:r w:rsidR="00690B84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="001C7339" w:rsidRPr="001A4D93">
        <w:rPr>
          <w:rFonts w:cs="Arial"/>
          <w:szCs w:val="18"/>
        </w:rPr>
        <w:t>vývoz</w:t>
      </w:r>
      <w:r w:rsidR="001C7339"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>o 0,6 %, zatímco dovoz</w:t>
      </w:r>
      <w:r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>vzrostl</w:t>
      </w:r>
      <w:r>
        <w:rPr>
          <w:rFonts w:cs="Arial"/>
          <w:szCs w:val="18"/>
        </w:rPr>
        <w:t xml:space="preserve"> o 2,</w:t>
      </w:r>
      <w:r w:rsidR="00690B84">
        <w:rPr>
          <w:rFonts w:cs="Arial"/>
          <w:szCs w:val="18"/>
        </w:rPr>
        <w:t>6</w:t>
      </w:r>
      <w:r>
        <w:rPr>
          <w:rFonts w:cs="Arial"/>
          <w:szCs w:val="18"/>
        </w:rPr>
        <w:t xml:space="preserve"> %. </w:t>
      </w:r>
      <w:r w:rsidRPr="001A4D93">
        <w:rPr>
          <w:rFonts w:cs="Arial"/>
          <w:szCs w:val="18"/>
        </w:rPr>
        <w:t xml:space="preserve">Trend vývoje ukazuje na </w:t>
      </w:r>
      <w:r w:rsidR="00690B84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 0,</w:t>
      </w:r>
      <w:r w:rsidR="00690B84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%)</w:t>
      </w:r>
      <w:r w:rsidRPr="001A4D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</w:t>
      </w:r>
      <w:r w:rsidR="00690B84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dovozu (o 1,</w:t>
      </w:r>
      <w:r w:rsidR="00690B84">
        <w:rPr>
          <w:rFonts w:cs="Arial"/>
          <w:szCs w:val="18"/>
        </w:rPr>
        <w:t>0</w:t>
      </w:r>
      <w:r>
        <w:rPr>
          <w:rFonts w:cs="Arial"/>
          <w:szCs w:val="18"/>
        </w:rPr>
        <w:t xml:space="preserve"> %).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Ve srovnání se stejným měsícem roku 201</w:t>
      </w:r>
      <w:r w:rsidR="00F47A3D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vzrostl vývoz</w:t>
      </w:r>
      <w:r w:rsidRPr="00534D5E"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 xml:space="preserve">o </w:t>
      </w:r>
      <w:r w:rsidR="001C7339">
        <w:rPr>
          <w:rFonts w:cs="Arial"/>
          <w:szCs w:val="18"/>
        </w:rPr>
        <w:t>1,4</w:t>
      </w:r>
      <w:r>
        <w:rPr>
          <w:rFonts w:cs="Arial"/>
          <w:szCs w:val="18"/>
        </w:rPr>
        <w:t xml:space="preserve"> % </w:t>
      </w:r>
      <w:r w:rsidR="001C7339">
        <w:rPr>
          <w:rFonts w:cs="Arial"/>
          <w:szCs w:val="18"/>
        </w:rPr>
        <w:t xml:space="preserve">na 306,0 mld. Kč </w:t>
      </w:r>
      <w:r w:rsidR="009D65CC">
        <w:rPr>
          <w:rFonts w:cs="Arial"/>
          <w:szCs w:val="18"/>
        </w:rPr>
        <w:t>a dovoz o </w:t>
      </w:r>
      <w:r w:rsidR="001C7339">
        <w:rPr>
          <w:rFonts w:cs="Arial"/>
          <w:szCs w:val="18"/>
        </w:rPr>
        <w:t>4</w:t>
      </w:r>
      <w:r>
        <w:rPr>
          <w:rFonts w:cs="Arial"/>
          <w:szCs w:val="18"/>
        </w:rPr>
        <w:t>,2 % na </w:t>
      </w:r>
      <w:r w:rsidR="004F2169">
        <w:rPr>
          <w:rFonts w:cs="Arial"/>
          <w:szCs w:val="18"/>
        </w:rPr>
        <w:t>293,9</w:t>
      </w:r>
      <w:r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>mld. Kč</w:t>
      </w:r>
      <w:r>
        <w:rPr>
          <w:rFonts w:cs="Arial"/>
          <w:szCs w:val="18"/>
        </w:rPr>
        <w:t>.</w:t>
      </w:r>
      <w:r w:rsidRPr="005416F1">
        <w:rPr>
          <w:rFonts w:cs="Arial"/>
          <w:szCs w:val="18"/>
        </w:rPr>
        <w:t xml:space="preserve"> </w:t>
      </w:r>
      <w:r w:rsidR="00F47A3D">
        <w:rPr>
          <w:rFonts w:cs="Arial"/>
          <w:szCs w:val="18"/>
        </w:rPr>
        <w:t>Leden</w:t>
      </w:r>
      <w:r>
        <w:rPr>
          <w:rFonts w:cs="Arial"/>
          <w:szCs w:val="18"/>
        </w:rPr>
        <w:t xml:space="preserve"> 201</w:t>
      </w:r>
      <w:r w:rsidR="00F47A3D">
        <w:rPr>
          <w:rFonts w:cs="Arial"/>
          <w:szCs w:val="18"/>
        </w:rPr>
        <w:t>9</w:t>
      </w:r>
      <w:r>
        <w:rPr>
          <w:rFonts w:cs="Arial"/>
          <w:szCs w:val="18"/>
        </w:rPr>
        <w:t xml:space="preserve"> měl </w:t>
      </w:r>
      <w:r w:rsidR="00F47A3D">
        <w:rPr>
          <w:rFonts w:cs="Arial"/>
          <w:szCs w:val="18"/>
        </w:rPr>
        <w:t>stejný počet pracovní</w:t>
      </w:r>
      <w:r w:rsidR="00620A61">
        <w:rPr>
          <w:rFonts w:cs="Arial"/>
          <w:szCs w:val="18"/>
        </w:rPr>
        <w:t>ch</w:t>
      </w:r>
      <w:r w:rsidR="00F47A3D">
        <w:rPr>
          <w:rFonts w:cs="Arial"/>
          <w:szCs w:val="18"/>
        </w:rPr>
        <w:t xml:space="preserve"> dní jako leden předchozího roku.</w:t>
      </w: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B708AC" w:rsidRPr="00196ABA" w:rsidRDefault="00FD2DF6" w:rsidP="00B708AC">
      <w:pPr>
        <w:spacing w:after="120"/>
        <w:rPr>
          <w:szCs w:val="20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B708AC" w:rsidRPr="00994B3A" w:rsidRDefault="00B708AC" w:rsidP="00B708AC">
      <w:pPr>
        <w:spacing w:after="120"/>
        <w:rPr>
          <w:b/>
          <w:szCs w:val="20"/>
        </w:rPr>
      </w:pPr>
    </w:p>
    <w:p w:rsidR="00F47A3D" w:rsidRDefault="00F47A3D" w:rsidP="00B708AC">
      <w:pPr>
        <w:spacing w:after="240"/>
        <w:rPr>
          <w:b/>
          <w:szCs w:val="20"/>
        </w:rPr>
      </w:pPr>
    </w:p>
    <w:p w:rsidR="00B708AC" w:rsidRDefault="00B708AC" w:rsidP="00B708AC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v </w:t>
      </w:r>
      <w:r w:rsidR="00F47A3D">
        <w:rPr>
          <w:rFonts w:cs="Arial"/>
          <w:szCs w:val="20"/>
        </w:rPr>
        <w:t>lednu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>
        <w:rPr>
          <w:rFonts w:cs="Arial"/>
          <w:szCs w:val="20"/>
        </w:rPr>
        <w:t xml:space="preserve">zvýšil vývoz </w:t>
      </w:r>
      <w:r w:rsidRPr="00994B3A">
        <w:rPr>
          <w:rFonts w:cs="Arial"/>
          <w:szCs w:val="20"/>
        </w:rPr>
        <w:t xml:space="preserve">o </w:t>
      </w:r>
      <w:r w:rsidR="009D65CC">
        <w:rPr>
          <w:rFonts w:cs="Arial"/>
          <w:szCs w:val="20"/>
        </w:rPr>
        <w:t>3,5</w:t>
      </w:r>
      <w:r w:rsidRPr="00994B3A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a dovoz o </w:t>
      </w:r>
      <w:r w:rsidR="009D65CC">
        <w:rPr>
          <w:rFonts w:cs="Arial"/>
          <w:szCs w:val="20"/>
        </w:rPr>
        <w:t>1,8</w:t>
      </w:r>
      <w:r>
        <w:rPr>
          <w:rFonts w:cs="Arial"/>
          <w:szCs w:val="20"/>
        </w:rPr>
        <w:t xml:space="preserve"> %. V</w:t>
      </w:r>
      <w:r w:rsidRPr="00994B3A">
        <w:rPr>
          <w:rFonts w:cs="Arial"/>
          <w:szCs w:val="20"/>
        </w:rPr>
        <w:t xml:space="preserve">ývoz zboží dosáhl hodnoty </w:t>
      </w:r>
      <w:r w:rsidR="009D65CC">
        <w:rPr>
          <w:rFonts w:cs="Arial"/>
          <w:szCs w:val="20"/>
        </w:rPr>
        <w:t>381,0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9D65CC">
        <w:rPr>
          <w:rFonts w:cs="Arial"/>
          <w:szCs w:val="20"/>
        </w:rPr>
        <w:t>337,8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B708AC" w:rsidRDefault="00B708AC" w:rsidP="00B708AC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>
        <w:rPr>
          <w:rFonts w:cs="Arial"/>
          <w:szCs w:val="20"/>
        </w:rPr>
        <w:t> </w:t>
      </w:r>
      <w:r w:rsidR="00F47A3D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Evropské unie </w:t>
      </w:r>
      <w:r>
        <w:rPr>
          <w:rFonts w:cs="Arial"/>
          <w:szCs w:val="20"/>
        </w:rPr>
        <w:t>3,</w:t>
      </w:r>
      <w:r w:rsidR="00F47A3D">
        <w:rPr>
          <w:rFonts w:cs="Arial"/>
          <w:szCs w:val="20"/>
        </w:rPr>
        <w:t>0</w:t>
      </w:r>
      <w:r w:rsidRPr="00994B3A">
        <w:rPr>
          <w:rFonts w:cs="Arial"/>
          <w:szCs w:val="20"/>
        </w:rPr>
        <w:t xml:space="preserve"> % a </w:t>
      </w:r>
      <w:r w:rsidR="00F47A3D">
        <w:rPr>
          <w:rFonts w:cs="Arial"/>
          <w:szCs w:val="20"/>
        </w:rPr>
        <w:t>2,8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%.  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B708AC" w:rsidRDefault="00FD2DF6" w:rsidP="00B708AC">
      <w:pPr>
        <w:pStyle w:val="Poznamkytexty"/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spacing w:after="160"/>
        <w:rPr>
          <w:rFonts w:cs="Arial"/>
          <w:szCs w:val="20"/>
        </w:rPr>
      </w:pPr>
    </w:p>
    <w:p w:rsidR="00F47A3D" w:rsidRDefault="00F47A3D" w:rsidP="00B708AC">
      <w:pPr>
        <w:spacing w:after="160"/>
        <w:rPr>
          <w:rFonts w:cs="Arial"/>
          <w:szCs w:val="20"/>
        </w:rPr>
      </w:pPr>
    </w:p>
    <w:p w:rsidR="00B708AC" w:rsidRDefault="00B708AC" w:rsidP="00B708AC">
      <w:pPr>
        <w:pStyle w:val="Poznmky0"/>
      </w:pPr>
      <w:r>
        <w:lastRenderedPageBreak/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 xml:space="preserve">za </w:t>
      </w:r>
      <w:r w:rsidRPr="008C64D8">
        <w:rPr>
          <w:i/>
        </w:rPr>
        <w:t xml:space="preserve">které </w:t>
      </w:r>
      <w:r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>
        <w:rPr>
          <w:i/>
        </w:rPr>
        <w:t>Data za 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 xml:space="preserve">Údaje roku 2017 jsou definitivní, údaje za jednotlivé měsíce roku 2018 a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 xml:space="preserve">Od  referenčního období leden 2019 se zpřesňují data zahraničního obchodu za celý předchozí </w:t>
      </w:r>
      <w:r w:rsidR="00F430E3">
        <w:rPr>
          <w:rFonts w:cs="ArialMT"/>
          <w:i/>
          <w:color w:val="000000"/>
          <w:sz w:val="18"/>
          <w:szCs w:val="18"/>
        </w:rPr>
        <w:t xml:space="preserve">i aktuální rok </w:t>
      </w:r>
      <w:r w:rsidRPr="007B2840">
        <w:rPr>
          <w:rFonts w:cs="ArialMT"/>
          <w:i/>
          <w:color w:val="000000"/>
          <w:sz w:val="18"/>
          <w:szCs w:val="18"/>
        </w:rPr>
        <w:t xml:space="preserve">měsíčně. Definitivní údaje za předchozí rok jsou publikovány v 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Pr="00A02059">
        <w:rPr>
          <w:rFonts w:cs="Arial"/>
          <w:i/>
          <w:iCs/>
          <w:sz w:val="18"/>
          <w:szCs w:val="18"/>
        </w:rPr>
        <w:t>Mgr. Karel Král,</w:t>
      </w:r>
      <w:r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9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vedoucí oddělení výstupů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0" w:history="1">
        <w:r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AA545A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47A3D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FA1DE2">
        <w:rPr>
          <w:rFonts w:cs="Arial"/>
          <w:i/>
          <w:sz w:val="18"/>
          <w:szCs w:val="18"/>
        </w:rPr>
        <w:t>8</w:t>
      </w:r>
      <w:r>
        <w:rPr>
          <w:rFonts w:cs="Arial"/>
          <w:i/>
          <w:sz w:val="18"/>
          <w:szCs w:val="18"/>
        </w:rPr>
        <w:t xml:space="preserve">. </w:t>
      </w:r>
      <w:r w:rsidR="00FA1DE2">
        <w:rPr>
          <w:rFonts w:cs="Arial"/>
          <w:i/>
          <w:sz w:val="18"/>
          <w:szCs w:val="18"/>
        </w:rPr>
        <w:t>4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 EU)</w:t>
      </w:r>
    </w:p>
    <w:p w:rsidR="003927AD" w:rsidRPr="00B708AC" w:rsidRDefault="00FD2DF6" w:rsidP="00B708AC"/>
    <w:sectPr w:rsidR="003927AD" w:rsidRPr="00B708AC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F6" w:rsidRDefault="00FD2DF6">
      <w:pPr>
        <w:spacing w:line="240" w:lineRule="auto"/>
      </w:pPr>
      <w:r>
        <w:separator/>
      </w:r>
    </w:p>
  </w:endnote>
  <w:endnote w:type="continuationSeparator" w:id="0">
    <w:p w:rsidR="00FD2DF6" w:rsidRDefault="00FD2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FD2D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FD2D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F6" w:rsidRDefault="00FD2DF6">
      <w:pPr>
        <w:spacing w:line="240" w:lineRule="auto"/>
      </w:pPr>
      <w:r>
        <w:separator/>
      </w:r>
    </w:p>
  </w:footnote>
  <w:footnote w:type="continuationSeparator" w:id="0">
    <w:p w:rsidR="00FD2DF6" w:rsidRDefault="00FD2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FD2D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FD2D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55CE3"/>
    <w:rsid w:val="000A38A2"/>
    <w:rsid w:val="00117FBB"/>
    <w:rsid w:val="001C7339"/>
    <w:rsid w:val="001E1981"/>
    <w:rsid w:val="002120A9"/>
    <w:rsid w:val="00275856"/>
    <w:rsid w:val="003F2B0E"/>
    <w:rsid w:val="003F4272"/>
    <w:rsid w:val="00471930"/>
    <w:rsid w:val="004D7551"/>
    <w:rsid w:val="004F2169"/>
    <w:rsid w:val="00620A61"/>
    <w:rsid w:val="00690B84"/>
    <w:rsid w:val="006B0161"/>
    <w:rsid w:val="006D5D43"/>
    <w:rsid w:val="00731D82"/>
    <w:rsid w:val="007B2840"/>
    <w:rsid w:val="0080323A"/>
    <w:rsid w:val="00817AED"/>
    <w:rsid w:val="008A554F"/>
    <w:rsid w:val="009D65CC"/>
    <w:rsid w:val="00A94755"/>
    <w:rsid w:val="00AA545A"/>
    <w:rsid w:val="00B63852"/>
    <w:rsid w:val="00B708AC"/>
    <w:rsid w:val="00B70A90"/>
    <w:rsid w:val="00C03B46"/>
    <w:rsid w:val="00D907C6"/>
    <w:rsid w:val="00DA6D4E"/>
    <w:rsid w:val="00F430E3"/>
    <w:rsid w:val="00F47A3D"/>
    <w:rsid w:val="00F85402"/>
    <w:rsid w:val="00FA097C"/>
    <w:rsid w:val="00FA1DE2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://apl.czso.cz/pll/stazo/STAZO.STAZO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cela.sladkova@czs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l.kral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27</cp:revision>
  <cp:lastPrinted>2019-03-01T11:08:00Z</cp:lastPrinted>
  <dcterms:created xsi:type="dcterms:W3CDTF">2019-01-31T12:45:00Z</dcterms:created>
  <dcterms:modified xsi:type="dcterms:W3CDTF">2019-03-08T09:08:00Z</dcterms:modified>
</cp:coreProperties>
</file>