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E45D5F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10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531A3F" w:rsidP="00416C4B">
      <w:pPr>
        <w:pStyle w:val="Nzev"/>
        <w:spacing w:after="120" w:line="240" w:lineRule="auto"/>
      </w:pPr>
      <w:r>
        <w:t>Kladné saldo</w:t>
      </w:r>
      <w:r w:rsidR="00F91A60">
        <w:t xml:space="preserve"> meziročně klesl</w:t>
      </w:r>
      <w:r>
        <w:t>o</w:t>
      </w:r>
      <w:bookmarkStart w:id="0" w:name="_GoBack"/>
      <w:bookmarkEnd w:id="0"/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E45D5F">
        <w:t>srpen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E45D5F">
        <w:rPr>
          <w:rFonts w:cs="Arial"/>
          <w:b/>
          <w:szCs w:val="18"/>
        </w:rPr>
        <w:t>srpnu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6E1062">
        <w:rPr>
          <w:rFonts w:cs="Arial"/>
          <w:b/>
          <w:szCs w:val="18"/>
        </w:rPr>
        <w:t>přebytkem</w:t>
      </w:r>
      <w:r w:rsidR="00EB7E1D">
        <w:rPr>
          <w:rFonts w:cs="Arial"/>
          <w:b/>
          <w:szCs w:val="18"/>
        </w:rPr>
        <w:t xml:space="preserve"> </w:t>
      </w:r>
      <w:r w:rsidR="001E7EA9">
        <w:rPr>
          <w:rFonts w:cs="Arial"/>
          <w:b/>
          <w:szCs w:val="18"/>
        </w:rPr>
        <w:t>2,3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1E7EA9">
        <w:rPr>
          <w:rFonts w:cs="Arial"/>
          <w:b/>
          <w:color w:val="000000"/>
          <w:szCs w:val="18"/>
        </w:rPr>
        <w:t>2,6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1E7EA9">
        <w:rPr>
          <w:rFonts w:cs="Arial"/>
          <w:b/>
          <w:color w:val="000000"/>
          <w:szCs w:val="18"/>
        </w:rPr>
        <w:t>nižší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4023A6" w:rsidRDefault="00F73252" w:rsidP="00F73252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 xml:space="preserve">nepříznivě ovlivnilo </w:t>
      </w:r>
      <w:r w:rsidR="004023A6">
        <w:t>především</w:t>
      </w:r>
      <w:r w:rsidR="002E426C">
        <w:t xml:space="preserve"> zhoršení salda ostatních dopravních prostředků a zařízení o 3,7 mld. Kč (přechodem z kladné do záporné bilance) a</w:t>
      </w:r>
      <w:r w:rsidR="00450672">
        <w:t> </w:t>
      </w:r>
      <w:r w:rsidR="002E426C">
        <w:t xml:space="preserve">prohloubení schodku bilance s ropou a zemním plynem o 3,3 mld. Kč. </w:t>
      </w:r>
      <w:r w:rsidR="004023A6">
        <w:t>Aktivum bilance motorových vozidel se meziročně snížilo o 1,9 mld. Kč.</w:t>
      </w:r>
    </w:p>
    <w:p w:rsidR="00F73252" w:rsidRDefault="00F73252" w:rsidP="00F73252">
      <w:pPr>
        <w:keepNext/>
        <w:keepLines/>
        <w:spacing w:after="160"/>
        <w:outlineLvl w:val="1"/>
      </w:pPr>
      <w:r>
        <w:t xml:space="preserve">Příznivý vliv na </w:t>
      </w:r>
      <w:r w:rsidR="004023A6">
        <w:t>celkové saldo</w:t>
      </w:r>
      <w:r>
        <w:t xml:space="preserve"> měl</w:t>
      </w:r>
      <w:r w:rsidR="004023A6">
        <w:t>a</w:t>
      </w:r>
      <w:r w:rsidR="004A5210">
        <w:t xml:space="preserve"> </w:t>
      </w:r>
      <w:r w:rsidR="004502D8">
        <w:t>hlavně</w:t>
      </w:r>
      <w:r w:rsidR="004A5210">
        <w:t xml:space="preserve"> </w:t>
      </w:r>
      <w:r w:rsidR="004023A6">
        <w:t>lepší</w:t>
      </w:r>
      <w:r>
        <w:t xml:space="preserve"> </w:t>
      </w:r>
      <w:r w:rsidR="004A5210">
        <w:t xml:space="preserve">bilance s </w:t>
      </w:r>
      <w:r w:rsidR="001719AF">
        <w:t>počítači, elektronickými a </w:t>
      </w:r>
      <w:r>
        <w:t>optickými přístroji (</w:t>
      </w:r>
      <w:r w:rsidR="001719AF">
        <w:t xml:space="preserve">meziročně </w:t>
      </w:r>
      <w:r>
        <w:t xml:space="preserve">o </w:t>
      </w:r>
      <w:r w:rsidR="004023A6">
        <w:t>6,9</w:t>
      </w:r>
      <w:r>
        <w:t xml:space="preserve"> mld. Kč).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E45D5F">
        <w:rPr>
          <w:rFonts w:cs="Arial"/>
          <w:szCs w:val="18"/>
        </w:rPr>
        <w:t>srpnu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6227AE">
        <w:rPr>
          <w:rFonts w:cs="Arial"/>
          <w:szCs w:val="18"/>
        </w:rPr>
        <w:t>49,1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6227AE">
        <w:rPr>
          <w:rFonts w:cs="Arial"/>
          <w:szCs w:val="18"/>
        </w:rPr>
        <w:t>3,9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A10AC4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76402D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6227AE">
        <w:rPr>
          <w:rFonts w:cs="Arial"/>
          <w:szCs w:val="18"/>
        </w:rPr>
        <w:t>6,5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6227AE">
        <w:rPr>
          <w:rFonts w:cs="Arial"/>
          <w:szCs w:val="18"/>
        </w:rPr>
        <w:t>45,7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9D167C">
        <w:rPr>
          <w:rFonts w:cs="Arial"/>
          <w:szCs w:val="18"/>
        </w:rPr>
        <w:t>zvýšil</w:t>
      </w:r>
      <w:r w:rsidR="00051091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>vývoz</w:t>
      </w:r>
      <w:r w:rsidR="009D167C">
        <w:rPr>
          <w:rFonts w:cs="Arial"/>
          <w:szCs w:val="18"/>
        </w:rPr>
        <w:t xml:space="preserve"> o 0,6 % a</w:t>
      </w:r>
      <w:r w:rsidR="00D75B44">
        <w:rPr>
          <w:rFonts w:cs="Arial"/>
          <w:szCs w:val="18"/>
        </w:rPr>
        <w:t xml:space="preserve"> dovoz o 0,</w:t>
      </w:r>
      <w:r w:rsidR="009D167C">
        <w:rPr>
          <w:rFonts w:cs="Arial"/>
          <w:szCs w:val="18"/>
        </w:rPr>
        <w:t>2</w:t>
      </w:r>
      <w:r w:rsidR="007747DF" w:rsidRPr="001A4D93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4D6135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Trend vývoje ukazuje na </w:t>
      </w:r>
      <w:r w:rsidR="00E6223A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9D167C">
        <w:rPr>
          <w:rFonts w:cs="Arial"/>
          <w:szCs w:val="18"/>
        </w:rPr>
        <w:t xml:space="preserve">o 0,4 % </w:t>
      </w:r>
      <w:r w:rsidR="00D75B44">
        <w:rPr>
          <w:rFonts w:cs="Arial"/>
          <w:szCs w:val="18"/>
        </w:rPr>
        <w:t xml:space="preserve">a dovozu </w:t>
      </w:r>
      <w:r w:rsidR="005F3421">
        <w:rPr>
          <w:rFonts w:cs="Arial"/>
          <w:szCs w:val="18"/>
        </w:rPr>
        <w:t>o 0,</w:t>
      </w:r>
      <w:r w:rsidR="009D167C">
        <w:rPr>
          <w:rFonts w:cs="Arial"/>
          <w:szCs w:val="18"/>
        </w:rPr>
        <w:t>2</w:t>
      </w:r>
      <w:r w:rsidR="005F3421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5F3421">
        <w:rPr>
          <w:rFonts w:cs="Arial"/>
          <w:szCs w:val="18"/>
        </w:rPr>
        <w:t xml:space="preserve"> </w:t>
      </w:r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5D54C6">
        <w:rPr>
          <w:rFonts w:cs="Arial"/>
          <w:szCs w:val="18"/>
        </w:rPr>
        <w:t>vzrostl</w:t>
      </w:r>
      <w:r w:rsidR="00CF492F">
        <w:rPr>
          <w:rFonts w:cs="Arial"/>
          <w:szCs w:val="18"/>
        </w:rPr>
        <w:t xml:space="preserve"> v </w:t>
      </w:r>
      <w:r w:rsidR="00B00B61">
        <w:rPr>
          <w:rFonts w:cs="Arial"/>
          <w:szCs w:val="18"/>
        </w:rPr>
        <w:t>srpnu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6B4A44">
        <w:rPr>
          <w:rFonts w:cs="Arial"/>
          <w:szCs w:val="18"/>
        </w:rPr>
        <w:t>4,4</w:t>
      </w:r>
      <w:r w:rsidR="003033CB">
        <w:rPr>
          <w:rFonts w:cs="Arial"/>
          <w:szCs w:val="18"/>
        </w:rPr>
        <w:t xml:space="preserve"> % na </w:t>
      </w:r>
      <w:r w:rsidR="006B4A44">
        <w:rPr>
          <w:rFonts w:cs="Arial"/>
          <w:szCs w:val="18"/>
        </w:rPr>
        <w:t>288,5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5D54C6">
        <w:rPr>
          <w:rFonts w:cs="Arial"/>
          <w:szCs w:val="18"/>
        </w:rPr>
        <w:t xml:space="preserve">o </w:t>
      </w:r>
      <w:r w:rsidR="006B4A44">
        <w:rPr>
          <w:rFonts w:cs="Arial"/>
          <w:szCs w:val="18"/>
        </w:rPr>
        <w:t>5,5</w:t>
      </w:r>
      <w:r w:rsidR="005D54C6">
        <w:rPr>
          <w:rFonts w:cs="Arial"/>
          <w:szCs w:val="18"/>
        </w:rPr>
        <w:t xml:space="preserve">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 </w:t>
      </w:r>
      <w:r w:rsidR="006B4A44">
        <w:rPr>
          <w:rFonts w:cs="Arial"/>
          <w:szCs w:val="18"/>
        </w:rPr>
        <w:t>286,2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E45D5F">
        <w:rPr>
          <w:rFonts w:cs="Arial"/>
          <w:b/>
          <w:szCs w:val="18"/>
        </w:rPr>
        <w:t>srpnu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863D45">
        <w:rPr>
          <w:rFonts w:cs="Arial"/>
          <w:szCs w:val="18"/>
        </w:rPr>
        <w:t>101,1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863D45">
        <w:rPr>
          <w:rFonts w:cs="Arial"/>
          <w:szCs w:val="18"/>
        </w:rPr>
        <w:t>27,0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EE6EAB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863D45">
        <w:rPr>
          <w:rFonts w:cs="Arial"/>
          <w:szCs w:val="18"/>
        </w:rPr>
        <w:t>2,1</w:t>
      </w:r>
      <w:r>
        <w:rPr>
          <w:rFonts w:cs="Arial"/>
          <w:szCs w:val="18"/>
        </w:rPr>
        <w:t xml:space="preserve"> %</w:t>
      </w:r>
      <w:r w:rsidR="00EE6EAB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 o </w:t>
      </w:r>
      <w:r w:rsidR="00863D45">
        <w:rPr>
          <w:rFonts w:cs="Arial"/>
          <w:szCs w:val="18"/>
        </w:rPr>
        <w:t>3,4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B00B61" w:rsidRDefault="00B00B61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AA7CFE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8F353C" w:rsidRDefault="00A44B26" w:rsidP="008F353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B00B61">
        <w:rPr>
          <w:rFonts w:cs="Arial"/>
          <w:szCs w:val="20"/>
        </w:rPr>
        <w:t>srpnu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F95617">
        <w:rPr>
          <w:rFonts w:cs="Arial"/>
          <w:szCs w:val="20"/>
        </w:rPr>
        <w:t>2,5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</w:t>
      </w:r>
      <w:r w:rsidR="00F95617">
        <w:rPr>
          <w:rFonts w:cs="Arial"/>
          <w:szCs w:val="20"/>
        </w:rPr>
        <w:t>6,7</w:t>
      </w:r>
      <w:r w:rsidR="00D6584F">
        <w:rPr>
          <w:rFonts w:cs="Arial"/>
          <w:szCs w:val="20"/>
        </w:rPr>
        <w:t xml:space="preserve">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F95617">
        <w:rPr>
          <w:rFonts w:cs="Arial"/>
          <w:szCs w:val="20"/>
        </w:rPr>
        <w:t>341,1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F95617">
        <w:rPr>
          <w:rFonts w:cs="Arial"/>
          <w:szCs w:val="20"/>
        </w:rPr>
        <w:t>326,6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B00B61">
        <w:rPr>
          <w:rFonts w:cs="Arial"/>
          <w:szCs w:val="20"/>
        </w:rPr>
        <w:t>červenci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C35738">
        <w:rPr>
          <w:rFonts w:cs="Arial"/>
          <w:szCs w:val="20"/>
        </w:rPr>
        <w:t>2,8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C35738">
        <w:rPr>
          <w:rFonts w:cs="Arial"/>
          <w:szCs w:val="20"/>
        </w:rPr>
        <w:t>7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AA7CFE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 w:rsidR="004D6A7B">
        <w:rPr>
          <w:b/>
        </w:rPr>
        <w:t>a 2017 j</w:t>
      </w:r>
      <w:r>
        <w:rPr>
          <w:b/>
        </w:rPr>
        <w:t>sou definitivní, údaje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F35CD3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E45D5F">
        <w:rPr>
          <w:rFonts w:cs="Arial"/>
          <w:i/>
          <w:sz w:val="18"/>
          <w:szCs w:val="18"/>
        </w:rPr>
        <w:t>6.</w:t>
      </w:r>
      <w:r w:rsidR="000D692B">
        <w:rPr>
          <w:rFonts w:cs="Arial"/>
          <w:i/>
          <w:sz w:val="18"/>
          <w:szCs w:val="18"/>
        </w:rPr>
        <w:t xml:space="preserve"> </w:t>
      </w:r>
      <w:r w:rsidR="00780E62">
        <w:rPr>
          <w:rFonts w:cs="Arial"/>
          <w:i/>
          <w:sz w:val="18"/>
          <w:szCs w:val="18"/>
        </w:rPr>
        <w:t>1</w:t>
      </w:r>
      <w:r w:rsidR="00E45D5F">
        <w:rPr>
          <w:rFonts w:cs="Arial"/>
          <w:i/>
          <w:sz w:val="18"/>
          <w:szCs w:val="18"/>
        </w:rPr>
        <w:t>1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FE" w:rsidRDefault="00AA7CFE" w:rsidP="00BA6370">
      <w:r>
        <w:separator/>
      </w:r>
    </w:p>
  </w:endnote>
  <w:endnote w:type="continuationSeparator" w:id="0">
    <w:p w:rsidR="00AA7CFE" w:rsidRDefault="00AA7C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1A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1A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FE" w:rsidRDefault="00AA7CFE" w:rsidP="00BA6370">
      <w:r>
        <w:separator/>
      </w:r>
    </w:p>
  </w:footnote>
  <w:footnote w:type="continuationSeparator" w:id="0">
    <w:p w:rsidR="00AA7CFE" w:rsidRDefault="00AA7C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845"/>
    <w:rsid w:val="00130A57"/>
    <w:rsid w:val="00130B7B"/>
    <w:rsid w:val="00133B40"/>
    <w:rsid w:val="00133BEF"/>
    <w:rsid w:val="00133C9E"/>
    <w:rsid w:val="0013546B"/>
    <w:rsid w:val="0013592D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9AF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0E8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E7EA9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166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426C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6D82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EF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051A"/>
    <w:rsid w:val="00401268"/>
    <w:rsid w:val="004014E4"/>
    <w:rsid w:val="004015B0"/>
    <w:rsid w:val="004023A6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2D8"/>
    <w:rsid w:val="00450457"/>
    <w:rsid w:val="00450672"/>
    <w:rsid w:val="00450754"/>
    <w:rsid w:val="00450B88"/>
    <w:rsid w:val="00450D7D"/>
    <w:rsid w:val="00451E0B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3AC9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5210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135"/>
    <w:rsid w:val="004D6869"/>
    <w:rsid w:val="004D6A7B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A3F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2DF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6F3F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5C4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4"/>
    <w:rsid w:val="00617DB9"/>
    <w:rsid w:val="00617E0B"/>
    <w:rsid w:val="00620C17"/>
    <w:rsid w:val="006227AE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4A44"/>
    <w:rsid w:val="006B52B9"/>
    <w:rsid w:val="006B712B"/>
    <w:rsid w:val="006C1315"/>
    <w:rsid w:val="006C25C1"/>
    <w:rsid w:val="006C2C8E"/>
    <w:rsid w:val="006C5A05"/>
    <w:rsid w:val="006C60CB"/>
    <w:rsid w:val="006C698E"/>
    <w:rsid w:val="006C7841"/>
    <w:rsid w:val="006D02F2"/>
    <w:rsid w:val="006D08E1"/>
    <w:rsid w:val="006D25A6"/>
    <w:rsid w:val="006D70BF"/>
    <w:rsid w:val="006E024F"/>
    <w:rsid w:val="006E081C"/>
    <w:rsid w:val="006E09DB"/>
    <w:rsid w:val="006E0BB5"/>
    <w:rsid w:val="006E1062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3190"/>
    <w:rsid w:val="006F4272"/>
    <w:rsid w:val="006F4556"/>
    <w:rsid w:val="006F772A"/>
    <w:rsid w:val="006F77CB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02D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54D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E62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06CAC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3D45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353C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67C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11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0AC4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A7CFE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61"/>
    <w:rsid w:val="00B00BA1"/>
    <w:rsid w:val="00B00C1D"/>
    <w:rsid w:val="00B02786"/>
    <w:rsid w:val="00B03191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2270E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B61"/>
    <w:rsid w:val="00B367AA"/>
    <w:rsid w:val="00B36D5D"/>
    <w:rsid w:val="00B36D71"/>
    <w:rsid w:val="00B37BFA"/>
    <w:rsid w:val="00B410CB"/>
    <w:rsid w:val="00B41527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197B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974F8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73B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738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6EB7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4F55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283C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E7D53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D6B"/>
    <w:rsid w:val="00D45DCE"/>
    <w:rsid w:val="00D46935"/>
    <w:rsid w:val="00D46E79"/>
    <w:rsid w:val="00D46E9D"/>
    <w:rsid w:val="00D4744F"/>
    <w:rsid w:val="00D477FD"/>
    <w:rsid w:val="00D47D45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5B44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C52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5F95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D5F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E6EAB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252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1A60"/>
    <w:rsid w:val="00F930C4"/>
    <w:rsid w:val="00F938E5"/>
    <w:rsid w:val="00F93E4A"/>
    <w:rsid w:val="00F94BBF"/>
    <w:rsid w:val="00F95617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E5E"/>
    <w:rsid w:val="00FD0644"/>
    <w:rsid w:val="00FD0E61"/>
    <w:rsid w:val="00FD15F3"/>
    <w:rsid w:val="00FD3408"/>
    <w:rsid w:val="00FD345E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F6D3-CC3C-47F2-B5B6-C4BEAF5C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3177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930</cp:revision>
  <cp:lastPrinted>2018-10-02T07:10:00Z</cp:lastPrinted>
  <dcterms:created xsi:type="dcterms:W3CDTF">2017-05-16T11:59:00Z</dcterms:created>
  <dcterms:modified xsi:type="dcterms:W3CDTF">2018-10-02T08:52:00Z</dcterms:modified>
</cp:coreProperties>
</file>