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BC663A" w:rsidRDefault="00B53773" w:rsidP="00867569">
      <w:pPr>
        <w:pStyle w:val="Datum"/>
      </w:pPr>
      <w:r>
        <w:t>31</w:t>
      </w:r>
      <w:r w:rsidR="00703283" w:rsidRPr="00BC663A">
        <w:t xml:space="preserve"> </w:t>
      </w:r>
      <w:r>
        <w:t>Jul</w:t>
      </w:r>
      <w:r w:rsidR="007F6E00" w:rsidRPr="00BC663A">
        <w:t>y</w:t>
      </w:r>
      <w:r w:rsidR="00923B99" w:rsidRPr="00BC663A">
        <w:t xml:space="preserve"> 201</w:t>
      </w:r>
      <w:r w:rsidR="007F6E00" w:rsidRPr="00BC663A">
        <w:t>7</w:t>
      </w:r>
    </w:p>
    <w:p w:rsidR="008A6964" w:rsidRDefault="00B04219" w:rsidP="007F6ECA">
      <w:pPr>
        <w:pStyle w:val="Nzev"/>
      </w:pPr>
      <w:r>
        <w:t>Drop</w:t>
      </w:r>
      <w:r w:rsidR="008A6964">
        <w:t xml:space="preserve"> in meat production</w:t>
      </w:r>
      <w:r w:rsidRPr="00B04219">
        <w:t xml:space="preserve"> </w:t>
      </w:r>
      <w:r>
        <w:t>continued</w:t>
      </w:r>
      <w:r w:rsidR="008A6964">
        <w:t>, milk collection up</w:t>
      </w:r>
    </w:p>
    <w:p w:rsidR="00BB0A3E" w:rsidRPr="00BC663A" w:rsidRDefault="00BB0A3E" w:rsidP="00BB0A3E">
      <w:pPr>
        <w:pStyle w:val="Podtitulek"/>
      </w:pPr>
      <w:r w:rsidRPr="00BC663A">
        <w:t xml:space="preserve">Agriculture – </w:t>
      </w:r>
      <w:r w:rsidR="00B53773">
        <w:t>2</w:t>
      </w:r>
      <w:r w:rsidR="00B53773">
        <w:rPr>
          <w:vertAlign w:val="superscript"/>
        </w:rPr>
        <w:t>nd</w:t>
      </w:r>
      <w:r w:rsidRPr="00BC663A">
        <w:t xml:space="preserve"> quarter 201</w:t>
      </w:r>
      <w:r w:rsidR="00A4704E">
        <w:t>7</w:t>
      </w:r>
    </w:p>
    <w:p w:rsidR="009A2F04" w:rsidRDefault="009A2F04" w:rsidP="007F6ECA">
      <w:pPr>
        <w:pStyle w:val="Perex"/>
        <w:spacing w:after="0"/>
        <w:rPr>
          <w:bCs/>
        </w:rPr>
      </w:pPr>
      <w:r w:rsidRPr="009A2F04">
        <w:rPr>
          <w:bCs/>
        </w:rPr>
        <w:t>In Q2 201</w:t>
      </w:r>
      <w:r>
        <w:rPr>
          <w:bCs/>
        </w:rPr>
        <w:t>7</w:t>
      </w:r>
      <w:r w:rsidRPr="009A2F04">
        <w:rPr>
          <w:bCs/>
        </w:rPr>
        <w:t xml:space="preserve"> the meat production amounted to 11</w:t>
      </w:r>
      <w:r>
        <w:rPr>
          <w:bCs/>
        </w:rPr>
        <w:t>0</w:t>
      </w:r>
      <w:r w:rsidRPr="009A2F04">
        <w:rPr>
          <w:bCs/>
        </w:rPr>
        <w:t> </w:t>
      </w:r>
      <w:r>
        <w:rPr>
          <w:bCs/>
        </w:rPr>
        <w:t>736</w:t>
      </w:r>
      <w:r w:rsidRPr="009A2F04">
        <w:rPr>
          <w:bCs/>
        </w:rPr>
        <w:t xml:space="preserve"> tonnes (</w:t>
      </w:r>
      <w:r w:rsidRPr="009A2F04">
        <w:rPr>
          <w:bCs/>
          <w:sz w:val="18"/>
        </w:rPr>
        <w:t>−</w:t>
      </w:r>
      <w:r>
        <w:rPr>
          <w:bCs/>
        </w:rPr>
        <w:t>3</w:t>
      </w:r>
      <w:r w:rsidRPr="009A2F04">
        <w:rPr>
          <w:bCs/>
        </w:rPr>
        <w:t>.</w:t>
      </w:r>
      <w:r>
        <w:rPr>
          <w:bCs/>
        </w:rPr>
        <w:t>4</w:t>
      </w:r>
      <w:r w:rsidRPr="009A2F04">
        <w:rPr>
          <w:bCs/>
        </w:rPr>
        <w:t>%, year-on-year)</w:t>
      </w:r>
      <w:r>
        <w:rPr>
          <w:bCs/>
        </w:rPr>
        <w:t>.</w:t>
      </w:r>
      <w:r w:rsidRPr="009A2F04">
        <w:rPr>
          <w:bCs/>
        </w:rPr>
        <w:t xml:space="preserve"> </w:t>
      </w:r>
      <w:r>
        <w:rPr>
          <w:bCs/>
        </w:rPr>
        <w:t>Beef production went distinctly down (</w:t>
      </w:r>
      <w:r w:rsidRPr="009A2F04">
        <w:rPr>
          <w:bCs/>
          <w:sz w:val="18"/>
        </w:rPr>
        <w:t>−</w:t>
      </w:r>
      <w:r>
        <w:rPr>
          <w:bCs/>
        </w:rPr>
        <w:t>8.1%), a long-term decline in pigmeat production continued (</w:t>
      </w:r>
      <w:r w:rsidRPr="009A2F04">
        <w:rPr>
          <w:bCs/>
          <w:sz w:val="18"/>
        </w:rPr>
        <w:t>−</w:t>
      </w:r>
      <w:r>
        <w:rPr>
          <w:bCs/>
        </w:rPr>
        <w:t xml:space="preserve">6.6%), and steady poultrymeat production recorded an increase by 3.2%. </w:t>
      </w:r>
      <w:r w:rsidRPr="009A2F04">
        <w:rPr>
          <w:bCs/>
        </w:rPr>
        <w:t xml:space="preserve">Agricultural producer prices of </w:t>
      </w:r>
      <w:r>
        <w:rPr>
          <w:bCs/>
        </w:rPr>
        <w:t xml:space="preserve">cattle for slaughter went up, y-o-y, by 2.1%, those of pigs for slaughter rose by 27.4% and, on the contrary, those of chicken for slaughter decreased by 3.6%. Milk collection </w:t>
      </w:r>
      <w:r w:rsidR="00AA6A9E">
        <w:rPr>
          <w:bCs/>
        </w:rPr>
        <w:t xml:space="preserve">from producers reached </w:t>
      </w:r>
      <w:r w:rsidR="00AA6A9E">
        <w:t>748 179 thous. litres</w:t>
      </w:r>
      <w:r w:rsidR="00A37D44">
        <w:t>;</w:t>
      </w:r>
      <w:r w:rsidR="00AA6A9E">
        <w:t xml:space="preserve"> its producer price grew by 26.1%, y-o-y, to 8.28 </w:t>
      </w:r>
      <w:r w:rsidR="00AA6A9E" w:rsidRPr="00FB157A">
        <w:t>CZK per litre</w:t>
      </w:r>
      <w:r w:rsidR="00AA6A9E">
        <w:t>.</w:t>
      </w:r>
    </w:p>
    <w:p w:rsidR="003C79E7" w:rsidRPr="00BC663A" w:rsidRDefault="003C79E7" w:rsidP="004E34E7">
      <w:pPr>
        <w:pStyle w:val="Nadpis1"/>
        <w:jc w:val="both"/>
      </w:pPr>
    </w:p>
    <w:p w:rsidR="00AB2FAD" w:rsidRPr="00BC663A" w:rsidRDefault="00923B99" w:rsidP="00AB2FAD">
      <w:pPr>
        <w:pStyle w:val="Nadpis1"/>
      </w:pPr>
      <w:r w:rsidRPr="00BC663A">
        <w:t>Slaughtering and meat production</w:t>
      </w:r>
      <w:r w:rsidR="00E0426C" w:rsidRPr="00BC663A">
        <w:t xml:space="preserve"> </w:t>
      </w:r>
    </w:p>
    <w:p w:rsidR="007565B5" w:rsidRDefault="000B3B11" w:rsidP="007565B5">
      <w:r w:rsidRPr="000B3B11">
        <w:t>In Q2 201</w:t>
      </w:r>
      <w:r w:rsidR="00F46843">
        <w:t>7</w:t>
      </w:r>
      <w:r w:rsidRPr="000B3B11">
        <w:t xml:space="preserve"> the number of slaughtered cattle was 5</w:t>
      </w:r>
      <w:r w:rsidR="007565B5" w:rsidRPr="007565B5">
        <w:t>5</w:t>
      </w:r>
      <w:r w:rsidRPr="000B3B11">
        <w:t>.</w:t>
      </w:r>
      <w:r w:rsidR="007565B5" w:rsidRPr="007565B5">
        <w:t>2</w:t>
      </w:r>
      <w:r w:rsidRPr="000B3B11">
        <w:t xml:space="preserve"> thous. head (</w:t>
      </w:r>
      <w:r w:rsidR="007565B5" w:rsidRPr="000B3B11">
        <w:rPr>
          <w:sz w:val="18"/>
        </w:rPr>
        <w:t>−</w:t>
      </w:r>
      <w:r w:rsidR="007565B5" w:rsidRPr="007565B5">
        <w:t>7</w:t>
      </w:r>
      <w:r w:rsidRPr="000B3B11">
        <w:t>.</w:t>
      </w:r>
      <w:r w:rsidR="007565B5" w:rsidRPr="007565B5">
        <w:t>4</w:t>
      </w:r>
      <w:r w:rsidRPr="000B3B11">
        <w:t>%, y-o-y), of which 2</w:t>
      </w:r>
      <w:r w:rsidR="007565B5" w:rsidRPr="007565B5">
        <w:t>3</w:t>
      </w:r>
      <w:r w:rsidRPr="000B3B11">
        <w:t>.</w:t>
      </w:r>
      <w:r w:rsidR="007565B5" w:rsidRPr="007565B5">
        <w:t>1</w:t>
      </w:r>
      <w:r w:rsidRPr="000B3B11">
        <w:t xml:space="preserve"> thous. were bulls (</w:t>
      </w:r>
      <w:r w:rsidR="007565B5" w:rsidRPr="000B3B11">
        <w:rPr>
          <w:sz w:val="18"/>
        </w:rPr>
        <w:t>−</w:t>
      </w:r>
      <w:r w:rsidR="007565B5" w:rsidRPr="007565B5">
        <w:t>6</w:t>
      </w:r>
      <w:r w:rsidRPr="000B3B11">
        <w:t>.</w:t>
      </w:r>
      <w:r w:rsidR="007565B5" w:rsidRPr="007565B5">
        <w:t>9</w:t>
      </w:r>
      <w:r w:rsidRPr="000B3B11">
        <w:t>%), 2</w:t>
      </w:r>
      <w:r w:rsidR="007565B5" w:rsidRPr="007565B5">
        <w:t>4</w:t>
      </w:r>
      <w:r w:rsidRPr="000B3B11">
        <w:t>.</w:t>
      </w:r>
      <w:r w:rsidR="007565B5" w:rsidRPr="007565B5">
        <w:t>2</w:t>
      </w:r>
      <w:r w:rsidRPr="000B3B11">
        <w:t xml:space="preserve"> thous. were cows (</w:t>
      </w:r>
      <w:r w:rsidR="007565B5" w:rsidRPr="000B3B11">
        <w:rPr>
          <w:sz w:val="18"/>
        </w:rPr>
        <w:t>−</w:t>
      </w:r>
      <w:r w:rsidR="007565B5" w:rsidRPr="007565B5">
        <w:t>8</w:t>
      </w:r>
      <w:r w:rsidRPr="000B3B11">
        <w:t>.</w:t>
      </w:r>
      <w:r w:rsidR="007565B5" w:rsidRPr="007565B5">
        <w:t>9</w:t>
      </w:r>
      <w:r w:rsidRPr="000B3B11">
        <w:t>%), and 5.</w:t>
      </w:r>
      <w:r w:rsidR="007565B5" w:rsidRPr="007565B5">
        <w:t>6</w:t>
      </w:r>
      <w:r w:rsidRPr="000B3B11">
        <w:t xml:space="preserve"> thous. were heifers (</w:t>
      </w:r>
      <w:r w:rsidR="007565B5" w:rsidRPr="000B3B11">
        <w:rPr>
          <w:sz w:val="18"/>
        </w:rPr>
        <w:t>−</w:t>
      </w:r>
      <w:r w:rsidR="007565B5" w:rsidRPr="007565B5">
        <w:t>1</w:t>
      </w:r>
      <w:r w:rsidRPr="000B3B11">
        <w:t>.</w:t>
      </w:r>
      <w:r w:rsidR="007565B5" w:rsidRPr="007565B5">
        <w:t>7</w:t>
      </w:r>
      <w:r w:rsidRPr="000B3B11">
        <w:t>%).</w:t>
      </w:r>
      <w:r w:rsidR="000574BE">
        <w:t> </w:t>
      </w:r>
      <w:r w:rsidRPr="000B3B11">
        <w:t>The total beef production amounted to 1</w:t>
      </w:r>
      <w:r w:rsidR="007565B5" w:rsidRPr="007565B5">
        <w:t>6</w:t>
      </w:r>
      <w:r w:rsidRPr="000B3B11">
        <w:t> </w:t>
      </w:r>
      <w:r w:rsidR="007565B5" w:rsidRPr="007565B5">
        <w:t>521</w:t>
      </w:r>
      <w:r w:rsidRPr="000B3B11">
        <w:t xml:space="preserve"> tonnes (</w:t>
      </w:r>
      <w:r w:rsidR="007565B5" w:rsidRPr="000B3B11">
        <w:rPr>
          <w:sz w:val="18"/>
        </w:rPr>
        <w:t>−</w:t>
      </w:r>
      <w:r w:rsidR="0035188A">
        <w:t>8</w:t>
      </w:r>
      <w:r w:rsidRPr="000B3B11">
        <w:t>.</w:t>
      </w:r>
      <w:r w:rsidR="0035188A">
        <w:t>1</w:t>
      </w:r>
      <w:r w:rsidRPr="000B3B11">
        <w:t>%).</w:t>
      </w:r>
      <w:r w:rsidR="007565B5" w:rsidRPr="007565B5">
        <w:t xml:space="preserve"> </w:t>
      </w:r>
      <w:r w:rsidR="00656ED9">
        <w:t>The</w:t>
      </w:r>
      <w:r w:rsidR="007565B5">
        <w:t xml:space="preserve"> declining trend in </w:t>
      </w:r>
      <w:r w:rsidR="001A74DA">
        <w:t xml:space="preserve">the </w:t>
      </w:r>
      <w:r w:rsidR="007565B5">
        <w:t xml:space="preserve">number of slaughtered cattle and </w:t>
      </w:r>
      <w:r w:rsidR="001A74DA">
        <w:t xml:space="preserve">the </w:t>
      </w:r>
      <w:r w:rsidR="007565B5">
        <w:t>beef production continued</w:t>
      </w:r>
      <w:r w:rsidR="00656ED9" w:rsidRPr="00656ED9">
        <w:t xml:space="preserve"> </w:t>
      </w:r>
      <w:r w:rsidR="00656ED9">
        <w:t>during the reference period</w:t>
      </w:r>
      <w:r w:rsidR="007565B5">
        <w:t xml:space="preserve">. The largest decrease was recorded </w:t>
      </w:r>
      <w:r w:rsidR="00E201DF">
        <w:t>for</w:t>
      </w:r>
      <w:r w:rsidR="007565B5">
        <w:t xml:space="preserve"> cows (</w:t>
      </w:r>
      <w:r w:rsidR="007565B5" w:rsidRPr="000B3B11">
        <w:rPr>
          <w:sz w:val="18"/>
        </w:rPr>
        <w:t>−</w:t>
      </w:r>
      <w:r w:rsidR="007565B5" w:rsidRPr="007565B5">
        <w:t>10.7%)</w:t>
      </w:r>
      <w:r w:rsidR="007565B5">
        <w:t>; it</w:t>
      </w:r>
      <w:r w:rsidR="00E201DF">
        <w:t xml:space="preserve"> i</w:t>
      </w:r>
      <w:r w:rsidR="007565B5">
        <w:t xml:space="preserve">s a signal of lesser </w:t>
      </w:r>
      <w:r w:rsidR="00E201DF">
        <w:t>extent</w:t>
      </w:r>
      <w:r w:rsidR="007565B5">
        <w:t xml:space="preserve"> of </w:t>
      </w:r>
      <w:r w:rsidR="008A1D5C">
        <w:t xml:space="preserve">their </w:t>
      </w:r>
      <w:r w:rsidR="007565B5">
        <w:t xml:space="preserve">culling </w:t>
      </w:r>
      <w:r w:rsidR="00CC7FEC">
        <w:t>aimed</w:t>
      </w:r>
      <w:r w:rsidR="007565B5">
        <w:t xml:space="preserve"> to ensur</w:t>
      </w:r>
      <w:r w:rsidR="00CC7FEC">
        <w:t>ing</w:t>
      </w:r>
      <w:r w:rsidR="007565B5">
        <w:t xml:space="preserve"> sufficient number of calves for further rearing. </w:t>
      </w:r>
      <w:r w:rsidR="007565B5" w:rsidRPr="007565B5">
        <w:rPr>
          <w:sz w:val="22"/>
        </w:rPr>
        <w:t xml:space="preserve"> </w:t>
      </w:r>
    </w:p>
    <w:p w:rsidR="00F46843" w:rsidRDefault="00F46843" w:rsidP="007565B5">
      <w:r w:rsidRPr="00F46843">
        <w:t xml:space="preserve">The long-term decline </w:t>
      </w:r>
      <w:r w:rsidR="00D97948">
        <w:t>of</w:t>
      </w:r>
      <w:r w:rsidRPr="00F46843">
        <w:t xml:space="preserve"> t</w:t>
      </w:r>
      <w:r w:rsidR="000B3B11" w:rsidRPr="000B3B11">
        <w:t xml:space="preserve">he number of slaughtered pigs </w:t>
      </w:r>
      <w:r w:rsidRPr="00F46843">
        <w:t>continued (599.4</w:t>
      </w:r>
      <w:r w:rsidR="000B3B11" w:rsidRPr="000B3B11">
        <w:t xml:space="preserve"> thous.</w:t>
      </w:r>
      <w:r w:rsidRPr="00F46843">
        <w:t xml:space="preserve"> head; </w:t>
      </w:r>
      <w:r w:rsidRPr="000B3B11">
        <w:rPr>
          <w:sz w:val="18"/>
        </w:rPr>
        <w:t>−</w:t>
      </w:r>
      <w:r w:rsidRPr="00F46843">
        <w:t xml:space="preserve">5.0%). Similarly to </w:t>
      </w:r>
      <w:r>
        <w:t xml:space="preserve">slaughtering of cows </w:t>
      </w:r>
      <w:r w:rsidR="00204B96">
        <w:t>out of</w:t>
      </w:r>
      <w:r>
        <w:t xml:space="preserve"> cattle, slaughtering of sows went distinctly down (by 23.3%, y-o-y, and by 7.6% compared to Q1 2017). In total 5</w:t>
      </w:r>
      <w:r w:rsidR="0035188A">
        <w:t>3</w:t>
      </w:r>
      <w:r>
        <w:t> </w:t>
      </w:r>
      <w:r w:rsidR="0035188A">
        <w:t>745</w:t>
      </w:r>
      <w:r>
        <w:t xml:space="preserve"> tonnes of pigmeat </w:t>
      </w:r>
      <w:r w:rsidR="00EF6372">
        <w:t>(</w:t>
      </w:r>
      <w:r w:rsidR="00EF6372" w:rsidRPr="000B3B11">
        <w:rPr>
          <w:sz w:val="18"/>
        </w:rPr>
        <w:t>−</w:t>
      </w:r>
      <w:r w:rsidR="00EF6372">
        <w:t xml:space="preserve">6.6%) </w:t>
      </w:r>
      <w:r>
        <w:t>were produced.</w:t>
      </w:r>
    </w:p>
    <w:p w:rsidR="008D4CFB" w:rsidRDefault="00214D1E" w:rsidP="008D4CFB">
      <w:r>
        <w:t>Poultrymeat production in Q2 2017 recorded a slight increase, y-o-y, to 40 402 tonnes (+3.2%).</w:t>
      </w:r>
    </w:p>
    <w:p w:rsidR="008D4CFB" w:rsidRPr="008D4CFB" w:rsidRDefault="008D4CFB" w:rsidP="008D4CFB"/>
    <w:p w:rsidR="00A4704E" w:rsidRPr="00BC663A" w:rsidRDefault="00A4704E" w:rsidP="00A4704E">
      <w:pPr>
        <w:pStyle w:val="Nadpis1"/>
      </w:pPr>
      <w:r>
        <w:t>Cattle, pig, and poultry numbers</w:t>
      </w:r>
    </w:p>
    <w:p w:rsidR="00341AFB" w:rsidRPr="00762906" w:rsidRDefault="00341AFB" w:rsidP="008D4CFB">
      <w:pPr>
        <w:rPr>
          <w:b/>
        </w:rPr>
      </w:pPr>
      <w:r w:rsidRPr="00341AFB">
        <w:t xml:space="preserve">According to results of Livestock Survey, </w:t>
      </w:r>
      <w:r w:rsidR="000B3B11" w:rsidRPr="000B3B11">
        <w:t xml:space="preserve">the number of cattle in the Czech Republic </w:t>
      </w:r>
      <w:r w:rsidRPr="00341AFB">
        <w:t>a</w:t>
      </w:r>
      <w:r w:rsidRPr="000B3B11">
        <w:t>t the beginning of Q2 201</w:t>
      </w:r>
      <w:r w:rsidRPr="00341AFB">
        <w:t xml:space="preserve">7 </w:t>
      </w:r>
      <w:r w:rsidR="000B3B11" w:rsidRPr="000B3B11">
        <w:t>was 1 4</w:t>
      </w:r>
      <w:r w:rsidRPr="00341AFB">
        <w:t>21</w:t>
      </w:r>
      <w:r w:rsidR="000B3B11" w:rsidRPr="000B3B11">
        <w:t>.</w:t>
      </w:r>
      <w:r w:rsidRPr="00341AFB">
        <w:t>2</w:t>
      </w:r>
      <w:r w:rsidR="000B3B11" w:rsidRPr="000B3B11">
        <w:t xml:space="preserve"> thous. head (+0.</w:t>
      </w:r>
      <w:r w:rsidRPr="00341AFB">
        <w:t>4</w:t>
      </w:r>
      <w:r w:rsidR="000B3B11" w:rsidRPr="000B3B11">
        <w:t>%, y-o-y)</w:t>
      </w:r>
      <w:r w:rsidRPr="00341AFB">
        <w:t>.</w:t>
      </w:r>
      <w:r>
        <w:t xml:space="preserve"> The number of cows went up; a</w:t>
      </w:r>
      <w:r w:rsidR="000574BE">
        <w:t> </w:t>
      </w:r>
      <w:r>
        <w:t>slight decrease was observed in dairy cows (</w:t>
      </w:r>
      <w:r w:rsidR="00762906">
        <w:t>by 0.7%; to 369.8 thous. head)</w:t>
      </w:r>
      <w:r w:rsidR="000B3B11" w:rsidRPr="000B3B11">
        <w:t xml:space="preserve"> </w:t>
      </w:r>
      <w:r w:rsidR="00762906">
        <w:t xml:space="preserve">while the number of other (beef) cows rose by 2.3% (to </w:t>
      </w:r>
      <w:r w:rsidR="00EF7B39">
        <w:t>216</w:t>
      </w:r>
      <w:r w:rsidR="00762906">
        <w:t>.</w:t>
      </w:r>
      <w:r w:rsidR="00EF7B39">
        <w:t>1</w:t>
      </w:r>
      <w:r w:rsidR="00762906">
        <w:t xml:space="preserve"> thous. head). The age category of 1-2 years recorded a slight increase (+1.7%) due to higher number of bulls for fattening (+6.6%), although the number of replacement heifers went negligibly down </w:t>
      </w:r>
      <w:r w:rsidR="00762906" w:rsidRPr="00762906">
        <w:t>(</w:t>
      </w:r>
      <w:r w:rsidR="00762906" w:rsidRPr="000B3B11">
        <w:rPr>
          <w:sz w:val="18"/>
        </w:rPr>
        <w:t>−</w:t>
      </w:r>
      <w:r w:rsidR="00762906">
        <w:t>0.8%).</w:t>
      </w:r>
    </w:p>
    <w:p w:rsidR="000B3B11" w:rsidRPr="000B3B11" w:rsidRDefault="000B3B11" w:rsidP="008D4CFB">
      <w:pPr>
        <w:rPr>
          <w:b/>
        </w:rPr>
      </w:pPr>
      <w:r w:rsidRPr="000B3B11">
        <w:t xml:space="preserve">The number of pigs </w:t>
      </w:r>
      <w:r w:rsidR="00762906" w:rsidRPr="006E4D91">
        <w:t>de</w:t>
      </w:r>
      <w:r w:rsidRPr="000B3B11">
        <w:t>creased, y-o-y, to 1 </w:t>
      </w:r>
      <w:r w:rsidR="00762906" w:rsidRPr="006E4D91">
        <w:t>490</w:t>
      </w:r>
      <w:r w:rsidRPr="000B3B11">
        <w:t>.</w:t>
      </w:r>
      <w:r w:rsidR="00762906" w:rsidRPr="006E4D91">
        <w:t>8</w:t>
      </w:r>
      <w:r w:rsidRPr="000B3B11">
        <w:t xml:space="preserve"> thous. head (</w:t>
      </w:r>
      <w:r w:rsidR="00762906" w:rsidRPr="000B3B11">
        <w:rPr>
          <w:sz w:val="18"/>
        </w:rPr>
        <w:t>−</w:t>
      </w:r>
      <w:r w:rsidR="00762906" w:rsidRPr="006E4D91">
        <w:t>7</w:t>
      </w:r>
      <w:r w:rsidRPr="000B3B11">
        <w:t>.</w:t>
      </w:r>
      <w:r w:rsidR="00762906" w:rsidRPr="006E4D91">
        <w:t>4</w:t>
      </w:r>
      <w:r w:rsidRPr="000B3B11">
        <w:t>%)</w:t>
      </w:r>
      <w:r w:rsidR="00762906" w:rsidRPr="006E4D91">
        <w:t xml:space="preserve">. </w:t>
      </w:r>
      <w:r w:rsidR="006E4D91">
        <w:t xml:space="preserve">The largest drop was </w:t>
      </w:r>
      <w:r w:rsidR="006E4D91" w:rsidRPr="00C40DCF">
        <w:t>recorded in pigs for fattening (</w:t>
      </w:r>
      <w:r w:rsidR="006E4D91" w:rsidRPr="000B3B11">
        <w:rPr>
          <w:sz w:val="18"/>
        </w:rPr>
        <w:t>−</w:t>
      </w:r>
      <w:r w:rsidR="006E4D91" w:rsidRPr="00C40DCF">
        <w:t>12.2%). It can be assumed that significantly lower number of pigs for fattening in the category of 50-80 kg (</w:t>
      </w:r>
      <w:r w:rsidR="00C40DCF" w:rsidRPr="000B3B11">
        <w:rPr>
          <w:sz w:val="18"/>
        </w:rPr>
        <w:t>−</w:t>
      </w:r>
      <w:r w:rsidR="00C40DCF" w:rsidRPr="00C40DCF">
        <w:t xml:space="preserve">14.6%) </w:t>
      </w:r>
      <w:r w:rsidR="001A74DA">
        <w:t xml:space="preserve">at the beginning of Q2 2017 </w:t>
      </w:r>
      <w:r w:rsidR="006E4D91" w:rsidRPr="00C40DCF">
        <w:t>will in</w:t>
      </w:r>
      <w:r w:rsidR="00C40DCF" w:rsidRPr="00C40DCF">
        <w:t xml:space="preserve">fluence the number of pigs </w:t>
      </w:r>
      <w:r w:rsidR="00C40DCF">
        <w:t>from indigenous farms</w:t>
      </w:r>
      <w:r w:rsidR="00C40DCF" w:rsidRPr="00C40DCF">
        <w:t xml:space="preserve"> </w:t>
      </w:r>
      <w:r w:rsidR="00C40DCF">
        <w:t>intended for</w:t>
      </w:r>
      <w:r w:rsidR="00C40DCF" w:rsidRPr="00C40DCF">
        <w:t xml:space="preserve"> slaughter at the turn of the half-year when they reach </w:t>
      </w:r>
      <w:r w:rsidR="00C40DCF">
        <w:t>the</w:t>
      </w:r>
      <w:r w:rsidR="00215FFB">
        <w:t>ir</w:t>
      </w:r>
      <w:r w:rsidR="00C40DCF">
        <w:t xml:space="preserve"> slaughter</w:t>
      </w:r>
      <w:r w:rsidR="00C40DCF" w:rsidRPr="00C40DCF">
        <w:t xml:space="preserve"> </w:t>
      </w:r>
      <w:r w:rsidR="00C40DCF">
        <w:t>weight. Number of sows dropped as well; they were by 6.2% lower</w:t>
      </w:r>
      <w:r w:rsidR="00C40DCF" w:rsidRPr="00C40DCF">
        <w:t xml:space="preserve"> </w:t>
      </w:r>
      <w:r w:rsidR="00C40DCF">
        <w:t>in comparison with the previous year.</w:t>
      </w:r>
    </w:p>
    <w:p w:rsidR="00A061BB" w:rsidRPr="00A061BB" w:rsidRDefault="00A061BB" w:rsidP="008D4CFB">
      <w:pPr>
        <w:rPr>
          <w:b/>
        </w:rPr>
      </w:pPr>
      <w:r w:rsidRPr="00A061BB">
        <w:t xml:space="preserve">The number of poultry </w:t>
      </w:r>
      <w:r>
        <w:t xml:space="preserve">stayed almost the same, y-o-y (21 494.3 thous. head; +0.8%). The number of hens rose to 6 835.7 thous. head (+11.8%) as well as the number of ducks (to 549.7 thous.; +10.4%). On the contrary, declines were observed for broilers </w:t>
      </w:r>
      <w:r w:rsidRPr="00A061BB">
        <w:t>(</w:t>
      </w:r>
      <w:r>
        <w:t>to</w:t>
      </w:r>
      <w:r w:rsidRPr="00A061BB">
        <w:t xml:space="preserve"> 1</w:t>
      </w:r>
      <w:r w:rsidR="009142EE">
        <w:t>0</w:t>
      </w:r>
      <w:r>
        <w:t> </w:t>
      </w:r>
      <w:r w:rsidR="009142EE">
        <w:t>938</w:t>
      </w:r>
      <w:r>
        <w:t>.</w:t>
      </w:r>
      <w:r w:rsidR="009142EE">
        <w:t>4</w:t>
      </w:r>
      <w:r w:rsidRPr="00A061BB">
        <w:t xml:space="preserve"> </w:t>
      </w:r>
      <w:r>
        <w:t>thous</w:t>
      </w:r>
      <w:r w:rsidRPr="00A061BB">
        <w:t xml:space="preserve">.; </w:t>
      </w:r>
      <w:r w:rsidRPr="00A061BB">
        <w:rPr>
          <w:sz w:val="18"/>
          <w:szCs w:val="18"/>
        </w:rPr>
        <w:t>−</w:t>
      </w:r>
      <w:r w:rsidRPr="00A061BB">
        <w:t>4</w:t>
      </w:r>
      <w:r>
        <w:t>.</w:t>
      </w:r>
      <w:r w:rsidRPr="00A061BB">
        <w:t xml:space="preserve">3%), </w:t>
      </w:r>
      <w:r w:rsidR="00A6119E">
        <w:t xml:space="preserve">reared </w:t>
      </w:r>
      <w:r>
        <w:t xml:space="preserve">pullets </w:t>
      </w:r>
      <w:r w:rsidRPr="00A061BB">
        <w:t>(</w:t>
      </w:r>
      <w:r>
        <w:t>to</w:t>
      </w:r>
      <w:r w:rsidRPr="00A061BB">
        <w:t xml:space="preserve"> 2</w:t>
      </w:r>
      <w:r>
        <w:t> </w:t>
      </w:r>
      <w:r w:rsidRPr="00A061BB">
        <w:t>552</w:t>
      </w:r>
      <w:r>
        <w:t>.</w:t>
      </w:r>
      <w:r w:rsidRPr="00A061BB">
        <w:t>2 </w:t>
      </w:r>
      <w:r>
        <w:t>thous</w:t>
      </w:r>
      <w:r w:rsidRPr="00A061BB">
        <w:t>.; −4</w:t>
      </w:r>
      <w:r>
        <w:t>.</w:t>
      </w:r>
      <w:r w:rsidRPr="00A061BB">
        <w:t xml:space="preserve">0%), </w:t>
      </w:r>
      <w:r>
        <w:t>geese</w:t>
      </w:r>
      <w:r w:rsidRPr="00A061BB">
        <w:t xml:space="preserve"> (</w:t>
      </w:r>
      <w:r>
        <w:t>to</w:t>
      </w:r>
      <w:r w:rsidRPr="00A061BB">
        <w:t xml:space="preserve"> 18</w:t>
      </w:r>
      <w:r>
        <w:t>.</w:t>
      </w:r>
      <w:r w:rsidRPr="00A061BB">
        <w:t>1 </w:t>
      </w:r>
      <w:r>
        <w:t>thous</w:t>
      </w:r>
      <w:r w:rsidRPr="00A061BB">
        <w:t>.; −7</w:t>
      </w:r>
      <w:r>
        <w:t>.</w:t>
      </w:r>
      <w:r w:rsidRPr="00A061BB">
        <w:t>9%) a</w:t>
      </w:r>
      <w:r>
        <w:t>nd</w:t>
      </w:r>
      <w:r w:rsidRPr="00A061BB">
        <w:t xml:space="preserve"> </w:t>
      </w:r>
      <w:r>
        <w:t>turkeys</w:t>
      </w:r>
      <w:r w:rsidRPr="00A061BB">
        <w:t xml:space="preserve"> (</w:t>
      </w:r>
      <w:r>
        <w:t>to</w:t>
      </w:r>
      <w:r w:rsidRPr="00A061BB">
        <w:t xml:space="preserve"> 339</w:t>
      </w:r>
      <w:r>
        <w:t>.</w:t>
      </w:r>
      <w:r w:rsidRPr="00A061BB">
        <w:t>7 t</w:t>
      </w:r>
      <w:r>
        <w:t>hou</w:t>
      </w:r>
      <w:r w:rsidRPr="00A061BB">
        <w:t>s.; −9</w:t>
      </w:r>
      <w:r>
        <w:t>.</w:t>
      </w:r>
      <w:r w:rsidRPr="00A061BB">
        <w:t>3%).</w:t>
      </w:r>
    </w:p>
    <w:p w:rsidR="00FD0984" w:rsidRPr="00FD0984" w:rsidRDefault="00FD0984" w:rsidP="00FD0984"/>
    <w:p w:rsidR="00923B99" w:rsidRPr="00BC663A" w:rsidRDefault="00923B99" w:rsidP="00FD0984">
      <w:pPr>
        <w:pStyle w:val="Nadpis1"/>
        <w:jc w:val="both"/>
      </w:pPr>
      <w:r w:rsidRPr="00BC663A">
        <w:t>Agricultural producer prices of cattle, pigs and chicken for slaughter</w:t>
      </w:r>
    </w:p>
    <w:p w:rsidR="00FB157A" w:rsidRPr="00FB157A" w:rsidRDefault="00FB157A" w:rsidP="00FB157A">
      <w:r w:rsidRPr="00FB157A">
        <w:t xml:space="preserve">In Q2 2016 agricultural producer prices of cattle for slaughter slightly </w:t>
      </w:r>
      <w:r w:rsidR="00E54B4C">
        <w:t>grew</w:t>
      </w:r>
      <w:r w:rsidRPr="00FB157A">
        <w:t xml:space="preserve">, y-o-y, for all categories: by 1.4% for bulls, by 2.6% for cows, by 3.9% for heifers and by 8.3% </w:t>
      </w:r>
      <w:r w:rsidR="000A3155">
        <w:t xml:space="preserve">for </w:t>
      </w:r>
      <w:r w:rsidRPr="00FB157A">
        <w:t xml:space="preserve">calves for slaughter. The average price of bulls for slaughter was 47.44 CZK per kg of live weight or 86.34 CZK per kg of carcass weight.  </w:t>
      </w:r>
    </w:p>
    <w:p w:rsidR="00FB157A" w:rsidRPr="00FB157A" w:rsidRDefault="00FB157A" w:rsidP="00FB157A">
      <w:r w:rsidRPr="00FB157A">
        <w:t>Agricultural producer prices of pigs for slaughter went up, y-o-y, by 27.4%. Pigs for slaughter were sold on average for 33.43 CZK per kg of live weight or 43.46 CZK per kg of carcass weight.</w:t>
      </w:r>
    </w:p>
    <w:p w:rsidR="00FB157A" w:rsidRPr="00FB157A" w:rsidRDefault="00FB157A" w:rsidP="00FB157A">
      <w:r w:rsidRPr="00FB157A">
        <w:t xml:space="preserve">Agricultural producer prices of chicken for slaughter were by 3.6% below the last year’s level. The producers sold chicken for slaughter average price of the first quality class for 22.90 CZK per kg of live weight.  </w:t>
      </w:r>
    </w:p>
    <w:p w:rsidR="0018339B" w:rsidRPr="00BC663A" w:rsidRDefault="0018339B" w:rsidP="0001287A">
      <w:r w:rsidRPr="00BC663A">
        <w:t xml:space="preserve">  </w:t>
      </w:r>
    </w:p>
    <w:p w:rsidR="007F6E00" w:rsidRPr="00BC663A" w:rsidRDefault="00A4704E" w:rsidP="007F6E00">
      <w:pPr>
        <w:pStyle w:val="Nadpis1"/>
      </w:pPr>
      <w:r>
        <w:t>External trade in live animals and meat</w:t>
      </w:r>
    </w:p>
    <w:p w:rsidR="0001287A" w:rsidRPr="00ED63DB" w:rsidRDefault="0001287A" w:rsidP="00B53773">
      <w:pPr>
        <w:rPr>
          <w:highlight w:val="yellow"/>
        </w:rPr>
      </w:pPr>
      <w:r w:rsidRPr="00ED63DB">
        <w:t>According to preliminary results, external trade</w:t>
      </w:r>
      <w:r w:rsidRPr="00ED63DB">
        <w:rPr>
          <w:vertAlign w:val="superscript"/>
        </w:rPr>
        <w:footnoteReference w:id="1"/>
      </w:r>
      <w:r w:rsidRPr="00ED63DB">
        <w:rPr>
          <w:vertAlign w:val="superscript"/>
        </w:rPr>
        <w:t xml:space="preserve">) </w:t>
      </w:r>
      <w:r w:rsidR="00ED63DB" w:rsidRPr="00ED63DB">
        <w:t>in live animals in the period from March to May</w:t>
      </w:r>
      <w:r w:rsidR="00ED63DB">
        <w:t xml:space="preserve"> 2017 </w:t>
      </w:r>
      <w:r w:rsidR="00ED63DB" w:rsidRPr="00ED63DB">
        <w:t>reached a positive balance in weight units in all three types (1</w:t>
      </w:r>
      <w:r w:rsidR="00ED63DB">
        <w:t>7</w:t>
      </w:r>
      <w:r w:rsidR="00ED63DB" w:rsidRPr="00ED63DB">
        <w:t> </w:t>
      </w:r>
      <w:r w:rsidR="00ED63DB">
        <w:t>371</w:t>
      </w:r>
      <w:r w:rsidR="00ED63DB" w:rsidRPr="00ED63DB">
        <w:t xml:space="preserve"> tonnes for cattle, </w:t>
      </w:r>
      <w:r w:rsidR="00ED63DB">
        <w:t>5</w:t>
      </w:r>
      <w:r w:rsidR="00ED63DB" w:rsidRPr="00ED63DB">
        <w:t> </w:t>
      </w:r>
      <w:r w:rsidR="00ED63DB">
        <w:t>507</w:t>
      </w:r>
      <w:r w:rsidR="00ED63DB" w:rsidRPr="00ED63DB">
        <w:t xml:space="preserve"> tonnes for pigs, and </w:t>
      </w:r>
      <w:r w:rsidR="00ED63DB">
        <w:t>11</w:t>
      </w:r>
      <w:r w:rsidR="00ED63DB" w:rsidRPr="00ED63DB">
        <w:t> </w:t>
      </w:r>
      <w:r w:rsidR="00ED63DB">
        <w:t>016</w:t>
      </w:r>
      <w:r w:rsidR="00ED63DB" w:rsidRPr="00ED63DB">
        <w:t xml:space="preserve"> tonnes for poultry).</w:t>
      </w:r>
    </w:p>
    <w:p w:rsidR="00412646" w:rsidRPr="00BB2F6B" w:rsidRDefault="00412646" w:rsidP="00412646">
      <w:r w:rsidRPr="00412646">
        <w:t>Exports of live cattle (49.7 thous. head) distinctly exceeded their imports (0.6 thous. head), although it went slightly down, y-o-y (</w:t>
      </w:r>
      <w:r w:rsidRPr="00412646">
        <w:rPr>
          <w:sz w:val="18"/>
          <w:szCs w:val="18"/>
        </w:rPr>
        <w:t>−</w:t>
      </w:r>
      <w:r w:rsidRPr="00412646">
        <w:t>2.8%). Exports of animals for slaughter declined (to 16.0 thous. head and 10 </w:t>
      </w:r>
      <w:r w:rsidR="009142EE">
        <w:t>462</w:t>
      </w:r>
      <w:r w:rsidRPr="00412646">
        <w:t xml:space="preserve"> tonnes of live weight)</w:t>
      </w:r>
      <w:r>
        <w:t>;</w:t>
      </w:r>
      <w:r w:rsidRPr="00412646">
        <w:t xml:space="preserve"> the</w:t>
      </w:r>
      <w:r>
        <w:t xml:space="preserve"> number of animals for further rearing stayed at the same level </w:t>
      </w:r>
      <w:r w:rsidRPr="00412646">
        <w:t>(33</w:t>
      </w:r>
      <w:r>
        <w:t>.</w:t>
      </w:r>
      <w:r w:rsidRPr="00412646">
        <w:t>8 thous. head)</w:t>
      </w:r>
      <w:r>
        <w:t xml:space="preserve">. Cattle were exported mainly to Austria (ones for </w:t>
      </w:r>
      <w:r w:rsidRPr="00D15C59">
        <w:t>slaughter)</w:t>
      </w:r>
      <w:r w:rsidR="001344EA">
        <w:t>;</w:t>
      </w:r>
      <w:r w:rsidRPr="00D15C59">
        <w:t xml:space="preserve"> </w:t>
      </w:r>
      <w:r w:rsidRPr="00DF6048">
        <w:t xml:space="preserve">exports to Turkey </w:t>
      </w:r>
      <w:r w:rsidR="00540E2F" w:rsidRPr="00DF6048">
        <w:t xml:space="preserve">continued (cattle both for breeding and for further rearing) and </w:t>
      </w:r>
      <w:r w:rsidR="001344EA" w:rsidRPr="00DF6048">
        <w:t>those</w:t>
      </w:r>
      <w:r w:rsidR="00540E2F" w:rsidRPr="00DF6048">
        <w:t xml:space="preserve"> to Poland newly become important</w:t>
      </w:r>
      <w:r w:rsidR="004F6F64" w:rsidRPr="00DF6048">
        <w:t xml:space="preserve"> (mainly animals for further rearing)</w:t>
      </w:r>
      <w:r w:rsidR="00540E2F" w:rsidRPr="00DF6048">
        <w:t>.</w:t>
      </w:r>
      <w:r w:rsidR="00540E2F" w:rsidRPr="00BB2F6B">
        <w:t xml:space="preserve"> </w:t>
      </w:r>
    </w:p>
    <w:p w:rsidR="00BB2F6B" w:rsidRPr="002D09D9" w:rsidRDefault="004F6F64" w:rsidP="001454ED">
      <w:r>
        <w:t>I</w:t>
      </w:r>
      <w:r w:rsidR="001454ED" w:rsidRPr="00BB2F6B">
        <w:t xml:space="preserve">mports of live pigs </w:t>
      </w:r>
      <w:r w:rsidRPr="004F6F64">
        <w:t>recorded</w:t>
      </w:r>
      <w:r>
        <w:t xml:space="preserve"> a slight increase, y-</w:t>
      </w:r>
      <w:r w:rsidRPr="00BB2F6B">
        <w:t>o-y</w:t>
      </w:r>
      <w:r>
        <w:t>;</w:t>
      </w:r>
      <w:r w:rsidRPr="00BB2F6B">
        <w:t xml:space="preserve"> </w:t>
      </w:r>
      <w:r w:rsidR="001454ED" w:rsidRPr="00BB2F6B">
        <w:t xml:space="preserve">the category up to 50 kg </w:t>
      </w:r>
      <w:r w:rsidR="00BB2F6B" w:rsidRPr="00BB2F6B">
        <w:t>prevailed. In total 54.9 thous. head (</w:t>
      </w:r>
      <w:r w:rsidR="00BB2F6B" w:rsidRPr="00BB2F6B">
        <w:rPr>
          <w:szCs w:val="18"/>
        </w:rPr>
        <w:t xml:space="preserve">+3.8%) </w:t>
      </w:r>
      <w:r w:rsidR="00BB2F6B" w:rsidRPr="00BB2F6B">
        <w:t>weighing on average 25.6 kg were imported.</w:t>
      </w:r>
      <w:r w:rsidR="00BB2F6B">
        <w:t xml:space="preserve"> Pigs for slaughter were exported the most</w:t>
      </w:r>
      <w:r w:rsidR="002D09D9">
        <w:t xml:space="preserve">; however, their exports considerably declined (to 58.6 thous. </w:t>
      </w:r>
      <w:r w:rsidR="002D09D9" w:rsidRPr="002D09D9">
        <w:t xml:space="preserve">head; </w:t>
      </w:r>
      <w:r w:rsidR="002D09D9" w:rsidRPr="002D09D9">
        <w:rPr>
          <w:sz w:val="18"/>
          <w:szCs w:val="18"/>
        </w:rPr>
        <w:t>−</w:t>
      </w:r>
      <w:r w:rsidR="002D09D9" w:rsidRPr="002D09D9">
        <w:rPr>
          <w:szCs w:val="18"/>
        </w:rPr>
        <w:t xml:space="preserve">31.1%). Live pigs were imported </w:t>
      </w:r>
      <w:r w:rsidR="002D09D9" w:rsidRPr="002D09D9">
        <w:t>from Germany (all categories), Denmark (pigs for breeding and piglets) and the Netherlands (</w:t>
      </w:r>
      <w:r w:rsidR="007634E0">
        <w:t>solely</w:t>
      </w:r>
      <w:r w:rsidR="002D09D9" w:rsidRPr="002D09D9">
        <w:t xml:space="preserve"> piglets); exports went mostly to Slovakia (pigs for slaughter and piglets), Hungary (all categories) and Germany (pigs for slaughter and piglets).</w:t>
      </w:r>
    </w:p>
    <w:p w:rsidR="002C6FD7" w:rsidRPr="001344EA" w:rsidRDefault="002D09D9" w:rsidP="001454ED">
      <w:r w:rsidRPr="002D09D9">
        <w:t>E</w:t>
      </w:r>
      <w:r w:rsidR="001454ED" w:rsidRPr="002D09D9">
        <w:t>xternal trade in live poultry</w:t>
      </w:r>
      <w:r w:rsidRPr="002D09D9">
        <w:t xml:space="preserve"> recorded a positive balance both in day-old </w:t>
      </w:r>
      <w:r w:rsidR="00BB748A">
        <w:t>juveniles</w:t>
      </w:r>
      <w:r w:rsidRPr="002D09D9">
        <w:t xml:space="preserve"> and poultry for</w:t>
      </w:r>
      <w:r>
        <w:t xml:space="preserve"> slaughter. During the reference period in total 3.9 million </w:t>
      </w:r>
      <w:r w:rsidRPr="002D09D9">
        <w:t>day-old chicks</w:t>
      </w:r>
      <w:r>
        <w:t xml:space="preserve"> (</w:t>
      </w:r>
      <w:r w:rsidRPr="002D09D9">
        <w:rPr>
          <w:sz w:val="18"/>
          <w:szCs w:val="18"/>
        </w:rPr>
        <w:t>−</w:t>
      </w:r>
      <w:r>
        <w:rPr>
          <w:szCs w:val="18"/>
        </w:rPr>
        <w:t xml:space="preserve">4.9%, y-o-y) were imported and 23.3 million head (+3.9%) were exported. </w:t>
      </w:r>
      <w:r w:rsidR="002C6FD7">
        <w:rPr>
          <w:szCs w:val="18"/>
        </w:rPr>
        <w:t xml:space="preserve">Exports of chicks for </w:t>
      </w:r>
      <w:r w:rsidR="001344EA">
        <w:rPr>
          <w:szCs w:val="18"/>
        </w:rPr>
        <w:t>slaughter</w:t>
      </w:r>
      <w:r w:rsidR="002C6FD7">
        <w:rPr>
          <w:szCs w:val="18"/>
        </w:rPr>
        <w:t xml:space="preserve"> </w:t>
      </w:r>
      <w:r w:rsidR="002C6FD7" w:rsidRPr="001344EA">
        <w:rPr>
          <w:szCs w:val="18"/>
        </w:rPr>
        <w:t xml:space="preserve">accounted for 7 485 tonnes (+19.5%). </w:t>
      </w:r>
      <w:r w:rsidRPr="001344EA">
        <w:rPr>
          <w:szCs w:val="18"/>
        </w:rPr>
        <w:t xml:space="preserve">Hungary participated the most </w:t>
      </w:r>
      <w:r w:rsidRPr="001344EA">
        <w:t xml:space="preserve">on imports of live poultry (parent </w:t>
      </w:r>
      <w:r w:rsidR="002C6FD7" w:rsidRPr="001344EA">
        <w:t>generation day-old</w:t>
      </w:r>
      <w:r w:rsidRPr="001344EA">
        <w:t xml:space="preserve"> chicks)</w:t>
      </w:r>
      <w:r w:rsidR="002C6FD7" w:rsidRPr="001344EA">
        <w:t xml:space="preserve"> followed by Germany (final generation day-old chicks, ducklings and </w:t>
      </w:r>
      <w:r w:rsidR="005B752D" w:rsidRPr="001344EA">
        <w:t xml:space="preserve">turkey </w:t>
      </w:r>
      <w:r w:rsidR="002C6FD7" w:rsidRPr="001344EA">
        <w:t>poults</w:t>
      </w:r>
      <w:r w:rsidR="008878F7" w:rsidRPr="001344EA">
        <w:t>)</w:t>
      </w:r>
      <w:r w:rsidR="002C6FD7" w:rsidRPr="001344EA">
        <w:t xml:space="preserve"> and Slovakia (final generation day-old chicks, chicks and hens for slaughter). Live poultry was exported mainly to Slovakia (juveniles of all species and chicks for slaughter), Germany (fattened turkeys and chicks), Poland (all poultry species and categories) and Romania (day-old utility chicks).</w:t>
      </w:r>
    </w:p>
    <w:p w:rsidR="001454ED" w:rsidRPr="00107C54" w:rsidRDefault="001454ED" w:rsidP="001454ED">
      <w:pPr>
        <w:pStyle w:val="Nadpis1"/>
        <w:jc w:val="both"/>
        <w:rPr>
          <w:b w:val="0"/>
        </w:rPr>
      </w:pPr>
      <w:r w:rsidRPr="00107C54">
        <w:rPr>
          <w:b w:val="0"/>
        </w:rPr>
        <w:lastRenderedPageBreak/>
        <w:t>External trade</w:t>
      </w:r>
      <w:r w:rsidRPr="00107C54">
        <w:rPr>
          <w:b w:val="0"/>
          <w:vertAlign w:val="superscript"/>
        </w:rPr>
        <w:t>1)</w:t>
      </w:r>
      <w:r w:rsidRPr="00107C54">
        <w:rPr>
          <w:b w:val="0"/>
        </w:rPr>
        <w:t xml:space="preserve"> in meat</w:t>
      </w:r>
      <w:r w:rsidRPr="00107C54">
        <w:t xml:space="preserve"> </w:t>
      </w:r>
      <w:r w:rsidRPr="00107C54">
        <w:rPr>
          <w:b w:val="0"/>
        </w:rPr>
        <w:t xml:space="preserve">showed a </w:t>
      </w:r>
      <w:r w:rsidR="00107C54" w:rsidRPr="00107C54">
        <w:rPr>
          <w:b w:val="0"/>
        </w:rPr>
        <w:t xml:space="preserve">deepening </w:t>
      </w:r>
      <w:r w:rsidRPr="00107C54">
        <w:rPr>
          <w:b w:val="0"/>
        </w:rPr>
        <w:t>negative balance for all three types (</w:t>
      </w:r>
      <w:r w:rsidRPr="00107C54">
        <w:rPr>
          <w:b w:val="0"/>
          <w:sz w:val="18"/>
          <w:szCs w:val="18"/>
        </w:rPr>
        <w:t>−</w:t>
      </w:r>
      <w:r w:rsidR="00107C54" w:rsidRPr="00107C54">
        <w:rPr>
          <w:b w:val="0"/>
        </w:rPr>
        <w:t>6</w:t>
      </w:r>
      <w:r w:rsidRPr="00107C54">
        <w:rPr>
          <w:b w:val="0"/>
        </w:rPr>
        <w:t> </w:t>
      </w:r>
      <w:r w:rsidR="00107C54" w:rsidRPr="00107C54">
        <w:rPr>
          <w:b w:val="0"/>
        </w:rPr>
        <w:t>843</w:t>
      </w:r>
      <w:r w:rsidRPr="00107C54">
        <w:rPr>
          <w:b w:val="0"/>
        </w:rPr>
        <w:t xml:space="preserve"> tonnes</w:t>
      </w:r>
      <w:r w:rsidRPr="00107C54">
        <w:t xml:space="preserve"> </w:t>
      </w:r>
      <w:r w:rsidRPr="00107C54">
        <w:rPr>
          <w:b w:val="0"/>
        </w:rPr>
        <w:t xml:space="preserve">for beef, </w:t>
      </w:r>
      <w:r w:rsidRPr="00107C54">
        <w:rPr>
          <w:b w:val="0"/>
          <w:sz w:val="18"/>
          <w:szCs w:val="18"/>
        </w:rPr>
        <w:t>−</w:t>
      </w:r>
      <w:r w:rsidRPr="00107C54">
        <w:rPr>
          <w:b w:val="0"/>
        </w:rPr>
        <w:t>5</w:t>
      </w:r>
      <w:r w:rsidR="00107C54" w:rsidRPr="00107C54">
        <w:rPr>
          <w:b w:val="0"/>
        </w:rPr>
        <w:t>7</w:t>
      </w:r>
      <w:r w:rsidRPr="00107C54">
        <w:rPr>
          <w:b w:val="0"/>
        </w:rPr>
        <w:t> </w:t>
      </w:r>
      <w:r w:rsidR="00107C54" w:rsidRPr="00107C54">
        <w:rPr>
          <w:b w:val="0"/>
        </w:rPr>
        <w:t>085</w:t>
      </w:r>
      <w:r w:rsidRPr="00107C54">
        <w:rPr>
          <w:b w:val="0"/>
        </w:rPr>
        <w:t xml:space="preserve"> tonnes for pigmeat, and </w:t>
      </w:r>
      <w:r w:rsidRPr="00107C54">
        <w:rPr>
          <w:b w:val="0"/>
          <w:sz w:val="18"/>
        </w:rPr>
        <w:t>−</w:t>
      </w:r>
      <w:r w:rsidR="00107C54" w:rsidRPr="00107C54">
        <w:rPr>
          <w:b w:val="0"/>
        </w:rPr>
        <w:t>21</w:t>
      </w:r>
      <w:r w:rsidRPr="00107C54">
        <w:rPr>
          <w:b w:val="0"/>
        </w:rPr>
        <w:t> </w:t>
      </w:r>
      <w:r w:rsidR="00107C54" w:rsidRPr="00107C54">
        <w:rPr>
          <w:b w:val="0"/>
        </w:rPr>
        <w:t>562</w:t>
      </w:r>
      <w:r w:rsidRPr="00107C54">
        <w:rPr>
          <w:b w:val="0"/>
        </w:rPr>
        <w:t xml:space="preserve"> tonnes for poultrymeat). </w:t>
      </w:r>
    </w:p>
    <w:p w:rsidR="00107C54" w:rsidRDefault="00107C54" w:rsidP="00107C54">
      <w:pPr>
        <w:pStyle w:val="Nadpis1"/>
        <w:jc w:val="both"/>
        <w:rPr>
          <w:b w:val="0"/>
        </w:rPr>
      </w:pPr>
      <w:r w:rsidRPr="00107C54">
        <w:rPr>
          <w:b w:val="0"/>
        </w:rPr>
        <w:t xml:space="preserve">Imports of beef </w:t>
      </w:r>
      <w:r>
        <w:rPr>
          <w:b w:val="0"/>
        </w:rPr>
        <w:t>rose to 9 385 tonnes (+19</w:t>
      </w:r>
      <w:r w:rsidR="00090931">
        <w:rPr>
          <w:b w:val="0"/>
        </w:rPr>
        <w:t>.</w:t>
      </w:r>
      <w:r>
        <w:rPr>
          <w:b w:val="0"/>
        </w:rPr>
        <w:t xml:space="preserve">0%, y-o-y) and its exports went down to 2 542 </w:t>
      </w:r>
      <w:r w:rsidRPr="00107C54">
        <w:rPr>
          <w:b w:val="0"/>
        </w:rPr>
        <w:t>tonnes (</w:t>
      </w:r>
      <w:r w:rsidRPr="00107C54">
        <w:rPr>
          <w:b w:val="0"/>
          <w:sz w:val="18"/>
          <w:szCs w:val="18"/>
        </w:rPr>
        <w:t>−</w:t>
      </w:r>
      <w:r w:rsidRPr="00107C54">
        <w:rPr>
          <w:b w:val="0"/>
          <w:szCs w:val="18"/>
        </w:rPr>
        <w:t xml:space="preserve">6.2%). </w:t>
      </w:r>
      <w:r w:rsidR="001454ED" w:rsidRPr="00107C54">
        <w:rPr>
          <w:b w:val="0"/>
        </w:rPr>
        <w:t>Beef was imported mostly from Poland, the Netherlands and Slovakia; it was exported mainly to Slovakia.</w:t>
      </w:r>
    </w:p>
    <w:p w:rsidR="00107C54" w:rsidRPr="00107C54" w:rsidRDefault="00107C54" w:rsidP="00107C54">
      <w:pPr>
        <w:pStyle w:val="Nadpis1"/>
        <w:jc w:val="both"/>
        <w:rPr>
          <w:b w:val="0"/>
        </w:rPr>
      </w:pPr>
      <w:r>
        <w:rPr>
          <w:b w:val="0"/>
        </w:rPr>
        <w:t>Imports of pigmeat showed a y-o-y increase as well. In total 66 053 tonnes (+3.1%) were imported while its exports slightly declined to 8 968 tonnes (</w:t>
      </w:r>
      <w:r w:rsidRPr="00107C54">
        <w:rPr>
          <w:b w:val="0"/>
          <w:sz w:val="18"/>
          <w:szCs w:val="18"/>
        </w:rPr>
        <w:t>−</w:t>
      </w:r>
      <w:r w:rsidRPr="00107C54">
        <w:rPr>
          <w:b w:val="0"/>
          <w:szCs w:val="18"/>
        </w:rPr>
        <w:t>3</w:t>
      </w:r>
      <w:r>
        <w:rPr>
          <w:b w:val="0"/>
          <w:szCs w:val="18"/>
        </w:rPr>
        <w:t xml:space="preserve">.4%). Pigmeat came from Germany, Poland and </w:t>
      </w:r>
      <w:r w:rsidR="00596ECD">
        <w:rPr>
          <w:b w:val="0"/>
          <w:szCs w:val="18"/>
        </w:rPr>
        <w:t xml:space="preserve">in increased amount </w:t>
      </w:r>
      <w:r w:rsidR="00AC5C56">
        <w:rPr>
          <w:b w:val="0"/>
          <w:szCs w:val="18"/>
        </w:rPr>
        <w:t xml:space="preserve">from </w:t>
      </w:r>
      <w:r>
        <w:rPr>
          <w:rFonts w:cs="Arial"/>
          <w:b w:val="0"/>
          <w:szCs w:val="18"/>
        </w:rPr>
        <w:t>Spain. Exports were directed prevailingly to Slovakia.</w:t>
      </w:r>
      <w:r>
        <w:rPr>
          <w:b w:val="0"/>
          <w:szCs w:val="18"/>
        </w:rPr>
        <w:t xml:space="preserve"> </w:t>
      </w:r>
    </w:p>
    <w:p w:rsidR="001C6B63" w:rsidRPr="001C6B63" w:rsidRDefault="001C6B63" w:rsidP="001454ED">
      <w:r>
        <w:t>Increased deficit of external trade in poultrymeat was influenced</w:t>
      </w:r>
      <w:r w:rsidR="00E16922">
        <w:t>,</w:t>
      </w:r>
      <w:r w:rsidR="00CA3369">
        <w:t xml:space="preserve"> </w:t>
      </w:r>
      <w:r w:rsidR="00E16922">
        <w:t xml:space="preserve">y-o-y, </w:t>
      </w:r>
      <w:r w:rsidR="00CA3369">
        <w:t>also</w:t>
      </w:r>
      <w:r>
        <w:t xml:space="preserve"> by higher imports and lower exports. During the reference period there were </w:t>
      </w:r>
      <w:r w:rsidR="00AB138F">
        <w:t>30</w:t>
      </w:r>
      <w:r>
        <w:t> </w:t>
      </w:r>
      <w:r w:rsidR="00AB138F">
        <w:t>413</w:t>
      </w:r>
      <w:r>
        <w:t xml:space="preserve"> tonnes (+</w:t>
      </w:r>
      <w:r w:rsidR="00AB138F">
        <w:t>1</w:t>
      </w:r>
      <w:r>
        <w:t>.</w:t>
      </w:r>
      <w:r w:rsidR="00AB138F">
        <w:t>2</w:t>
      </w:r>
      <w:r>
        <w:t xml:space="preserve">%) imported, mainly from Poland, and 8 850 tonnes </w:t>
      </w:r>
      <w:r w:rsidR="00AB138F">
        <w:t>(</w:t>
      </w:r>
      <w:r w:rsidR="00AB138F" w:rsidRPr="00AB138F">
        <w:rPr>
          <w:sz w:val="18"/>
          <w:szCs w:val="18"/>
        </w:rPr>
        <w:t>−</w:t>
      </w:r>
      <w:r w:rsidR="00AB138F" w:rsidRPr="00AB138F">
        <w:rPr>
          <w:szCs w:val="20"/>
        </w:rPr>
        <w:t>6.7%)</w:t>
      </w:r>
      <w:r w:rsidR="00AB138F">
        <w:t xml:space="preserve"> </w:t>
      </w:r>
      <w:r>
        <w:t xml:space="preserve">were exported, mostly to Slovakia. Both </w:t>
      </w:r>
      <w:r w:rsidR="00695F52">
        <w:t>sides</w:t>
      </w:r>
      <w:r>
        <w:t xml:space="preserve"> of the trade recorded an increased share for Germany.</w:t>
      </w:r>
    </w:p>
    <w:p w:rsidR="00A4704E" w:rsidRPr="00A4704E" w:rsidRDefault="00A4704E" w:rsidP="00A4704E">
      <w:pPr>
        <w:pStyle w:val="Nadpis1"/>
        <w:rPr>
          <w:b w:val="0"/>
        </w:rPr>
      </w:pPr>
    </w:p>
    <w:p w:rsidR="00A4704E" w:rsidRPr="00BC663A" w:rsidRDefault="00A4704E" w:rsidP="00A4704E">
      <w:pPr>
        <w:pStyle w:val="Nadpis1"/>
      </w:pPr>
      <w:r w:rsidRPr="00BC663A">
        <w:t>Milk collection and agricultural producer prices of milk</w:t>
      </w:r>
    </w:p>
    <w:p w:rsidR="00A30DE4" w:rsidRDefault="00A30DE4" w:rsidP="00FB157A">
      <w:r w:rsidRPr="004B6B7C">
        <w:t xml:space="preserve">In Q2 2017, dairies collected </w:t>
      </w:r>
      <w:r w:rsidR="004B6B7C" w:rsidRPr="004B6B7C">
        <w:t>748 179</w:t>
      </w:r>
      <w:r w:rsidRPr="004B6B7C">
        <w:t xml:space="preserve"> thous</w:t>
      </w:r>
      <w:r w:rsidR="004B6B7C" w:rsidRPr="004B6B7C">
        <w:t>.</w:t>
      </w:r>
      <w:r w:rsidRPr="004B6B7C">
        <w:t xml:space="preserve"> litres of milk </w:t>
      </w:r>
      <w:r w:rsidR="004B6B7C" w:rsidRPr="004B6B7C">
        <w:t xml:space="preserve">(+7.7%) </w:t>
      </w:r>
      <w:r w:rsidRPr="004B6B7C">
        <w:t>from domestic producers</w:t>
      </w:r>
      <w:r w:rsidR="004B6B7C" w:rsidRPr="004B6B7C">
        <w:t xml:space="preserve">, of which 635 692 thous. litres (+0.1%) by dairies. </w:t>
      </w:r>
      <w:r w:rsidRPr="004B6B7C">
        <w:t xml:space="preserve"> </w:t>
      </w:r>
    </w:p>
    <w:p w:rsidR="007F6ECA" w:rsidRPr="003D0498" w:rsidRDefault="00FB157A" w:rsidP="007F6ECA">
      <w:r w:rsidRPr="00FB157A">
        <w:t>Agricultural producer prices of milk were by 26.1% higher than in Q2 2016. The producers sold Q-quality milk on average for 8.28 CZK per litre, i.e. by 0.43 CZK per litre more than in Q1 2017.</w:t>
      </w:r>
      <w:r w:rsidR="007F6ECA">
        <w:t xml:space="preserve"> A comparable price was paid to producers in Q2 2015 for the last time. </w:t>
      </w:r>
    </w:p>
    <w:p w:rsidR="00FD0984" w:rsidRPr="00FD0984" w:rsidRDefault="00FD0984" w:rsidP="00FD0984"/>
    <w:p w:rsidR="00A4704E" w:rsidRPr="00BC663A" w:rsidRDefault="00A4704E" w:rsidP="00A4704E">
      <w:pPr>
        <w:pStyle w:val="Nadpis1"/>
      </w:pPr>
      <w:r>
        <w:t>External trade in milk and milk products</w:t>
      </w:r>
    </w:p>
    <w:p w:rsidR="00FB126B" w:rsidRPr="00FB126B" w:rsidRDefault="00FB126B" w:rsidP="001454ED">
      <w:pPr>
        <w:rPr>
          <w:rFonts w:cs="Arial"/>
        </w:rPr>
      </w:pPr>
      <w:r w:rsidRPr="00FB126B">
        <w:t>Considerable surplus i</w:t>
      </w:r>
      <w:r w:rsidR="001454ED" w:rsidRPr="00FB126B">
        <w:t>n external trade</w:t>
      </w:r>
      <w:r w:rsidR="001454ED" w:rsidRPr="00FB126B">
        <w:rPr>
          <w:vertAlign w:val="superscript"/>
        </w:rPr>
        <w:t>1)</w:t>
      </w:r>
      <w:r w:rsidR="001454ED" w:rsidRPr="00FB126B">
        <w:t xml:space="preserve"> </w:t>
      </w:r>
      <w:r w:rsidR="001454ED" w:rsidRPr="00FB126B">
        <w:rPr>
          <w:rFonts w:cs="Arial"/>
        </w:rPr>
        <w:t>in milk and milk products</w:t>
      </w:r>
      <w:r w:rsidRPr="00FB126B">
        <w:rPr>
          <w:rFonts w:cs="Arial"/>
        </w:rPr>
        <w:t xml:space="preserve"> went further up, y-o-y</w:t>
      </w:r>
      <w:r>
        <w:rPr>
          <w:rFonts w:cs="Arial"/>
        </w:rPr>
        <w:t xml:space="preserve">, to </w:t>
      </w:r>
      <w:r w:rsidRPr="00FB126B">
        <w:t>203</w:t>
      </w:r>
      <w:r>
        <w:t> </w:t>
      </w:r>
      <w:r w:rsidRPr="00FB126B">
        <w:t>128</w:t>
      </w:r>
      <w:r>
        <w:t xml:space="preserve"> tonnes. Imports distinctly decreased </w:t>
      </w:r>
      <w:r w:rsidRPr="00FB126B">
        <w:t>(</w:t>
      </w:r>
      <w:r w:rsidRPr="00FB126B">
        <w:rPr>
          <w:sz w:val="18"/>
          <w:szCs w:val="18"/>
        </w:rPr>
        <w:t>−</w:t>
      </w:r>
      <w:r w:rsidRPr="00FB126B">
        <w:t>14</w:t>
      </w:r>
      <w:r>
        <w:t>.</w:t>
      </w:r>
      <w:r w:rsidRPr="00FB126B">
        <w:t>3%</w:t>
      </w:r>
      <w:r>
        <w:t>;</w:t>
      </w:r>
      <w:r w:rsidRPr="00FB126B">
        <w:t xml:space="preserve"> </w:t>
      </w:r>
      <w:r>
        <w:t>to</w:t>
      </w:r>
      <w:r w:rsidRPr="00FB126B">
        <w:t xml:space="preserve"> 65 653 t</w:t>
      </w:r>
      <w:r>
        <w:t>onnes</w:t>
      </w:r>
      <w:r w:rsidRPr="00FB126B">
        <w:t>)</w:t>
      </w:r>
      <w:r>
        <w:t xml:space="preserve"> while exports slightly </w:t>
      </w:r>
      <w:r w:rsidRPr="00FB126B">
        <w:t>rose (+2</w:t>
      </w:r>
      <w:r>
        <w:t>.</w:t>
      </w:r>
      <w:r w:rsidRPr="00FB126B">
        <w:t xml:space="preserve">4%, </w:t>
      </w:r>
      <w:r>
        <w:t>to</w:t>
      </w:r>
      <w:r w:rsidRPr="00FB126B">
        <w:t xml:space="preserve"> 268 781 t</w:t>
      </w:r>
      <w:r>
        <w:t>onnes</w:t>
      </w:r>
      <w:r w:rsidRPr="00FB126B">
        <w:t>).</w:t>
      </w:r>
      <w:r>
        <w:t xml:space="preserve"> Milk and cream influenced both lower </w:t>
      </w:r>
      <w:r w:rsidR="00EF7EF9">
        <w:t>im</w:t>
      </w:r>
      <w:r>
        <w:t xml:space="preserve">ports and higher </w:t>
      </w:r>
      <w:r w:rsidR="00EF7EF9">
        <w:t xml:space="preserve">exports the most; by 10 424 tonnes less milk and cream were imported and by 14 006 tonnes </w:t>
      </w:r>
      <w:r w:rsidR="00EF7EF9" w:rsidRPr="00EF7EF9">
        <w:t xml:space="preserve">more were exported. The main trade partners for </w:t>
      </w:r>
      <w:r w:rsidR="00EF7EF9" w:rsidRPr="00EF7EF9">
        <w:rPr>
          <w:rFonts w:cs="Arial"/>
        </w:rPr>
        <w:t>milk and milk products were Germany and Slovakia for both directions together with Poland for imports and Italy for exports.</w:t>
      </w:r>
    </w:p>
    <w:p w:rsidR="00B4424D" w:rsidRPr="00A63B34" w:rsidRDefault="00B4424D" w:rsidP="00FD0984"/>
    <w:p w:rsidR="00B90457" w:rsidRPr="00BC663A" w:rsidRDefault="00B90457" w:rsidP="00E97A20">
      <w:pPr>
        <w:pStyle w:val="Poznmky"/>
        <w:jc w:val="both"/>
        <w:rPr>
          <w:i/>
          <w:spacing w:val="-2"/>
          <w:lang w:val="en-GB"/>
        </w:rPr>
      </w:pPr>
      <w:r w:rsidRPr="00BC663A">
        <w:rPr>
          <w:i/>
          <w:spacing w:val="-2"/>
          <w:lang w:val="en-GB"/>
        </w:rPr>
        <w:t>Notes:</w:t>
      </w:r>
    </w:p>
    <w:p w:rsidR="00B90457" w:rsidRPr="00BC663A" w:rsidRDefault="00B90457" w:rsidP="00B90457">
      <w:pPr>
        <w:spacing w:before="60" w:line="240" w:lineRule="exact"/>
        <w:ind w:left="3600" w:hanging="3600"/>
        <w:jc w:val="left"/>
        <w:rPr>
          <w:rFonts w:cs="ArialMT"/>
          <w:i/>
          <w:iCs/>
          <w:color w:val="000000"/>
          <w:sz w:val="18"/>
          <w:szCs w:val="18"/>
        </w:rPr>
      </w:pPr>
      <w:r w:rsidRPr="00BC663A">
        <w:rPr>
          <w:rFonts w:cs="ArialMT"/>
          <w:i/>
          <w:iCs/>
          <w:color w:val="000000"/>
          <w:sz w:val="18"/>
          <w:szCs w:val="18"/>
        </w:rPr>
        <w:t>Published data are final, except external trade data.</w:t>
      </w:r>
    </w:p>
    <w:p w:rsidR="00B90457" w:rsidRPr="00BC663A" w:rsidRDefault="00B90457" w:rsidP="00B90457">
      <w:pPr>
        <w:spacing w:line="240" w:lineRule="exact"/>
        <w:ind w:left="3600" w:hanging="3600"/>
        <w:jc w:val="left"/>
        <w:rPr>
          <w:rFonts w:cs="ArialMT"/>
          <w:i/>
          <w:iCs/>
          <w:color w:val="000000"/>
          <w:sz w:val="18"/>
          <w:szCs w:val="18"/>
        </w:rPr>
      </w:pPr>
      <w:bookmarkStart w:id="0" w:name="_GoBack"/>
      <w:bookmarkEnd w:id="0"/>
    </w:p>
    <w:p w:rsidR="001810A6" w:rsidRPr="00BC663A" w:rsidRDefault="000E5FF3" w:rsidP="001810A6">
      <w:pPr>
        <w:spacing w:line="240" w:lineRule="exact"/>
      </w:pPr>
      <w:r w:rsidRPr="00BC663A">
        <w:rPr>
          <w:rStyle w:val="Zvraznn"/>
          <w:sz w:val="18"/>
          <w:szCs w:val="18"/>
        </w:rPr>
        <w:t>Responsible head</w:t>
      </w:r>
      <w:r w:rsidR="001810A6" w:rsidRPr="00BC663A">
        <w:rPr>
          <w:rStyle w:val="Zvraznn"/>
          <w:sz w:val="18"/>
          <w:szCs w:val="18"/>
        </w:rPr>
        <w:t>:</w:t>
      </w:r>
      <w:r w:rsidR="001810A6" w:rsidRPr="00BC663A">
        <w:rPr>
          <w:rStyle w:val="Zvraznn"/>
        </w:rPr>
        <w:t xml:space="preserve"> </w:t>
      </w:r>
      <w:r w:rsidR="001810A6" w:rsidRPr="00BC663A">
        <w:rPr>
          <w:i/>
          <w:sz w:val="18"/>
          <w:szCs w:val="18"/>
        </w:rPr>
        <w:t xml:space="preserve">Jiří Hrbek, phone </w:t>
      </w:r>
      <w:r w:rsidR="009F7145" w:rsidRPr="00BC663A">
        <w:rPr>
          <w:i/>
          <w:sz w:val="18"/>
          <w:szCs w:val="18"/>
        </w:rPr>
        <w:t xml:space="preserve">(+420) </w:t>
      </w:r>
      <w:r w:rsidR="001810A6" w:rsidRPr="00BC663A">
        <w:rPr>
          <w:i/>
          <w:sz w:val="18"/>
          <w:szCs w:val="18"/>
        </w:rPr>
        <w:t>274</w:t>
      </w:r>
      <w:r w:rsidR="009F7145" w:rsidRPr="00BC663A">
        <w:rPr>
          <w:i/>
          <w:sz w:val="18"/>
          <w:szCs w:val="18"/>
        </w:rPr>
        <w:t> </w:t>
      </w:r>
      <w:r w:rsidR="001810A6" w:rsidRPr="00BC663A">
        <w:rPr>
          <w:i/>
          <w:sz w:val="18"/>
          <w:szCs w:val="18"/>
        </w:rPr>
        <w:t>052</w:t>
      </w:r>
      <w:r w:rsidR="009F7145" w:rsidRPr="00BC663A">
        <w:rPr>
          <w:i/>
          <w:sz w:val="18"/>
          <w:szCs w:val="18"/>
        </w:rPr>
        <w:t xml:space="preserve"> </w:t>
      </w:r>
      <w:r w:rsidR="001810A6" w:rsidRPr="00BC663A">
        <w:rPr>
          <w:i/>
          <w:sz w:val="18"/>
          <w:szCs w:val="18"/>
        </w:rPr>
        <w:t xml:space="preserve">331, e-mail </w:t>
      </w:r>
      <w:hyperlink r:id="rId8" w:history="1">
        <w:r w:rsidR="001810A6" w:rsidRPr="00BC663A">
          <w:rPr>
            <w:i/>
            <w:sz w:val="18"/>
            <w:szCs w:val="18"/>
          </w:rPr>
          <w:t>jiri.hrbek@czso.cz</w:t>
        </w:r>
      </w:hyperlink>
      <w:r w:rsidR="009F7145" w:rsidRPr="00BC663A">
        <w:rPr>
          <w:i/>
          <w:sz w:val="18"/>
          <w:szCs w:val="18"/>
        </w:rPr>
        <w:t xml:space="preserve"> </w:t>
      </w:r>
    </w:p>
    <w:p w:rsidR="00647219" w:rsidRPr="00BC663A" w:rsidRDefault="00B90457" w:rsidP="00B90457">
      <w:pPr>
        <w:spacing w:line="240" w:lineRule="exact"/>
      </w:pPr>
      <w:r w:rsidRPr="00BC663A">
        <w:rPr>
          <w:i/>
          <w:sz w:val="18"/>
          <w:szCs w:val="18"/>
        </w:rPr>
        <w:t>Contact person:</w:t>
      </w:r>
      <w:r w:rsidR="001810A6" w:rsidRPr="00BC663A">
        <w:rPr>
          <w:i/>
          <w:sz w:val="18"/>
          <w:szCs w:val="18"/>
        </w:rPr>
        <w:t xml:space="preserve"> </w:t>
      </w:r>
      <w:r w:rsidRPr="00BC663A">
        <w:rPr>
          <w:i/>
          <w:sz w:val="18"/>
          <w:szCs w:val="18"/>
        </w:rPr>
        <w:t xml:space="preserve">Jiří Hrbek, phone </w:t>
      </w:r>
      <w:r w:rsidR="009F7145" w:rsidRPr="00BC663A">
        <w:rPr>
          <w:i/>
          <w:sz w:val="18"/>
          <w:szCs w:val="18"/>
        </w:rPr>
        <w:t>(+420) 274 052 331</w:t>
      </w:r>
      <w:r w:rsidRPr="00BC663A">
        <w:rPr>
          <w:i/>
          <w:sz w:val="18"/>
          <w:szCs w:val="18"/>
        </w:rPr>
        <w:t xml:space="preserve">, e-mail </w:t>
      </w:r>
      <w:hyperlink r:id="rId9" w:history="1">
        <w:r w:rsidRPr="00BC663A">
          <w:rPr>
            <w:i/>
            <w:sz w:val="18"/>
            <w:szCs w:val="18"/>
          </w:rPr>
          <w:t>jiri.hrbek@czso.cz</w:t>
        </w:r>
      </w:hyperlink>
    </w:p>
    <w:p w:rsidR="009F7145" w:rsidRPr="00BC663A" w:rsidRDefault="009F7145" w:rsidP="001810A6">
      <w:pPr>
        <w:spacing w:line="240" w:lineRule="exact"/>
        <w:rPr>
          <w:i/>
          <w:sz w:val="18"/>
          <w:szCs w:val="18"/>
        </w:rPr>
      </w:pPr>
      <w:r w:rsidRPr="00BC663A">
        <w:rPr>
          <w:i/>
          <w:sz w:val="18"/>
          <w:szCs w:val="18"/>
        </w:rPr>
        <w:t>Data s</w:t>
      </w:r>
      <w:r w:rsidR="00647219" w:rsidRPr="00BC663A">
        <w:rPr>
          <w:i/>
          <w:sz w:val="18"/>
          <w:szCs w:val="18"/>
        </w:rPr>
        <w:t>ource:</w:t>
      </w:r>
      <w:r w:rsidRPr="00BC663A">
        <w:rPr>
          <w:i/>
          <w:sz w:val="18"/>
          <w:szCs w:val="18"/>
        </w:rPr>
        <w:t xml:space="preserve"> </w:t>
      </w:r>
    </w:p>
    <w:p w:rsidR="00401BA9" w:rsidRPr="00BC663A" w:rsidRDefault="009F7145" w:rsidP="001810A6">
      <w:pPr>
        <w:spacing w:line="240" w:lineRule="exact"/>
        <w:rPr>
          <w:i/>
          <w:sz w:val="18"/>
          <w:szCs w:val="18"/>
        </w:rPr>
      </w:pPr>
      <w:r w:rsidRPr="00BC663A">
        <w:rPr>
          <w:i/>
          <w:sz w:val="18"/>
          <w:szCs w:val="18"/>
        </w:rPr>
        <w:t xml:space="preserve">Statistical survey of the Czech </w:t>
      </w:r>
      <w:r w:rsidR="00401BA9" w:rsidRPr="00BC663A">
        <w:rPr>
          <w:i/>
          <w:sz w:val="18"/>
          <w:szCs w:val="18"/>
        </w:rPr>
        <w:t>S</w:t>
      </w:r>
      <w:r w:rsidRPr="00BC663A">
        <w:rPr>
          <w:i/>
          <w:sz w:val="18"/>
          <w:szCs w:val="18"/>
        </w:rPr>
        <w:t>tatistical Office on l</w:t>
      </w:r>
      <w:r w:rsidR="00B90457" w:rsidRPr="00BC663A">
        <w:rPr>
          <w:i/>
          <w:sz w:val="18"/>
          <w:szCs w:val="18"/>
        </w:rPr>
        <w:t xml:space="preserve">ivestock </w:t>
      </w:r>
      <w:r w:rsidRPr="00BC663A">
        <w:rPr>
          <w:i/>
          <w:sz w:val="18"/>
          <w:szCs w:val="18"/>
        </w:rPr>
        <w:t>s</w:t>
      </w:r>
      <w:r w:rsidR="00B90457" w:rsidRPr="00BC663A">
        <w:rPr>
          <w:i/>
          <w:sz w:val="18"/>
          <w:szCs w:val="18"/>
        </w:rPr>
        <w:t>laughtering (</w:t>
      </w:r>
      <w:r w:rsidRPr="00BC663A">
        <w:rPr>
          <w:i/>
          <w:sz w:val="18"/>
          <w:szCs w:val="18"/>
        </w:rPr>
        <w:t>Zem 1-12</w:t>
      </w:r>
      <w:r w:rsidR="00B90457" w:rsidRPr="00BC663A">
        <w:rPr>
          <w:i/>
          <w:sz w:val="18"/>
          <w:szCs w:val="18"/>
        </w:rPr>
        <w:t>)</w:t>
      </w:r>
      <w:r w:rsidR="00BC0252">
        <w:rPr>
          <w:i/>
          <w:sz w:val="18"/>
          <w:szCs w:val="18"/>
        </w:rPr>
        <w:t xml:space="preserve">, </w:t>
      </w:r>
      <w:r w:rsidR="00B53773">
        <w:rPr>
          <w:i/>
          <w:sz w:val="18"/>
          <w:szCs w:val="18"/>
        </w:rPr>
        <w:t>Livestock Survey</w:t>
      </w:r>
      <w:r w:rsidR="00BC0252">
        <w:rPr>
          <w:i/>
          <w:sz w:val="18"/>
          <w:szCs w:val="18"/>
        </w:rPr>
        <w:t xml:space="preserve"> (Zem1-0</w:t>
      </w:r>
      <w:r w:rsidR="00B53773">
        <w:rPr>
          <w:i/>
          <w:sz w:val="18"/>
          <w:szCs w:val="18"/>
        </w:rPr>
        <w:t>1</w:t>
      </w:r>
      <w:r w:rsidR="00BC0252">
        <w:rPr>
          <w:i/>
          <w:sz w:val="18"/>
          <w:szCs w:val="18"/>
        </w:rPr>
        <w:t>)</w:t>
      </w:r>
    </w:p>
    <w:p w:rsidR="00081775" w:rsidRPr="00BC663A" w:rsidRDefault="00F541BC" w:rsidP="00F541BC">
      <w:pPr>
        <w:spacing w:line="240" w:lineRule="exact"/>
        <w:rPr>
          <w:i/>
          <w:sz w:val="18"/>
          <w:szCs w:val="18"/>
        </w:rPr>
      </w:pPr>
      <w:r w:rsidRPr="00BC663A">
        <w:rPr>
          <w:i/>
          <w:sz w:val="18"/>
          <w:szCs w:val="18"/>
        </w:rPr>
        <w:t>Publication</w:t>
      </w:r>
      <w:r w:rsidR="00081775" w:rsidRPr="00BC663A">
        <w:rPr>
          <w:i/>
          <w:sz w:val="18"/>
          <w:szCs w:val="18"/>
        </w:rPr>
        <w:t xml:space="preserve"> </w:t>
      </w:r>
      <w:r w:rsidRPr="00BC663A">
        <w:rPr>
          <w:i/>
          <w:sz w:val="18"/>
          <w:szCs w:val="18"/>
        </w:rPr>
        <w:t>of</w:t>
      </w:r>
      <w:r w:rsidR="00081775" w:rsidRPr="00BC663A">
        <w:rPr>
          <w:i/>
          <w:sz w:val="18"/>
          <w:szCs w:val="18"/>
        </w:rPr>
        <w:t xml:space="preserve"> </w:t>
      </w:r>
      <w:r w:rsidRPr="00BC663A">
        <w:rPr>
          <w:i/>
          <w:sz w:val="18"/>
          <w:szCs w:val="18"/>
        </w:rPr>
        <w:t>the</w:t>
      </w:r>
      <w:r w:rsidR="00081775" w:rsidRPr="00BC663A">
        <w:rPr>
          <w:i/>
          <w:sz w:val="18"/>
          <w:szCs w:val="18"/>
        </w:rPr>
        <w:t xml:space="preserve"> </w:t>
      </w:r>
      <w:r w:rsidRPr="00BC663A">
        <w:rPr>
          <w:i/>
          <w:sz w:val="18"/>
          <w:szCs w:val="18"/>
        </w:rPr>
        <w:t>CZSO:</w:t>
      </w:r>
      <w:r w:rsidR="00081775" w:rsidRPr="00BC663A">
        <w:rPr>
          <w:i/>
          <w:sz w:val="18"/>
          <w:szCs w:val="18"/>
        </w:rPr>
        <w:t xml:space="preserve"> </w:t>
      </w:r>
      <w:r w:rsidRPr="00BC663A">
        <w:rPr>
          <w:i/>
          <w:sz w:val="18"/>
          <w:szCs w:val="18"/>
        </w:rPr>
        <w:t>Agricultural</w:t>
      </w:r>
      <w:r w:rsidR="00081775" w:rsidRPr="00BC663A">
        <w:rPr>
          <w:i/>
          <w:sz w:val="18"/>
          <w:szCs w:val="18"/>
        </w:rPr>
        <w:t xml:space="preserve"> </w:t>
      </w:r>
      <w:r w:rsidRPr="00BC663A">
        <w:rPr>
          <w:i/>
          <w:sz w:val="18"/>
          <w:szCs w:val="18"/>
        </w:rPr>
        <w:t>Producer</w:t>
      </w:r>
      <w:r w:rsidR="00081775" w:rsidRPr="00BC663A">
        <w:rPr>
          <w:i/>
          <w:sz w:val="18"/>
          <w:szCs w:val="18"/>
        </w:rPr>
        <w:t xml:space="preserve"> </w:t>
      </w:r>
      <w:r w:rsidRPr="00BC663A">
        <w:rPr>
          <w:i/>
          <w:sz w:val="18"/>
          <w:szCs w:val="18"/>
        </w:rPr>
        <w:t>Price</w:t>
      </w:r>
      <w:r w:rsidR="00081775" w:rsidRPr="00BC663A">
        <w:rPr>
          <w:i/>
          <w:sz w:val="18"/>
          <w:szCs w:val="18"/>
        </w:rPr>
        <w:t xml:space="preserve"> </w:t>
      </w:r>
      <w:r w:rsidRPr="00BC663A">
        <w:rPr>
          <w:i/>
          <w:sz w:val="18"/>
          <w:szCs w:val="18"/>
        </w:rPr>
        <w:t>Indices</w:t>
      </w:r>
      <w:r w:rsidR="00AD6E5F">
        <w:rPr>
          <w:i/>
          <w:sz w:val="18"/>
          <w:szCs w:val="18"/>
        </w:rPr>
        <w:t xml:space="preserve"> (code 011045-17)</w:t>
      </w:r>
      <w:r w:rsidR="00081775" w:rsidRPr="00BC663A">
        <w:rPr>
          <w:i/>
          <w:sz w:val="18"/>
          <w:szCs w:val="18"/>
        </w:rPr>
        <w:t xml:space="preserve"> </w:t>
      </w:r>
    </w:p>
    <w:p w:rsidR="00F541BC" w:rsidRPr="00BC663A" w:rsidRDefault="00F541BC" w:rsidP="00F541BC">
      <w:pPr>
        <w:spacing w:line="240" w:lineRule="exact"/>
        <w:rPr>
          <w:i/>
          <w:sz w:val="18"/>
          <w:szCs w:val="18"/>
        </w:rPr>
      </w:pPr>
      <w:r w:rsidRPr="00BC663A">
        <w:rPr>
          <w:i/>
          <w:sz w:val="18"/>
          <w:szCs w:val="18"/>
        </w:rPr>
        <w:t xml:space="preserve">External Trade Database </w:t>
      </w:r>
      <w:r w:rsidR="007D2658" w:rsidRPr="00BC663A">
        <w:rPr>
          <w:i/>
          <w:sz w:val="18"/>
          <w:szCs w:val="18"/>
        </w:rPr>
        <w:t>of the CZSO</w:t>
      </w:r>
    </w:p>
    <w:p w:rsidR="00401BA9" w:rsidRPr="00BC663A" w:rsidRDefault="00F541BC" w:rsidP="001810A6">
      <w:pPr>
        <w:spacing w:line="240" w:lineRule="exact"/>
        <w:rPr>
          <w:i/>
          <w:sz w:val="18"/>
          <w:szCs w:val="18"/>
        </w:rPr>
      </w:pPr>
      <w:r w:rsidRPr="00BC663A">
        <w:rPr>
          <w:i/>
          <w:sz w:val="18"/>
          <w:szCs w:val="18"/>
        </w:rPr>
        <w:t>Outcomes of s</w:t>
      </w:r>
      <w:r w:rsidR="00401BA9" w:rsidRPr="00BC663A">
        <w:rPr>
          <w:i/>
          <w:sz w:val="18"/>
          <w:szCs w:val="18"/>
        </w:rPr>
        <w:t>tatistical surveys of the Ministry of Agriculture of the Czech Republic on milk collection (Mlék(MZe) 6-12</w:t>
      </w:r>
      <w:r w:rsidR="00BC0252">
        <w:rPr>
          <w:i/>
          <w:sz w:val="18"/>
          <w:szCs w:val="18"/>
        </w:rPr>
        <w:t>, Odbyt(MZe)6-12</w:t>
      </w:r>
      <w:r w:rsidR="00401BA9" w:rsidRPr="00BC663A">
        <w:rPr>
          <w:i/>
          <w:sz w:val="18"/>
          <w:szCs w:val="18"/>
        </w:rPr>
        <w:t xml:space="preserve">) and on poultry purchase (Drůb (MZe) 4-12) </w:t>
      </w:r>
    </w:p>
    <w:p w:rsidR="00B90457" w:rsidRPr="00BC663A" w:rsidRDefault="001810A6" w:rsidP="00B90457">
      <w:pPr>
        <w:spacing w:line="240" w:lineRule="exact"/>
        <w:rPr>
          <w:i/>
          <w:sz w:val="18"/>
          <w:szCs w:val="18"/>
        </w:rPr>
      </w:pPr>
      <w:r w:rsidRPr="00BC663A">
        <w:rPr>
          <w:i/>
          <w:sz w:val="18"/>
          <w:szCs w:val="18"/>
        </w:rPr>
        <w:t xml:space="preserve">End of data collection: </w:t>
      </w:r>
      <w:r w:rsidR="00380F1B" w:rsidRPr="00BC663A">
        <w:rPr>
          <w:i/>
          <w:sz w:val="18"/>
          <w:szCs w:val="18"/>
        </w:rPr>
        <w:t>10</w:t>
      </w:r>
      <w:r w:rsidR="00B90457" w:rsidRPr="00BC663A">
        <w:rPr>
          <w:i/>
          <w:sz w:val="18"/>
          <w:szCs w:val="18"/>
        </w:rPr>
        <w:t xml:space="preserve"> </w:t>
      </w:r>
      <w:r w:rsidR="00B53773">
        <w:rPr>
          <w:i/>
          <w:sz w:val="18"/>
          <w:szCs w:val="18"/>
        </w:rPr>
        <w:t>July</w:t>
      </w:r>
      <w:r w:rsidR="00491D75" w:rsidRPr="00BC663A">
        <w:rPr>
          <w:i/>
          <w:sz w:val="18"/>
          <w:szCs w:val="18"/>
        </w:rPr>
        <w:t xml:space="preserve"> </w:t>
      </w:r>
      <w:r w:rsidR="00B90457" w:rsidRPr="00BC663A">
        <w:rPr>
          <w:i/>
          <w:sz w:val="18"/>
          <w:szCs w:val="18"/>
        </w:rPr>
        <w:t>201</w:t>
      </w:r>
      <w:r w:rsidR="00593487" w:rsidRPr="00BC663A">
        <w:rPr>
          <w:i/>
          <w:sz w:val="18"/>
          <w:szCs w:val="18"/>
        </w:rPr>
        <w:t>7</w:t>
      </w:r>
    </w:p>
    <w:p w:rsidR="00B90457" w:rsidRPr="00BC663A" w:rsidRDefault="001810A6" w:rsidP="00B90457">
      <w:pPr>
        <w:spacing w:line="240" w:lineRule="exact"/>
        <w:rPr>
          <w:i/>
          <w:sz w:val="18"/>
          <w:szCs w:val="18"/>
        </w:rPr>
      </w:pPr>
      <w:r w:rsidRPr="00BC663A">
        <w:rPr>
          <w:i/>
          <w:sz w:val="18"/>
          <w:szCs w:val="18"/>
        </w:rPr>
        <w:t xml:space="preserve">End of data processing: </w:t>
      </w:r>
      <w:r w:rsidR="00B90457" w:rsidRPr="00BC663A">
        <w:rPr>
          <w:i/>
          <w:sz w:val="18"/>
          <w:szCs w:val="18"/>
        </w:rPr>
        <w:t>2</w:t>
      </w:r>
      <w:r w:rsidR="00593487" w:rsidRPr="00BC663A">
        <w:rPr>
          <w:i/>
          <w:sz w:val="18"/>
          <w:szCs w:val="18"/>
        </w:rPr>
        <w:t>5</w:t>
      </w:r>
      <w:r w:rsidR="00B90457" w:rsidRPr="00BC663A">
        <w:rPr>
          <w:i/>
          <w:sz w:val="18"/>
          <w:szCs w:val="18"/>
        </w:rPr>
        <w:t xml:space="preserve"> </w:t>
      </w:r>
      <w:r w:rsidR="00B53773">
        <w:rPr>
          <w:i/>
          <w:sz w:val="18"/>
          <w:szCs w:val="18"/>
        </w:rPr>
        <w:t>July</w:t>
      </w:r>
      <w:r w:rsidR="00B90457" w:rsidRPr="00BC663A">
        <w:rPr>
          <w:i/>
          <w:sz w:val="18"/>
          <w:szCs w:val="18"/>
        </w:rPr>
        <w:t xml:space="preserve"> 201</w:t>
      </w:r>
      <w:r w:rsidR="00593487" w:rsidRPr="00BC663A">
        <w:rPr>
          <w:i/>
          <w:sz w:val="18"/>
          <w:szCs w:val="18"/>
        </w:rPr>
        <w:t>7</w:t>
      </w:r>
    </w:p>
    <w:p w:rsidR="00401BA9" w:rsidRPr="00BC663A" w:rsidRDefault="0082071B" w:rsidP="0006748B">
      <w:pPr>
        <w:spacing w:line="240" w:lineRule="exact"/>
        <w:rPr>
          <w:i/>
          <w:sz w:val="18"/>
          <w:szCs w:val="18"/>
        </w:rPr>
      </w:pPr>
      <w:r w:rsidRPr="00BC663A">
        <w:rPr>
          <w:i/>
          <w:sz w:val="18"/>
          <w:szCs w:val="18"/>
        </w:rPr>
        <w:lastRenderedPageBreak/>
        <w:t>Related</w:t>
      </w:r>
      <w:r w:rsidR="00B90457" w:rsidRPr="00BC663A">
        <w:rPr>
          <w:i/>
          <w:sz w:val="18"/>
          <w:szCs w:val="18"/>
        </w:rPr>
        <w:t xml:space="preserve"> </w:t>
      </w:r>
      <w:r w:rsidR="00401BA9" w:rsidRPr="00BC663A">
        <w:rPr>
          <w:i/>
          <w:sz w:val="18"/>
          <w:szCs w:val="18"/>
        </w:rPr>
        <w:t>outcomes</w:t>
      </w:r>
      <w:r w:rsidR="00B90457" w:rsidRPr="00BC663A">
        <w:rPr>
          <w:i/>
          <w:sz w:val="18"/>
          <w:szCs w:val="18"/>
        </w:rPr>
        <w:t>:</w:t>
      </w:r>
      <w:r w:rsidR="001810A6" w:rsidRPr="00BC663A">
        <w:rPr>
          <w:i/>
          <w:sz w:val="18"/>
          <w:szCs w:val="18"/>
        </w:rPr>
        <w:t xml:space="preserve"> </w:t>
      </w:r>
    </w:p>
    <w:p w:rsidR="00B06479" w:rsidRPr="00B06479" w:rsidRDefault="00401BA9" w:rsidP="00E91D50">
      <w:pPr>
        <w:spacing w:line="240" w:lineRule="exact"/>
        <w:rPr>
          <w:i/>
          <w:sz w:val="18"/>
          <w:szCs w:val="18"/>
        </w:rPr>
      </w:pPr>
      <w:r w:rsidRPr="00BC663A">
        <w:rPr>
          <w:i/>
          <w:sz w:val="18"/>
          <w:szCs w:val="18"/>
        </w:rPr>
        <w:t xml:space="preserve">Livestock </w:t>
      </w:r>
      <w:r w:rsidR="003359C7">
        <w:rPr>
          <w:i/>
          <w:sz w:val="18"/>
          <w:szCs w:val="18"/>
        </w:rPr>
        <w:t>S</w:t>
      </w:r>
      <w:r w:rsidRPr="00BC663A">
        <w:rPr>
          <w:i/>
          <w:sz w:val="18"/>
          <w:szCs w:val="18"/>
        </w:rPr>
        <w:t>laughtering</w:t>
      </w:r>
      <w:r w:rsidR="00403EEF" w:rsidRPr="00BC663A">
        <w:rPr>
          <w:i/>
          <w:sz w:val="18"/>
          <w:szCs w:val="18"/>
        </w:rPr>
        <w:t xml:space="preserve"> </w:t>
      </w:r>
      <w:hyperlink r:id="rId10" w:history="1">
        <w:r w:rsidR="00B06479" w:rsidRPr="00B06479">
          <w:rPr>
            <w:rStyle w:val="Hypertextovodkaz"/>
            <w:i/>
            <w:sz w:val="18"/>
            <w:szCs w:val="18"/>
          </w:rPr>
          <w:t>https://www.czso.cz/csu/czso/livestock-slaughtering-may-2017</w:t>
        </w:r>
      </w:hyperlink>
      <w:r w:rsidR="00B06479" w:rsidRPr="00B06479">
        <w:rPr>
          <w:i/>
          <w:sz w:val="18"/>
          <w:szCs w:val="18"/>
        </w:rPr>
        <w:t xml:space="preserve"> </w:t>
      </w:r>
    </w:p>
    <w:p w:rsidR="00B53773" w:rsidRDefault="00B53773" w:rsidP="00E91D50">
      <w:pPr>
        <w:spacing w:line="240" w:lineRule="exact"/>
        <w:rPr>
          <w:i/>
          <w:sz w:val="18"/>
          <w:szCs w:val="18"/>
        </w:rPr>
      </w:pPr>
      <w:r>
        <w:rPr>
          <w:i/>
          <w:sz w:val="18"/>
          <w:szCs w:val="18"/>
        </w:rPr>
        <w:t xml:space="preserve">Livestock Survey </w:t>
      </w:r>
      <w:hyperlink r:id="rId11" w:history="1">
        <w:r w:rsidRPr="0014705C">
          <w:rPr>
            <w:rStyle w:val="Hypertextovodkaz"/>
            <w:i/>
            <w:sz w:val="18"/>
            <w:szCs w:val="18"/>
          </w:rPr>
          <w:t>https://www.czso.cz/csu/czso/livestock-survey-as-at-1-april-2017</w:t>
        </w:r>
      </w:hyperlink>
    </w:p>
    <w:p w:rsidR="00E91D50" w:rsidRPr="00BC663A" w:rsidRDefault="00B53773" w:rsidP="00E91D50">
      <w:pPr>
        <w:spacing w:line="240" w:lineRule="exact"/>
        <w:rPr>
          <w:i/>
          <w:sz w:val="18"/>
          <w:szCs w:val="18"/>
        </w:rPr>
      </w:pPr>
      <w:r>
        <w:rPr>
          <w:i/>
          <w:sz w:val="18"/>
          <w:szCs w:val="18"/>
        </w:rPr>
        <w:t>A</w:t>
      </w:r>
      <w:r w:rsidR="00E91D50" w:rsidRPr="00C11FA8">
        <w:rPr>
          <w:i/>
          <w:sz w:val="18"/>
          <w:szCs w:val="18"/>
        </w:rPr>
        <w:t>gricultural Producer Price Indices</w:t>
      </w:r>
      <w:r w:rsidR="00E91D50" w:rsidRPr="00BC663A">
        <w:rPr>
          <w:i/>
          <w:sz w:val="18"/>
          <w:szCs w:val="18"/>
        </w:rPr>
        <w:t> </w:t>
      </w:r>
      <w:hyperlink r:id="rId12" w:anchor="katalog=31785" w:history="1">
        <w:r w:rsidR="00C11FA8" w:rsidRPr="00AA6ACB">
          <w:rPr>
            <w:rStyle w:val="Hypertextovodkaz"/>
            <w:i/>
            <w:sz w:val="18"/>
            <w:szCs w:val="18"/>
          </w:rPr>
          <w:t>https://vdb.czso.cz/vdbvo2/faces/en/index.jsf?page=statistiky&amp;katalog=31785#katalog=31785</w:t>
        </w:r>
      </w:hyperlink>
      <w:r w:rsidR="00C11FA8">
        <w:rPr>
          <w:i/>
          <w:sz w:val="18"/>
          <w:szCs w:val="18"/>
        </w:rPr>
        <w:t xml:space="preserve"> </w:t>
      </w:r>
      <w:r w:rsidR="00C5417E">
        <w:rPr>
          <w:i/>
          <w:sz w:val="18"/>
          <w:szCs w:val="18"/>
        </w:rPr>
        <w:t xml:space="preserve"> </w:t>
      </w:r>
    </w:p>
    <w:p w:rsidR="00B90457" w:rsidRPr="00BC663A" w:rsidRDefault="00B90457" w:rsidP="00B90457">
      <w:pPr>
        <w:spacing w:line="240" w:lineRule="exact"/>
        <w:rPr>
          <w:i/>
          <w:sz w:val="18"/>
          <w:szCs w:val="18"/>
        </w:rPr>
      </w:pPr>
      <w:r w:rsidRPr="00BC663A">
        <w:rPr>
          <w:i/>
          <w:sz w:val="18"/>
          <w:szCs w:val="18"/>
        </w:rPr>
        <w:t xml:space="preserve">Date of the next News Release publication: </w:t>
      </w:r>
      <w:r w:rsidR="003359C7">
        <w:rPr>
          <w:i/>
          <w:sz w:val="18"/>
          <w:szCs w:val="18"/>
        </w:rPr>
        <w:t>3</w:t>
      </w:r>
      <w:r w:rsidR="00B53773">
        <w:rPr>
          <w:i/>
          <w:sz w:val="18"/>
          <w:szCs w:val="18"/>
        </w:rPr>
        <w:t>0 October</w:t>
      </w:r>
      <w:r w:rsidRPr="00BC663A">
        <w:rPr>
          <w:i/>
          <w:sz w:val="18"/>
          <w:szCs w:val="18"/>
        </w:rPr>
        <w:t xml:space="preserve"> 201</w:t>
      </w:r>
      <w:r w:rsidR="00380F1B" w:rsidRPr="00BC663A">
        <w:rPr>
          <w:i/>
          <w:sz w:val="18"/>
          <w:szCs w:val="18"/>
        </w:rPr>
        <w:t>7</w:t>
      </w:r>
    </w:p>
    <w:p w:rsidR="00B90457" w:rsidRPr="00BC663A" w:rsidRDefault="00B90457" w:rsidP="00B90457">
      <w:pPr>
        <w:spacing w:line="240" w:lineRule="exact"/>
        <w:rPr>
          <w:i/>
          <w:sz w:val="18"/>
          <w:szCs w:val="18"/>
        </w:rPr>
      </w:pPr>
    </w:p>
    <w:p w:rsidR="00F74351" w:rsidRPr="00BC663A" w:rsidRDefault="00F74351" w:rsidP="00F74351">
      <w:pPr>
        <w:spacing w:line="240" w:lineRule="exact"/>
        <w:ind w:left="3600" w:hanging="3600"/>
        <w:jc w:val="left"/>
        <w:rPr>
          <w:rFonts w:cs="ArialMT"/>
          <w:i/>
          <w:iCs/>
          <w:color w:val="000000"/>
          <w:sz w:val="18"/>
          <w:szCs w:val="18"/>
        </w:rPr>
      </w:pPr>
      <w:r w:rsidRPr="00BC663A">
        <w:rPr>
          <w:rFonts w:cs="ArialMT"/>
          <w:i/>
          <w:iCs/>
          <w:color w:val="000000"/>
          <w:sz w:val="18"/>
          <w:szCs w:val="18"/>
        </w:rPr>
        <w:t>This press release was not edited for language.</w:t>
      </w:r>
    </w:p>
    <w:p w:rsidR="00F74351" w:rsidRPr="00BC663A" w:rsidRDefault="00F74351" w:rsidP="00B90457">
      <w:pPr>
        <w:spacing w:line="240" w:lineRule="exact"/>
        <w:rPr>
          <w:i/>
          <w:sz w:val="18"/>
          <w:szCs w:val="18"/>
        </w:rPr>
      </w:pPr>
    </w:p>
    <w:p w:rsidR="00593487" w:rsidRPr="00BC663A" w:rsidRDefault="00593487" w:rsidP="00593487">
      <w:pPr>
        <w:spacing w:line="240" w:lineRule="exact"/>
        <w:rPr>
          <w:rFonts w:cs="ArialMT"/>
          <w:i/>
          <w:color w:val="000000"/>
          <w:sz w:val="18"/>
          <w:szCs w:val="18"/>
          <w:lang w:eastAsia="cs-CZ"/>
        </w:rPr>
      </w:pPr>
      <w:r w:rsidRPr="00BC663A">
        <w:rPr>
          <w:rFonts w:cs="ArialMT"/>
          <w:i/>
          <w:color w:val="000000"/>
          <w:sz w:val="18"/>
          <w:szCs w:val="18"/>
          <w:lang w:eastAsia="cs-CZ"/>
        </w:rPr>
        <w:t>Annexes: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Table 1 Meat production and milk collection</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1 Beef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2 Pigmeat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3 Poultrymeat – production and average agricultural producer prices</w:t>
      </w:r>
    </w:p>
    <w:p w:rsidR="00593487" w:rsidRPr="00BC663A" w:rsidRDefault="00593487" w:rsidP="00593487">
      <w:pPr>
        <w:spacing w:line="240" w:lineRule="exact"/>
        <w:rPr>
          <w:rFonts w:cs="ArialMT"/>
          <w:color w:val="000000"/>
          <w:sz w:val="18"/>
          <w:szCs w:val="18"/>
          <w:lang w:eastAsia="cs-CZ"/>
        </w:rPr>
      </w:pPr>
      <w:r w:rsidRPr="00BC663A">
        <w:rPr>
          <w:rFonts w:cs="ArialMT"/>
          <w:color w:val="000000"/>
          <w:sz w:val="18"/>
          <w:szCs w:val="18"/>
          <w:lang w:eastAsia="cs-CZ"/>
        </w:rPr>
        <w:t>Graph 4 Milk – collection and average agricultural producer prices</w:t>
      </w:r>
    </w:p>
    <w:sectPr w:rsidR="00593487" w:rsidRPr="00BC663A"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78" w:rsidRDefault="00824A78" w:rsidP="00BA6370">
      <w:r>
        <w:separator/>
      </w:r>
    </w:p>
  </w:endnote>
  <w:endnote w:type="continuationSeparator" w:id="0">
    <w:p w:rsidR="00824A78" w:rsidRDefault="00824A7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CF" w:rsidRDefault="00824A78">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40DCF" w:rsidRPr="00D52A09" w:rsidRDefault="00C40DCF" w:rsidP="00380178">
                <w:pPr>
                  <w:spacing w:line="220" w:lineRule="atLeast"/>
                  <w:rPr>
                    <w:rFonts w:cs="Arial"/>
                    <w:b/>
                    <w:bCs/>
                    <w:sz w:val="15"/>
                    <w:szCs w:val="15"/>
                  </w:rPr>
                </w:pPr>
                <w:r w:rsidRPr="00D52A09">
                  <w:rPr>
                    <w:rFonts w:cs="Arial"/>
                    <w:b/>
                    <w:bCs/>
                    <w:sz w:val="15"/>
                    <w:szCs w:val="15"/>
                  </w:rPr>
                  <w:t>Information Services Unit – Headquarters</w:t>
                </w:r>
              </w:p>
              <w:p w:rsidR="00C40DCF" w:rsidRDefault="00C40DC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C40DCF" w:rsidRPr="00D52A09" w:rsidRDefault="00C40DC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C40DCF" w:rsidRPr="00410EBC" w:rsidRDefault="00C40DCF"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2F14EF" w:rsidRPr="007E75DE">
                  <w:rPr>
                    <w:rFonts w:cs="Arial"/>
                    <w:szCs w:val="15"/>
                  </w:rPr>
                  <w:fldChar w:fldCharType="begin"/>
                </w:r>
                <w:r w:rsidRPr="00410EBC">
                  <w:rPr>
                    <w:rFonts w:cs="Arial"/>
                    <w:szCs w:val="15"/>
                    <w:lang w:val="de-DE"/>
                  </w:rPr>
                  <w:instrText xml:space="preserve"> PAGE   \* MERGEFORMAT </w:instrText>
                </w:r>
                <w:r w:rsidR="002F14EF" w:rsidRPr="007E75DE">
                  <w:rPr>
                    <w:rFonts w:cs="Arial"/>
                    <w:szCs w:val="15"/>
                  </w:rPr>
                  <w:fldChar w:fldCharType="separate"/>
                </w:r>
                <w:r w:rsidR="000574BE">
                  <w:rPr>
                    <w:rFonts w:cs="Arial"/>
                    <w:noProof/>
                    <w:szCs w:val="15"/>
                    <w:lang w:val="de-DE"/>
                  </w:rPr>
                  <w:t>3</w:t>
                </w:r>
                <w:r w:rsidR="002F14E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78" w:rsidRDefault="00824A78" w:rsidP="00BA6370">
      <w:r>
        <w:separator/>
      </w:r>
    </w:p>
  </w:footnote>
  <w:footnote w:type="continuationSeparator" w:id="0">
    <w:p w:rsidR="00824A78" w:rsidRDefault="00824A78" w:rsidP="00BA6370">
      <w:r>
        <w:continuationSeparator/>
      </w:r>
    </w:p>
  </w:footnote>
  <w:footnote w:id="1">
    <w:p w:rsidR="00C40DCF" w:rsidRPr="00884121" w:rsidRDefault="00C40DCF" w:rsidP="0001287A">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Intrastat does not include individual trading operations carried out by persons who are not registered for VAT as well as reporting units below the applicable thresholds of CZK 8 million a year for both flows are not under reporting duty for Intrastat.</w:t>
      </w:r>
    </w:p>
    <w:p w:rsidR="00C40DCF" w:rsidRDefault="00C40DCF" w:rsidP="0001287A">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CF" w:rsidRDefault="00824A78">
    <w:pPr>
      <w:pStyle w:val="Zhlav"/>
    </w:pPr>
    <w:r>
      <w:rPr>
        <w:noProof/>
        <w:lang w:val="cs-CZ"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AE"/>
    <w:rsid w:val="0000277E"/>
    <w:rsid w:val="00002C20"/>
    <w:rsid w:val="00002D69"/>
    <w:rsid w:val="00003FB1"/>
    <w:rsid w:val="0000448D"/>
    <w:rsid w:val="00005D12"/>
    <w:rsid w:val="00007218"/>
    <w:rsid w:val="00010794"/>
    <w:rsid w:val="00010FFE"/>
    <w:rsid w:val="00012600"/>
    <w:rsid w:val="0001287A"/>
    <w:rsid w:val="00015493"/>
    <w:rsid w:val="00015836"/>
    <w:rsid w:val="00016BB3"/>
    <w:rsid w:val="00016C03"/>
    <w:rsid w:val="00026F51"/>
    <w:rsid w:val="0002708C"/>
    <w:rsid w:val="00027DAA"/>
    <w:rsid w:val="000345EF"/>
    <w:rsid w:val="00040CD2"/>
    <w:rsid w:val="000413E6"/>
    <w:rsid w:val="00043BF4"/>
    <w:rsid w:val="0004502D"/>
    <w:rsid w:val="000450EA"/>
    <w:rsid w:val="00047F3A"/>
    <w:rsid w:val="000531BE"/>
    <w:rsid w:val="00056159"/>
    <w:rsid w:val="00056EBE"/>
    <w:rsid w:val="000574BE"/>
    <w:rsid w:val="00062068"/>
    <w:rsid w:val="000623E2"/>
    <w:rsid w:val="00064BBF"/>
    <w:rsid w:val="00066B6E"/>
    <w:rsid w:val="0006748B"/>
    <w:rsid w:val="00070902"/>
    <w:rsid w:val="000709B6"/>
    <w:rsid w:val="00070F1B"/>
    <w:rsid w:val="00072007"/>
    <w:rsid w:val="0007605B"/>
    <w:rsid w:val="00077458"/>
    <w:rsid w:val="00077C22"/>
    <w:rsid w:val="00081775"/>
    <w:rsid w:val="0008177E"/>
    <w:rsid w:val="00082842"/>
    <w:rsid w:val="000831A8"/>
    <w:rsid w:val="000843A5"/>
    <w:rsid w:val="0008499A"/>
    <w:rsid w:val="00087BB3"/>
    <w:rsid w:val="00087F0C"/>
    <w:rsid w:val="00090931"/>
    <w:rsid w:val="000909AD"/>
    <w:rsid w:val="00091722"/>
    <w:rsid w:val="00092746"/>
    <w:rsid w:val="00093A9F"/>
    <w:rsid w:val="00095546"/>
    <w:rsid w:val="0009586B"/>
    <w:rsid w:val="0009710A"/>
    <w:rsid w:val="000A14B4"/>
    <w:rsid w:val="000A26C9"/>
    <w:rsid w:val="000A3155"/>
    <w:rsid w:val="000A7971"/>
    <w:rsid w:val="000B0D6C"/>
    <w:rsid w:val="000B3B11"/>
    <w:rsid w:val="000B6F63"/>
    <w:rsid w:val="000C0683"/>
    <w:rsid w:val="000C2257"/>
    <w:rsid w:val="000C76EA"/>
    <w:rsid w:val="000D093A"/>
    <w:rsid w:val="000D25E9"/>
    <w:rsid w:val="000D49E6"/>
    <w:rsid w:val="000D54DD"/>
    <w:rsid w:val="000E00AF"/>
    <w:rsid w:val="000E1826"/>
    <w:rsid w:val="000E3631"/>
    <w:rsid w:val="000E5EEF"/>
    <w:rsid w:val="000E5FF3"/>
    <w:rsid w:val="000E65A1"/>
    <w:rsid w:val="000E7C13"/>
    <w:rsid w:val="000F17E1"/>
    <w:rsid w:val="000F199E"/>
    <w:rsid w:val="000F1F24"/>
    <w:rsid w:val="000F2C34"/>
    <w:rsid w:val="00100B7F"/>
    <w:rsid w:val="00101137"/>
    <w:rsid w:val="001060D7"/>
    <w:rsid w:val="001071CA"/>
    <w:rsid w:val="001072AC"/>
    <w:rsid w:val="00107C54"/>
    <w:rsid w:val="00110E8C"/>
    <w:rsid w:val="00113E5F"/>
    <w:rsid w:val="0011496F"/>
    <w:rsid w:val="00115894"/>
    <w:rsid w:val="00115C9F"/>
    <w:rsid w:val="00115D37"/>
    <w:rsid w:val="00115F88"/>
    <w:rsid w:val="00115FD3"/>
    <w:rsid w:val="00116ED1"/>
    <w:rsid w:val="00117773"/>
    <w:rsid w:val="00123201"/>
    <w:rsid w:val="00123F06"/>
    <w:rsid w:val="001312D6"/>
    <w:rsid w:val="00133277"/>
    <w:rsid w:val="00134373"/>
    <w:rsid w:val="001344EA"/>
    <w:rsid w:val="00135A9F"/>
    <w:rsid w:val="001404AB"/>
    <w:rsid w:val="0014233C"/>
    <w:rsid w:val="00142DDA"/>
    <w:rsid w:val="0014465B"/>
    <w:rsid w:val="001454ED"/>
    <w:rsid w:val="00146565"/>
    <w:rsid w:val="001526DF"/>
    <w:rsid w:val="0015341F"/>
    <w:rsid w:val="00155878"/>
    <w:rsid w:val="001559D1"/>
    <w:rsid w:val="001573E5"/>
    <w:rsid w:val="0016536D"/>
    <w:rsid w:val="001676E4"/>
    <w:rsid w:val="0017055E"/>
    <w:rsid w:val="00170DFB"/>
    <w:rsid w:val="0017186F"/>
    <w:rsid w:val="00171FB8"/>
    <w:rsid w:val="0017231D"/>
    <w:rsid w:val="00172D94"/>
    <w:rsid w:val="001731B5"/>
    <w:rsid w:val="00176E26"/>
    <w:rsid w:val="001810A6"/>
    <w:rsid w:val="001810DC"/>
    <w:rsid w:val="00182E18"/>
    <w:rsid w:val="0018339B"/>
    <w:rsid w:val="00183E52"/>
    <w:rsid w:val="00187CB7"/>
    <w:rsid w:val="0019003B"/>
    <w:rsid w:val="00190505"/>
    <w:rsid w:val="00191C1D"/>
    <w:rsid w:val="00194589"/>
    <w:rsid w:val="001968CA"/>
    <w:rsid w:val="001A74DA"/>
    <w:rsid w:val="001A7B7F"/>
    <w:rsid w:val="001B03E1"/>
    <w:rsid w:val="001B172D"/>
    <w:rsid w:val="001B29DA"/>
    <w:rsid w:val="001B57AE"/>
    <w:rsid w:val="001B607F"/>
    <w:rsid w:val="001C0567"/>
    <w:rsid w:val="001C1385"/>
    <w:rsid w:val="001C3175"/>
    <w:rsid w:val="001C60E2"/>
    <w:rsid w:val="001C6B63"/>
    <w:rsid w:val="001C71FD"/>
    <w:rsid w:val="001C7E31"/>
    <w:rsid w:val="001D0DE1"/>
    <w:rsid w:val="001D14B4"/>
    <w:rsid w:val="001D242D"/>
    <w:rsid w:val="001D369A"/>
    <w:rsid w:val="001D3E52"/>
    <w:rsid w:val="001D53B5"/>
    <w:rsid w:val="001D59AC"/>
    <w:rsid w:val="001D6919"/>
    <w:rsid w:val="001E0B57"/>
    <w:rsid w:val="001E392F"/>
    <w:rsid w:val="001E4A82"/>
    <w:rsid w:val="001E6111"/>
    <w:rsid w:val="001F08B3"/>
    <w:rsid w:val="001F2634"/>
    <w:rsid w:val="001F5359"/>
    <w:rsid w:val="001F69C0"/>
    <w:rsid w:val="001F6F18"/>
    <w:rsid w:val="002006BB"/>
    <w:rsid w:val="002010C0"/>
    <w:rsid w:val="0020258A"/>
    <w:rsid w:val="00204B96"/>
    <w:rsid w:val="00206154"/>
    <w:rsid w:val="00206B83"/>
    <w:rsid w:val="00206FAF"/>
    <w:rsid w:val="002070FB"/>
    <w:rsid w:val="0021144F"/>
    <w:rsid w:val="00212CD1"/>
    <w:rsid w:val="00213729"/>
    <w:rsid w:val="00213915"/>
    <w:rsid w:val="00213D66"/>
    <w:rsid w:val="00214D1E"/>
    <w:rsid w:val="00215FFB"/>
    <w:rsid w:val="00221D3E"/>
    <w:rsid w:val="00222026"/>
    <w:rsid w:val="00226705"/>
    <w:rsid w:val="002310BA"/>
    <w:rsid w:val="002313C2"/>
    <w:rsid w:val="00234815"/>
    <w:rsid w:val="00234C82"/>
    <w:rsid w:val="00235CC2"/>
    <w:rsid w:val="00235E62"/>
    <w:rsid w:val="00236985"/>
    <w:rsid w:val="002403C3"/>
    <w:rsid w:val="002406FA"/>
    <w:rsid w:val="002410D4"/>
    <w:rsid w:val="0024164E"/>
    <w:rsid w:val="002458A5"/>
    <w:rsid w:val="00247A82"/>
    <w:rsid w:val="002506E7"/>
    <w:rsid w:val="0025266B"/>
    <w:rsid w:val="00252A3E"/>
    <w:rsid w:val="0025371D"/>
    <w:rsid w:val="00253923"/>
    <w:rsid w:val="002564B0"/>
    <w:rsid w:val="00262A69"/>
    <w:rsid w:val="00264B87"/>
    <w:rsid w:val="00266C90"/>
    <w:rsid w:val="00272AE0"/>
    <w:rsid w:val="002742DB"/>
    <w:rsid w:val="00274776"/>
    <w:rsid w:val="0028487E"/>
    <w:rsid w:val="00284BB3"/>
    <w:rsid w:val="00284D30"/>
    <w:rsid w:val="002919E2"/>
    <w:rsid w:val="00291D92"/>
    <w:rsid w:val="00294AC9"/>
    <w:rsid w:val="002956D8"/>
    <w:rsid w:val="002A406A"/>
    <w:rsid w:val="002A6617"/>
    <w:rsid w:val="002A7352"/>
    <w:rsid w:val="002A7F86"/>
    <w:rsid w:val="002B2B8C"/>
    <w:rsid w:val="002B2E47"/>
    <w:rsid w:val="002B396A"/>
    <w:rsid w:val="002B7F3F"/>
    <w:rsid w:val="002C00AE"/>
    <w:rsid w:val="002C3560"/>
    <w:rsid w:val="002C589A"/>
    <w:rsid w:val="002C6AA2"/>
    <w:rsid w:val="002C6FD7"/>
    <w:rsid w:val="002D02F7"/>
    <w:rsid w:val="002D09D9"/>
    <w:rsid w:val="002D1C9E"/>
    <w:rsid w:val="002D37F5"/>
    <w:rsid w:val="002D60B5"/>
    <w:rsid w:val="002D613F"/>
    <w:rsid w:val="002E1071"/>
    <w:rsid w:val="002E78B1"/>
    <w:rsid w:val="002E7AE0"/>
    <w:rsid w:val="002F14EF"/>
    <w:rsid w:val="002F5920"/>
    <w:rsid w:val="002F6251"/>
    <w:rsid w:val="002F6C15"/>
    <w:rsid w:val="0030123E"/>
    <w:rsid w:val="00305622"/>
    <w:rsid w:val="00305CD1"/>
    <w:rsid w:val="00305D78"/>
    <w:rsid w:val="00310350"/>
    <w:rsid w:val="003111D4"/>
    <w:rsid w:val="0032075B"/>
    <w:rsid w:val="0032079E"/>
    <w:rsid w:val="00321175"/>
    <w:rsid w:val="00322364"/>
    <w:rsid w:val="00323590"/>
    <w:rsid w:val="0032398D"/>
    <w:rsid w:val="003301A3"/>
    <w:rsid w:val="00331121"/>
    <w:rsid w:val="00331BB2"/>
    <w:rsid w:val="003321CF"/>
    <w:rsid w:val="0033272D"/>
    <w:rsid w:val="003359C7"/>
    <w:rsid w:val="00335FD3"/>
    <w:rsid w:val="003368FE"/>
    <w:rsid w:val="00341AFB"/>
    <w:rsid w:val="00341F18"/>
    <w:rsid w:val="00342462"/>
    <w:rsid w:val="003427D8"/>
    <w:rsid w:val="00342E22"/>
    <w:rsid w:val="00343417"/>
    <w:rsid w:val="00344B11"/>
    <w:rsid w:val="0035188A"/>
    <w:rsid w:val="003544E8"/>
    <w:rsid w:val="00354952"/>
    <w:rsid w:val="00355D61"/>
    <w:rsid w:val="00357E47"/>
    <w:rsid w:val="003641CD"/>
    <w:rsid w:val="003651C8"/>
    <w:rsid w:val="00365921"/>
    <w:rsid w:val="0036698E"/>
    <w:rsid w:val="00366993"/>
    <w:rsid w:val="0036777B"/>
    <w:rsid w:val="003707FA"/>
    <w:rsid w:val="00370C63"/>
    <w:rsid w:val="003712AC"/>
    <w:rsid w:val="0037214C"/>
    <w:rsid w:val="00376A21"/>
    <w:rsid w:val="00380178"/>
    <w:rsid w:val="00380F1B"/>
    <w:rsid w:val="0038105E"/>
    <w:rsid w:val="0038282A"/>
    <w:rsid w:val="00382C49"/>
    <w:rsid w:val="003855D2"/>
    <w:rsid w:val="003859CD"/>
    <w:rsid w:val="00386839"/>
    <w:rsid w:val="00391608"/>
    <w:rsid w:val="00394B3D"/>
    <w:rsid w:val="003953A1"/>
    <w:rsid w:val="00396C7A"/>
    <w:rsid w:val="00396E53"/>
    <w:rsid w:val="003971BD"/>
    <w:rsid w:val="00397580"/>
    <w:rsid w:val="003A1071"/>
    <w:rsid w:val="003A133F"/>
    <w:rsid w:val="003A45C8"/>
    <w:rsid w:val="003A7A2B"/>
    <w:rsid w:val="003B2673"/>
    <w:rsid w:val="003B42E0"/>
    <w:rsid w:val="003B71B6"/>
    <w:rsid w:val="003C2DCF"/>
    <w:rsid w:val="003C2E92"/>
    <w:rsid w:val="003C3431"/>
    <w:rsid w:val="003C442B"/>
    <w:rsid w:val="003C48DC"/>
    <w:rsid w:val="003C4F3E"/>
    <w:rsid w:val="003C687C"/>
    <w:rsid w:val="003C714F"/>
    <w:rsid w:val="003C79E7"/>
    <w:rsid w:val="003C7DD9"/>
    <w:rsid w:val="003C7FE7"/>
    <w:rsid w:val="003D0499"/>
    <w:rsid w:val="003D2344"/>
    <w:rsid w:val="003D2D41"/>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646"/>
    <w:rsid w:val="004129C1"/>
    <w:rsid w:val="00417207"/>
    <w:rsid w:val="00417801"/>
    <w:rsid w:val="00422861"/>
    <w:rsid w:val="00426073"/>
    <w:rsid w:val="004260B7"/>
    <w:rsid w:val="004332B7"/>
    <w:rsid w:val="0043655E"/>
    <w:rsid w:val="00436D82"/>
    <w:rsid w:val="00441AB6"/>
    <w:rsid w:val="00442EB3"/>
    <w:rsid w:val="004436EE"/>
    <w:rsid w:val="00445F6D"/>
    <w:rsid w:val="00447E30"/>
    <w:rsid w:val="00450AB1"/>
    <w:rsid w:val="00451ECB"/>
    <w:rsid w:val="0045547F"/>
    <w:rsid w:val="00456D7B"/>
    <w:rsid w:val="004601CB"/>
    <w:rsid w:val="0046217E"/>
    <w:rsid w:val="00462282"/>
    <w:rsid w:val="004626C8"/>
    <w:rsid w:val="00462D1A"/>
    <w:rsid w:val="00473B33"/>
    <w:rsid w:val="004755C2"/>
    <w:rsid w:val="004766EE"/>
    <w:rsid w:val="00476ECF"/>
    <w:rsid w:val="0047780E"/>
    <w:rsid w:val="00484546"/>
    <w:rsid w:val="0048547A"/>
    <w:rsid w:val="00490D45"/>
    <w:rsid w:val="00491D75"/>
    <w:rsid w:val="004920AD"/>
    <w:rsid w:val="00493601"/>
    <w:rsid w:val="00493C07"/>
    <w:rsid w:val="00493C72"/>
    <w:rsid w:val="00496319"/>
    <w:rsid w:val="0049724F"/>
    <w:rsid w:val="00497C92"/>
    <w:rsid w:val="004A00D9"/>
    <w:rsid w:val="004A1D48"/>
    <w:rsid w:val="004A467E"/>
    <w:rsid w:val="004A5BB0"/>
    <w:rsid w:val="004B0554"/>
    <w:rsid w:val="004B30EE"/>
    <w:rsid w:val="004B3429"/>
    <w:rsid w:val="004B4B7A"/>
    <w:rsid w:val="004B58CC"/>
    <w:rsid w:val="004B6B7C"/>
    <w:rsid w:val="004C02EB"/>
    <w:rsid w:val="004C1B01"/>
    <w:rsid w:val="004C1D8B"/>
    <w:rsid w:val="004C2CD0"/>
    <w:rsid w:val="004C321E"/>
    <w:rsid w:val="004C3D34"/>
    <w:rsid w:val="004C4BC6"/>
    <w:rsid w:val="004C5509"/>
    <w:rsid w:val="004C5811"/>
    <w:rsid w:val="004D040D"/>
    <w:rsid w:val="004D05B3"/>
    <w:rsid w:val="004D2E87"/>
    <w:rsid w:val="004D3615"/>
    <w:rsid w:val="004D3C18"/>
    <w:rsid w:val="004D4F5E"/>
    <w:rsid w:val="004D662F"/>
    <w:rsid w:val="004D6BA9"/>
    <w:rsid w:val="004E090B"/>
    <w:rsid w:val="004E2757"/>
    <w:rsid w:val="004E2F83"/>
    <w:rsid w:val="004E34E7"/>
    <w:rsid w:val="004E479E"/>
    <w:rsid w:val="004E6812"/>
    <w:rsid w:val="004F1964"/>
    <w:rsid w:val="004F4754"/>
    <w:rsid w:val="004F6F64"/>
    <w:rsid w:val="004F78E6"/>
    <w:rsid w:val="004F7F19"/>
    <w:rsid w:val="00505395"/>
    <w:rsid w:val="00512D99"/>
    <w:rsid w:val="005164E2"/>
    <w:rsid w:val="005217F2"/>
    <w:rsid w:val="00524016"/>
    <w:rsid w:val="0052483F"/>
    <w:rsid w:val="005312F6"/>
    <w:rsid w:val="0053159F"/>
    <w:rsid w:val="00531DBB"/>
    <w:rsid w:val="00532A51"/>
    <w:rsid w:val="00540E2F"/>
    <w:rsid w:val="00542F73"/>
    <w:rsid w:val="00543512"/>
    <w:rsid w:val="00543DF6"/>
    <w:rsid w:val="00544CD7"/>
    <w:rsid w:val="0054504E"/>
    <w:rsid w:val="00550F01"/>
    <w:rsid w:val="005529F1"/>
    <w:rsid w:val="00561056"/>
    <w:rsid w:val="00561372"/>
    <w:rsid w:val="00564213"/>
    <w:rsid w:val="0056571D"/>
    <w:rsid w:val="005673E8"/>
    <w:rsid w:val="0056796A"/>
    <w:rsid w:val="00567D79"/>
    <w:rsid w:val="00572A14"/>
    <w:rsid w:val="005735B2"/>
    <w:rsid w:val="00574469"/>
    <w:rsid w:val="005745E9"/>
    <w:rsid w:val="0057483F"/>
    <w:rsid w:val="00575CF6"/>
    <w:rsid w:val="00576E3B"/>
    <w:rsid w:val="00577677"/>
    <w:rsid w:val="005800F2"/>
    <w:rsid w:val="00583321"/>
    <w:rsid w:val="00590606"/>
    <w:rsid w:val="00591C82"/>
    <w:rsid w:val="00592718"/>
    <w:rsid w:val="00593487"/>
    <w:rsid w:val="005940C6"/>
    <w:rsid w:val="005954F1"/>
    <w:rsid w:val="00596BA3"/>
    <w:rsid w:val="00596ECD"/>
    <w:rsid w:val="005A379E"/>
    <w:rsid w:val="005A5CA1"/>
    <w:rsid w:val="005A61FA"/>
    <w:rsid w:val="005B6F62"/>
    <w:rsid w:val="005B752D"/>
    <w:rsid w:val="005C3751"/>
    <w:rsid w:val="005C5FCB"/>
    <w:rsid w:val="005D0312"/>
    <w:rsid w:val="005D2FB3"/>
    <w:rsid w:val="005E10FE"/>
    <w:rsid w:val="005E1562"/>
    <w:rsid w:val="005E1672"/>
    <w:rsid w:val="005E3F95"/>
    <w:rsid w:val="005E5614"/>
    <w:rsid w:val="005F03E7"/>
    <w:rsid w:val="005F37F7"/>
    <w:rsid w:val="005F487B"/>
    <w:rsid w:val="005F5E04"/>
    <w:rsid w:val="005F6B24"/>
    <w:rsid w:val="005F79FB"/>
    <w:rsid w:val="00602E3A"/>
    <w:rsid w:val="006034D0"/>
    <w:rsid w:val="00604406"/>
    <w:rsid w:val="006044CA"/>
    <w:rsid w:val="00605F4A"/>
    <w:rsid w:val="00607822"/>
    <w:rsid w:val="00607B2D"/>
    <w:rsid w:val="006103AA"/>
    <w:rsid w:val="00611C2B"/>
    <w:rsid w:val="0061231F"/>
    <w:rsid w:val="00613325"/>
    <w:rsid w:val="00613BBF"/>
    <w:rsid w:val="00621B3F"/>
    <w:rsid w:val="00622011"/>
    <w:rsid w:val="00622635"/>
    <w:rsid w:val="00622B80"/>
    <w:rsid w:val="00625344"/>
    <w:rsid w:val="00627E8B"/>
    <w:rsid w:val="00632F04"/>
    <w:rsid w:val="00633036"/>
    <w:rsid w:val="00634FF1"/>
    <w:rsid w:val="00637021"/>
    <w:rsid w:val="00637108"/>
    <w:rsid w:val="006373F8"/>
    <w:rsid w:val="00640676"/>
    <w:rsid w:val="0064139A"/>
    <w:rsid w:val="00641E0C"/>
    <w:rsid w:val="00643D2E"/>
    <w:rsid w:val="00643DF8"/>
    <w:rsid w:val="00643FB0"/>
    <w:rsid w:val="00647219"/>
    <w:rsid w:val="00650201"/>
    <w:rsid w:val="00650966"/>
    <w:rsid w:val="006532CD"/>
    <w:rsid w:val="006543D0"/>
    <w:rsid w:val="00654F93"/>
    <w:rsid w:val="00655A2F"/>
    <w:rsid w:val="00656ED9"/>
    <w:rsid w:val="0065713C"/>
    <w:rsid w:val="00657CC2"/>
    <w:rsid w:val="00660C3C"/>
    <w:rsid w:val="0066179C"/>
    <w:rsid w:val="00664396"/>
    <w:rsid w:val="00670371"/>
    <w:rsid w:val="0067071A"/>
    <w:rsid w:val="00671110"/>
    <w:rsid w:val="006726D8"/>
    <w:rsid w:val="006732A7"/>
    <w:rsid w:val="00682787"/>
    <w:rsid w:val="00687507"/>
    <w:rsid w:val="00687BAF"/>
    <w:rsid w:val="0069108B"/>
    <w:rsid w:val="006957AF"/>
    <w:rsid w:val="00695F52"/>
    <w:rsid w:val="006A4023"/>
    <w:rsid w:val="006A5F5E"/>
    <w:rsid w:val="006A6060"/>
    <w:rsid w:val="006B0E5C"/>
    <w:rsid w:val="006B1047"/>
    <w:rsid w:val="006B2623"/>
    <w:rsid w:val="006B27F0"/>
    <w:rsid w:val="006B4153"/>
    <w:rsid w:val="006B667C"/>
    <w:rsid w:val="006B671F"/>
    <w:rsid w:val="006B76CB"/>
    <w:rsid w:val="006B76F8"/>
    <w:rsid w:val="006C290B"/>
    <w:rsid w:val="006C2F38"/>
    <w:rsid w:val="006C621D"/>
    <w:rsid w:val="006C69AC"/>
    <w:rsid w:val="006C6F4B"/>
    <w:rsid w:val="006D0613"/>
    <w:rsid w:val="006D078A"/>
    <w:rsid w:val="006D30A7"/>
    <w:rsid w:val="006D6CFD"/>
    <w:rsid w:val="006E024F"/>
    <w:rsid w:val="006E1F3D"/>
    <w:rsid w:val="006E4832"/>
    <w:rsid w:val="006E4D91"/>
    <w:rsid w:val="006E4E81"/>
    <w:rsid w:val="006E500B"/>
    <w:rsid w:val="006E7420"/>
    <w:rsid w:val="006F03AE"/>
    <w:rsid w:val="006F25F4"/>
    <w:rsid w:val="006F287E"/>
    <w:rsid w:val="006F34A9"/>
    <w:rsid w:val="006F4291"/>
    <w:rsid w:val="00700305"/>
    <w:rsid w:val="00702B4E"/>
    <w:rsid w:val="00703283"/>
    <w:rsid w:val="007034BE"/>
    <w:rsid w:val="007065FB"/>
    <w:rsid w:val="00706895"/>
    <w:rsid w:val="00707F7D"/>
    <w:rsid w:val="00712C9E"/>
    <w:rsid w:val="00714528"/>
    <w:rsid w:val="0071548C"/>
    <w:rsid w:val="00715D51"/>
    <w:rsid w:val="00716989"/>
    <w:rsid w:val="00717EC5"/>
    <w:rsid w:val="00720E44"/>
    <w:rsid w:val="00726FE2"/>
    <w:rsid w:val="00727AD8"/>
    <w:rsid w:val="00731C62"/>
    <w:rsid w:val="00734450"/>
    <w:rsid w:val="0073451A"/>
    <w:rsid w:val="00741826"/>
    <w:rsid w:val="0074332B"/>
    <w:rsid w:val="007442E5"/>
    <w:rsid w:val="00744618"/>
    <w:rsid w:val="00746C25"/>
    <w:rsid w:val="00755295"/>
    <w:rsid w:val="00755D8B"/>
    <w:rsid w:val="007565B5"/>
    <w:rsid w:val="00757F3F"/>
    <w:rsid w:val="0076105C"/>
    <w:rsid w:val="00761B83"/>
    <w:rsid w:val="00761E9B"/>
    <w:rsid w:val="00761FA8"/>
    <w:rsid w:val="00762906"/>
    <w:rsid w:val="00762B3E"/>
    <w:rsid w:val="007634E0"/>
    <w:rsid w:val="00766074"/>
    <w:rsid w:val="00766F19"/>
    <w:rsid w:val="0077233B"/>
    <w:rsid w:val="0078083D"/>
    <w:rsid w:val="00782967"/>
    <w:rsid w:val="007834F0"/>
    <w:rsid w:val="007841F6"/>
    <w:rsid w:val="00784EDF"/>
    <w:rsid w:val="0078740D"/>
    <w:rsid w:val="0079291B"/>
    <w:rsid w:val="0079377F"/>
    <w:rsid w:val="007A0629"/>
    <w:rsid w:val="007A0CA5"/>
    <w:rsid w:val="007A1462"/>
    <w:rsid w:val="007A467E"/>
    <w:rsid w:val="007A4FFF"/>
    <w:rsid w:val="007A57F2"/>
    <w:rsid w:val="007A7DBF"/>
    <w:rsid w:val="007B1333"/>
    <w:rsid w:val="007B344A"/>
    <w:rsid w:val="007D2658"/>
    <w:rsid w:val="007D3E7E"/>
    <w:rsid w:val="007D3EF6"/>
    <w:rsid w:val="007D4CA9"/>
    <w:rsid w:val="007D5192"/>
    <w:rsid w:val="007D5EBF"/>
    <w:rsid w:val="007D5EE8"/>
    <w:rsid w:val="007D7FC9"/>
    <w:rsid w:val="007E087D"/>
    <w:rsid w:val="007E15A8"/>
    <w:rsid w:val="007E1A6F"/>
    <w:rsid w:val="007E420A"/>
    <w:rsid w:val="007E492C"/>
    <w:rsid w:val="007E63FC"/>
    <w:rsid w:val="007F07F6"/>
    <w:rsid w:val="007F0916"/>
    <w:rsid w:val="007F19B6"/>
    <w:rsid w:val="007F3E24"/>
    <w:rsid w:val="007F4AEB"/>
    <w:rsid w:val="007F6E00"/>
    <w:rsid w:val="007F6ECA"/>
    <w:rsid w:val="007F75B2"/>
    <w:rsid w:val="00800B67"/>
    <w:rsid w:val="00802754"/>
    <w:rsid w:val="00802757"/>
    <w:rsid w:val="008043C4"/>
    <w:rsid w:val="00806B81"/>
    <w:rsid w:val="0081394F"/>
    <w:rsid w:val="00814978"/>
    <w:rsid w:val="00815EE1"/>
    <w:rsid w:val="008171B0"/>
    <w:rsid w:val="00817919"/>
    <w:rsid w:val="00820332"/>
    <w:rsid w:val="0082071B"/>
    <w:rsid w:val="00822CEE"/>
    <w:rsid w:val="00823257"/>
    <w:rsid w:val="0082413D"/>
    <w:rsid w:val="00824A78"/>
    <w:rsid w:val="008261DF"/>
    <w:rsid w:val="00831B1B"/>
    <w:rsid w:val="00832716"/>
    <w:rsid w:val="0083300A"/>
    <w:rsid w:val="0083683F"/>
    <w:rsid w:val="008370CF"/>
    <w:rsid w:val="00837D51"/>
    <w:rsid w:val="00843555"/>
    <w:rsid w:val="008439C0"/>
    <w:rsid w:val="00845060"/>
    <w:rsid w:val="0084648E"/>
    <w:rsid w:val="00847BDB"/>
    <w:rsid w:val="00853C02"/>
    <w:rsid w:val="00853D19"/>
    <w:rsid w:val="00855FB3"/>
    <w:rsid w:val="00857C75"/>
    <w:rsid w:val="00861014"/>
    <w:rsid w:val="00861D0E"/>
    <w:rsid w:val="00866B71"/>
    <w:rsid w:val="00867569"/>
    <w:rsid w:val="008706E6"/>
    <w:rsid w:val="00870B70"/>
    <w:rsid w:val="00871F30"/>
    <w:rsid w:val="008748F0"/>
    <w:rsid w:val="00875AC0"/>
    <w:rsid w:val="00877607"/>
    <w:rsid w:val="00877C40"/>
    <w:rsid w:val="008847AC"/>
    <w:rsid w:val="00885C0D"/>
    <w:rsid w:val="008878F7"/>
    <w:rsid w:val="00891D69"/>
    <w:rsid w:val="00894E1F"/>
    <w:rsid w:val="00897FD4"/>
    <w:rsid w:val="008A099C"/>
    <w:rsid w:val="008A0A35"/>
    <w:rsid w:val="008A0DCD"/>
    <w:rsid w:val="008A16B0"/>
    <w:rsid w:val="008A1D5C"/>
    <w:rsid w:val="008A4DD4"/>
    <w:rsid w:val="008A6964"/>
    <w:rsid w:val="008A750A"/>
    <w:rsid w:val="008A799E"/>
    <w:rsid w:val="008B02B8"/>
    <w:rsid w:val="008B0AE5"/>
    <w:rsid w:val="008B3970"/>
    <w:rsid w:val="008B6C0C"/>
    <w:rsid w:val="008B6C88"/>
    <w:rsid w:val="008C0950"/>
    <w:rsid w:val="008C384C"/>
    <w:rsid w:val="008D0D4A"/>
    <w:rsid w:val="008D0F11"/>
    <w:rsid w:val="008D0F86"/>
    <w:rsid w:val="008D22AB"/>
    <w:rsid w:val="008D289E"/>
    <w:rsid w:val="008D2D79"/>
    <w:rsid w:val="008D31EB"/>
    <w:rsid w:val="008D4CFB"/>
    <w:rsid w:val="008D5913"/>
    <w:rsid w:val="008E2178"/>
    <w:rsid w:val="008E2D71"/>
    <w:rsid w:val="008E4511"/>
    <w:rsid w:val="008E6EA3"/>
    <w:rsid w:val="008F1D1B"/>
    <w:rsid w:val="008F276A"/>
    <w:rsid w:val="008F2A67"/>
    <w:rsid w:val="008F4F3B"/>
    <w:rsid w:val="008F73B4"/>
    <w:rsid w:val="00902144"/>
    <w:rsid w:val="00902BD1"/>
    <w:rsid w:val="009035E8"/>
    <w:rsid w:val="009036D5"/>
    <w:rsid w:val="009042C8"/>
    <w:rsid w:val="009044CD"/>
    <w:rsid w:val="00905E04"/>
    <w:rsid w:val="00913448"/>
    <w:rsid w:val="009142EE"/>
    <w:rsid w:val="0092003A"/>
    <w:rsid w:val="0092011D"/>
    <w:rsid w:val="00920CA2"/>
    <w:rsid w:val="009213EA"/>
    <w:rsid w:val="00922B2B"/>
    <w:rsid w:val="00923500"/>
    <w:rsid w:val="00923B99"/>
    <w:rsid w:val="00926987"/>
    <w:rsid w:val="00930321"/>
    <w:rsid w:val="009314C0"/>
    <w:rsid w:val="00937C22"/>
    <w:rsid w:val="009432F4"/>
    <w:rsid w:val="0094557B"/>
    <w:rsid w:val="00947468"/>
    <w:rsid w:val="009526EC"/>
    <w:rsid w:val="0095699E"/>
    <w:rsid w:val="00956AD3"/>
    <w:rsid w:val="00957E3E"/>
    <w:rsid w:val="00957E86"/>
    <w:rsid w:val="00962893"/>
    <w:rsid w:val="00962F89"/>
    <w:rsid w:val="00966785"/>
    <w:rsid w:val="00967184"/>
    <w:rsid w:val="00971374"/>
    <w:rsid w:val="0097161F"/>
    <w:rsid w:val="00971BED"/>
    <w:rsid w:val="00972FCA"/>
    <w:rsid w:val="00975AC3"/>
    <w:rsid w:val="009760C4"/>
    <w:rsid w:val="00976A38"/>
    <w:rsid w:val="00976BA4"/>
    <w:rsid w:val="00977813"/>
    <w:rsid w:val="00977988"/>
    <w:rsid w:val="00980514"/>
    <w:rsid w:val="00980573"/>
    <w:rsid w:val="00985939"/>
    <w:rsid w:val="009860BB"/>
    <w:rsid w:val="0098764B"/>
    <w:rsid w:val="00992705"/>
    <w:rsid w:val="009936DE"/>
    <w:rsid w:val="009942BB"/>
    <w:rsid w:val="009950F5"/>
    <w:rsid w:val="00995C60"/>
    <w:rsid w:val="009A13DC"/>
    <w:rsid w:val="009A18F3"/>
    <w:rsid w:val="009A213D"/>
    <w:rsid w:val="009A2F04"/>
    <w:rsid w:val="009A3C8C"/>
    <w:rsid w:val="009A49E4"/>
    <w:rsid w:val="009A524D"/>
    <w:rsid w:val="009A68C5"/>
    <w:rsid w:val="009B0504"/>
    <w:rsid w:val="009B197C"/>
    <w:rsid w:val="009B296B"/>
    <w:rsid w:val="009B34D2"/>
    <w:rsid w:val="009B393B"/>
    <w:rsid w:val="009B55B1"/>
    <w:rsid w:val="009B5AE0"/>
    <w:rsid w:val="009C1C50"/>
    <w:rsid w:val="009C2F9B"/>
    <w:rsid w:val="009D33FA"/>
    <w:rsid w:val="009D4235"/>
    <w:rsid w:val="009D5E2D"/>
    <w:rsid w:val="009E0284"/>
    <w:rsid w:val="009E107E"/>
    <w:rsid w:val="009E2256"/>
    <w:rsid w:val="009E39C5"/>
    <w:rsid w:val="009E3C1A"/>
    <w:rsid w:val="009E5842"/>
    <w:rsid w:val="009E5C5F"/>
    <w:rsid w:val="009E6C55"/>
    <w:rsid w:val="009E744B"/>
    <w:rsid w:val="009E799E"/>
    <w:rsid w:val="009F2D39"/>
    <w:rsid w:val="009F3429"/>
    <w:rsid w:val="009F6CDC"/>
    <w:rsid w:val="009F7145"/>
    <w:rsid w:val="00A0089C"/>
    <w:rsid w:val="00A009E0"/>
    <w:rsid w:val="00A028E3"/>
    <w:rsid w:val="00A04498"/>
    <w:rsid w:val="00A04ED1"/>
    <w:rsid w:val="00A06192"/>
    <w:rsid w:val="00A061BB"/>
    <w:rsid w:val="00A062D8"/>
    <w:rsid w:val="00A10250"/>
    <w:rsid w:val="00A104CA"/>
    <w:rsid w:val="00A1467E"/>
    <w:rsid w:val="00A14700"/>
    <w:rsid w:val="00A14821"/>
    <w:rsid w:val="00A17EC1"/>
    <w:rsid w:val="00A20C15"/>
    <w:rsid w:val="00A25180"/>
    <w:rsid w:val="00A27875"/>
    <w:rsid w:val="00A27CE4"/>
    <w:rsid w:val="00A302E5"/>
    <w:rsid w:val="00A30DE4"/>
    <w:rsid w:val="00A30EB3"/>
    <w:rsid w:val="00A333F9"/>
    <w:rsid w:val="00A33FC7"/>
    <w:rsid w:val="00A340C2"/>
    <w:rsid w:val="00A37D44"/>
    <w:rsid w:val="00A37E7D"/>
    <w:rsid w:val="00A37FCB"/>
    <w:rsid w:val="00A41333"/>
    <w:rsid w:val="00A42367"/>
    <w:rsid w:val="00A42DDA"/>
    <w:rsid w:val="00A4343D"/>
    <w:rsid w:val="00A4562C"/>
    <w:rsid w:val="00A4704E"/>
    <w:rsid w:val="00A502F1"/>
    <w:rsid w:val="00A54A61"/>
    <w:rsid w:val="00A556C6"/>
    <w:rsid w:val="00A55C57"/>
    <w:rsid w:val="00A5751F"/>
    <w:rsid w:val="00A576A7"/>
    <w:rsid w:val="00A6119E"/>
    <w:rsid w:val="00A617E3"/>
    <w:rsid w:val="00A6288B"/>
    <w:rsid w:val="00A6386D"/>
    <w:rsid w:val="00A64776"/>
    <w:rsid w:val="00A65213"/>
    <w:rsid w:val="00A65D2D"/>
    <w:rsid w:val="00A7056A"/>
    <w:rsid w:val="00A70A83"/>
    <w:rsid w:val="00A7132B"/>
    <w:rsid w:val="00A76366"/>
    <w:rsid w:val="00A77706"/>
    <w:rsid w:val="00A81EB3"/>
    <w:rsid w:val="00A822D3"/>
    <w:rsid w:val="00A83F42"/>
    <w:rsid w:val="00A84C5C"/>
    <w:rsid w:val="00A85474"/>
    <w:rsid w:val="00A92823"/>
    <w:rsid w:val="00A93092"/>
    <w:rsid w:val="00A9312A"/>
    <w:rsid w:val="00A93699"/>
    <w:rsid w:val="00A96D7E"/>
    <w:rsid w:val="00A96FF7"/>
    <w:rsid w:val="00AA110D"/>
    <w:rsid w:val="00AA319A"/>
    <w:rsid w:val="00AA6A9E"/>
    <w:rsid w:val="00AB138F"/>
    <w:rsid w:val="00AB235D"/>
    <w:rsid w:val="00AB2FAD"/>
    <w:rsid w:val="00AB4A5E"/>
    <w:rsid w:val="00AB70DC"/>
    <w:rsid w:val="00AC4F16"/>
    <w:rsid w:val="00AC5C56"/>
    <w:rsid w:val="00AC67B4"/>
    <w:rsid w:val="00AD2DAF"/>
    <w:rsid w:val="00AD38BD"/>
    <w:rsid w:val="00AD6E5F"/>
    <w:rsid w:val="00AD795D"/>
    <w:rsid w:val="00AE0D1A"/>
    <w:rsid w:val="00AE2852"/>
    <w:rsid w:val="00AE4CF1"/>
    <w:rsid w:val="00AE4FE5"/>
    <w:rsid w:val="00AE571F"/>
    <w:rsid w:val="00AF1322"/>
    <w:rsid w:val="00AF2097"/>
    <w:rsid w:val="00AF2FE6"/>
    <w:rsid w:val="00AF4725"/>
    <w:rsid w:val="00AF5F94"/>
    <w:rsid w:val="00B00C1D"/>
    <w:rsid w:val="00B02427"/>
    <w:rsid w:val="00B03B76"/>
    <w:rsid w:val="00B04219"/>
    <w:rsid w:val="00B06019"/>
    <w:rsid w:val="00B06479"/>
    <w:rsid w:val="00B0778D"/>
    <w:rsid w:val="00B109C3"/>
    <w:rsid w:val="00B10B29"/>
    <w:rsid w:val="00B127F4"/>
    <w:rsid w:val="00B151FA"/>
    <w:rsid w:val="00B17252"/>
    <w:rsid w:val="00B20F88"/>
    <w:rsid w:val="00B21879"/>
    <w:rsid w:val="00B22C42"/>
    <w:rsid w:val="00B237C9"/>
    <w:rsid w:val="00B30444"/>
    <w:rsid w:val="00B3538F"/>
    <w:rsid w:val="00B36528"/>
    <w:rsid w:val="00B3761B"/>
    <w:rsid w:val="00B40A31"/>
    <w:rsid w:val="00B41844"/>
    <w:rsid w:val="00B41BA7"/>
    <w:rsid w:val="00B43E73"/>
    <w:rsid w:val="00B4424D"/>
    <w:rsid w:val="00B45D6D"/>
    <w:rsid w:val="00B53773"/>
    <w:rsid w:val="00B53D19"/>
    <w:rsid w:val="00B53EE6"/>
    <w:rsid w:val="00B54737"/>
    <w:rsid w:val="00B54E6D"/>
    <w:rsid w:val="00B632CC"/>
    <w:rsid w:val="00B64437"/>
    <w:rsid w:val="00B65162"/>
    <w:rsid w:val="00B65397"/>
    <w:rsid w:val="00B65CC1"/>
    <w:rsid w:val="00B67008"/>
    <w:rsid w:val="00B71751"/>
    <w:rsid w:val="00B71DA6"/>
    <w:rsid w:val="00B744A4"/>
    <w:rsid w:val="00B744A6"/>
    <w:rsid w:val="00B75D0F"/>
    <w:rsid w:val="00B760EF"/>
    <w:rsid w:val="00B76CED"/>
    <w:rsid w:val="00B8150F"/>
    <w:rsid w:val="00B83FE3"/>
    <w:rsid w:val="00B86D68"/>
    <w:rsid w:val="00B901DB"/>
    <w:rsid w:val="00B90457"/>
    <w:rsid w:val="00B912E9"/>
    <w:rsid w:val="00B91A31"/>
    <w:rsid w:val="00B9235D"/>
    <w:rsid w:val="00B94868"/>
    <w:rsid w:val="00B96FAC"/>
    <w:rsid w:val="00B97BC5"/>
    <w:rsid w:val="00BA12F1"/>
    <w:rsid w:val="00BA1CA7"/>
    <w:rsid w:val="00BA2E15"/>
    <w:rsid w:val="00BA439F"/>
    <w:rsid w:val="00BA53F0"/>
    <w:rsid w:val="00BA5E3E"/>
    <w:rsid w:val="00BA6370"/>
    <w:rsid w:val="00BB025B"/>
    <w:rsid w:val="00BB0A3E"/>
    <w:rsid w:val="00BB0B6A"/>
    <w:rsid w:val="00BB22FD"/>
    <w:rsid w:val="00BB2D58"/>
    <w:rsid w:val="00BB2F6B"/>
    <w:rsid w:val="00BB748A"/>
    <w:rsid w:val="00BB77C3"/>
    <w:rsid w:val="00BB7DBC"/>
    <w:rsid w:val="00BC0252"/>
    <w:rsid w:val="00BC1B93"/>
    <w:rsid w:val="00BC23CE"/>
    <w:rsid w:val="00BC33F6"/>
    <w:rsid w:val="00BC663A"/>
    <w:rsid w:val="00BD5434"/>
    <w:rsid w:val="00BD7D47"/>
    <w:rsid w:val="00BE0446"/>
    <w:rsid w:val="00BE29D8"/>
    <w:rsid w:val="00BE47DB"/>
    <w:rsid w:val="00BE6BC5"/>
    <w:rsid w:val="00BF2EB7"/>
    <w:rsid w:val="00BF3B25"/>
    <w:rsid w:val="00BF522B"/>
    <w:rsid w:val="00BF7BF4"/>
    <w:rsid w:val="00C007D6"/>
    <w:rsid w:val="00C00C7C"/>
    <w:rsid w:val="00C07C92"/>
    <w:rsid w:val="00C10C2F"/>
    <w:rsid w:val="00C11FA8"/>
    <w:rsid w:val="00C1259E"/>
    <w:rsid w:val="00C173CD"/>
    <w:rsid w:val="00C17AFB"/>
    <w:rsid w:val="00C21AC0"/>
    <w:rsid w:val="00C249DB"/>
    <w:rsid w:val="00C24B3E"/>
    <w:rsid w:val="00C269D4"/>
    <w:rsid w:val="00C33D0A"/>
    <w:rsid w:val="00C33FD0"/>
    <w:rsid w:val="00C35250"/>
    <w:rsid w:val="00C40DCF"/>
    <w:rsid w:val="00C4160D"/>
    <w:rsid w:val="00C424FA"/>
    <w:rsid w:val="00C466A4"/>
    <w:rsid w:val="00C504B5"/>
    <w:rsid w:val="00C51785"/>
    <w:rsid w:val="00C53A90"/>
    <w:rsid w:val="00C5417E"/>
    <w:rsid w:val="00C5479C"/>
    <w:rsid w:val="00C54F17"/>
    <w:rsid w:val="00C560F3"/>
    <w:rsid w:val="00C61DCD"/>
    <w:rsid w:val="00C63C50"/>
    <w:rsid w:val="00C65746"/>
    <w:rsid w:val="00C66A51"/>
    <w:rsid w:val="00C70E92"/>
    <w:rsid w:val="00C7120A"/>
    <w:rsid w:val="00C74113"/>
    <w:rsid w:val="00C76503"/>
    <w:rsid w:val="00C76C31"/>
    <w:rsid w:val="00C80CBC"/>
    <w:rsid w:val="00C82A37"/>
    <w:rsid w:val="00C8406E"/>
    <w:rsid w:val="00C903A6"/>
    <w:rsid w:val="00C91657"/>
    <w:rsid w:val="00C963B1"/>
    <w:rsid w:val="00C974C8"/>
    <w:rsid w:val="00CA3369"/>
    <w:rsid w:val="00CA7745"/>
    <w:rsid w:val="00CB131C"/>
    <w:rsid w:val="00CB23BC"/>
    <w:rsid w:val="00CB2709"/>
    <w:rsid w:val="00CB6F89"/>
    <w:rsid w:val="00CC0518"/>
    <w:rsid w:val="00CC2535"/>
    <w:rsid w:val="00CC3DEA"/>
    <w:rsid w:val="00CC6F81"/>
    <w:rsid w:val="00CC7FEC"/>
    <w:rsid w:val="00CD1FD1"/>
    <w:rsid w:val="00CD4D3A"/>
    <w:rsid w:val="00CD61EB"/>
    <w:rsid w:val="00CD7103"/>
    <w:rsid w:val="00CE228C"/>
    <w:rsid w:val="00CE281A"/>
    <w:rsid w:val="00CE5435"/>
    <w:rsid w:val="00CE71D9"/>
    <w:rsid w:val="00CF1BC6"/>
    <w:rsid w:val="00CF3A88"/>
    <w:rsid w:val="00CF545B"/>
    <w:rsid w:val="00CF6D5A"/>
    <w:rsid w:val="00CF72F7"/>
    <w:rsid w:val="00D0010B"/>
    <w:rsid w:val="00D02358"/>
    <w:rsid w:val="00D0251A"/>
    <w:rsid w:val="00D03159"/>
    <w:rsid w:val="00D06C27"/>
    <w:rsid w:val="00D0775E"/>
    <w:rsid w:val="00D07E8F"/>
    <w:rsid w:val="00D10B46"/>
    <w:rsid w:val="00D10DE1"/>
    <w:rsid w:val="00D13627"/>
    <w:rsid w:val="00D145DC"/>
    <w:rsid w:val="00D15C59"/>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6158"/>
    <w:rsid w:val="00D37735"/>
    <w:rsid w:val="00D41780"/>
    <w:rsid w:val="00D448C2"/>
    <w:rsid w:val="00D44E57"/>
    <w:rsid w:val="00D56C7B"/>
    <w:rsid w:val="00D62FEA"/>
    <w:rsid w:val="00D630B3"/>
    <w:rsid w:val="00D64B03"/>
    <w:rsid w:val="00D65AC8"/>
    <w:rsid w:val="00D666C3"/>
    <w:rsid w:val="00D669DF"/>
    <w:rsid w:val="00D6740E"/>
    <w:rsid w:val="00D67AD8"/>
    <w:rsid w:val="00D7019F"/>
    <w:rsid w:val="00D812B3"/>
    <w:rsid w:val="00D81DA8"/>
    <w:rsid w:val="00D83037"/>
    <w:rsid w:val="00D83651"/>
    <w:rsid w:val="00D86C57"/>
    <w:rsid w:val="00D9091F"/>
    <w:rsid w:val="00D929BB"/>
    <w:rsid w:val="00D958ED"/>
    <w:rsid w:val="00D97948"/>
    <w:rsid w:val="00DA37CA"/>
    <w:rsid w:val="00DA38EE"/>
    <w:rsid w:val="00DA543D"/>
    <w:rsid w:val="00DB0128"/>
    <w:rsid w:val="00DB2F68"/>
    <w:rsid w:val="00DB3780"/>
    <w:rsid w:val="00DB449D"/>
    <w:rsid w:val="00DB53EE"/>
    <w:rsid w:val="00DB580A"/>
    <w:rsid w:val="00DC0178"/>
    <w:rsid w:val="00DC11BD"/>
    <w:rsid w:val="00DC4DD2"/>
    <w:rsid w:val="00DC52A6"/>
    <w:rsid w:val="00DC6505"/>
    <w:rsid w:val="00DC664E"/>
    <w:rsid w:val="00DD350E"/>
    <w:rsid w:val="00DD432F"/>
    <w:rsid w:val="00DE3D26"/>
    <w:rsid w:val="00DE5D0F"/>
    <w:rsid w:val="00DE633C"/>
    <w:rsid w:val="00DF06D9"/>
    <w:rsid w:val="00DF0E4C"/>
    <w:rsid w:val="00DF12E6"/>
    <w:rsid w:val="00DF189C"/>
    <w:rsid w:val="00DF1D95"/>
    <w:rsid w:val="00DF47FE"/>
    <w:rsid w:val="00DF4B6B"/>
    <w:rsid w:val="00DF506E"/>
    <w:rsid w:val="00DF6048"/>
    <w:rsid w:val="00DF755F"/>
    <w:rsid w:val="00E0156A"/>
    <w:rsid w:val="00E0426C"/>
    <w:rsid w:val="00E04362"/>
    <w:rsid w:val="00E0464F"/>
    <w:rsid w:val="00E06945"/>
    <w:rsid w:val="00E074A0"/>
    <w:rsid w:val="00E07BEE"/>
    <w:rsid w:val="00E11437"/>
    <w:rsid w:val="00E168B7"/>
    <w:rsid w:val="00E16922"/>
    <w:rsid w:val="00E201DF"/>
    <w:rsid w:val="00E21E40"/>
    <w:rsid w:val="00E221F6"/>
    <w:rsid w:val="00E258C3"/>
    <w:rsid w:val="00E26704"/>
    <w:rsid w:val="00E27168"/>
    <w:rsid w:val="00E30F5F"/>
    <w:rsid w:val="00E3135D"/>
    <w:rsid w:val="00E31980"/>
    <w:rsid w:val="00E323F1"/>
    <w:rsid w:val="00E34375"/>
    <w:rsid w:val="00E34ED2"/>
    <w:rsid w:val="00E35D7A"/>
    <w:rsid w:val="00E4125D"/>
    <w:rsid w:val="00E41D27"/>
    <w:rsid w:val="00E41FA9"/>
    <w:rsid w:val="00E427EC"/>
    <w:rsid w:val="00E43F57"/>
    <w:rsid w:val="00E4574F"/>
    <w:rsid w:val="00E45EC1"/>
    <w:rsid w:val="00E53B96"/>
    <w:rsid w:val="00E54B14"/>
    <w:rsid w:val="00E54B4C"/>
    <w:rsid w:val="00E5593A"/>
    <w:rsid w:val="00E56A1B"/>
    <w:rsid w:val="00E56F00"/>
    <w:rsid w:val="00E57FA0"/>
    <w:rsid w:val="00E6010A"/>
    <w:rsid w:val="00E61F7A"/>
    <w:rsid w:val="00E63013"/>
    <w:rsid w:val="00E6423C"/>
    <w:rsid w:val="00E6457C"/>
    <w:rsid w:val="00E6549B"/>
    <w:rsid w:val="00E66647"/>
    <w:rsid w:val="00E71483"/>
    <w:rsid w:val="00E7206B"/>
    <w:rsid w:val="00E7791E"/>
    <w:rsid w:val="00E802C2"/>
    <w:rsid w:val="00E80AF5"/>
    <w:rsid w:val="00E80D84"/>
    <w:rsid w:val="00E86200"/>
    <w:rsid w:val="00E904BF"/>
    <w:rsid w:val="00E91D50"/>
    <w:rsid w:val="00E93830"/>
    <w:rsid w:val="00E93E0E"/>
    <w:rsid w:val="00E97A20"/>
    <w:rsid w:val="00EA341E"/>
    <w:rsid w:val="00EA3A0A"/>
    <w:rsid w:val="00EB1A25"/>
    <w:rsid w:val="00EB1B14"/>
    <w:rsid w:val="00EB1ED3"/>
    <w:rsid w:val="00EB21E3"/>
    <w:rsid w:val="00EB7978"/>
    <w:rsid w:val="00EC1601"/>
    <w:rsid w:val="00EC5936"/>
    <w:rsid w:val="00ED20DB"/>
    <w:rsid w:val="00ED2D8A"/>
    <w:rsid w:val="00ED63DB"/>
    <w:rsid w:val="00EE0B32"/>
    <w:rsid w:val="00EE10D7"/>
    <w:rsid w:val="00EE2946"/>
    <w:rsid w:val="00EE3468"/>
    <w:rsid w:val="00EE5768"/>
    <w:rsid w:val="00EE6123"/>
    <w:rsid w:val="00EE70B7"/>
    <w:rsid w:val="00EF2782"/>
    <w:rsid w:val="00EF473B"/>
    <w:rsid w:val="00EF6372"/>
    <w:rsid w:val="00EF7B39"/>
    <w:rsid w:val="00EF7EF9"/>
    <w:rsid w:val="00F00492"/>
    <w:rsid w:val="00F007AF"/>
    <w:rsid w:val="00F00B3A"/>
    <w:rsid w:val="00F01437"/>
    <w:rsid w:val="00F02059"/>
    <w:rsid w:val="00F0377B"/>
    <w:rsid w:val="00F03B9D"/>
    <w:rsid w:val="00F03E68"/>
    <w:rsid w:val="00F0505A"/>
    <w:rsid w:val="00F101E1"/>
    <w:rsid w:val="00F14778"/>
    <w:rsid w:val="00F14D68"/>
    <w:rsid w:val="00F16B9D"/>
    <w:rsid w:val="00F21E4D"/>
    <w:rsid w:val="00F23804"/>
    <w:rsid w:val="00F2531E"/>
    <w:rsid w:val="00F25772"/>
    <w:rsid w:val="00F267C9"/>
    <w:rsid w:val="00F314B7"/>
    <w:rsid w:val="00F314BD"/>
    <w:rsid w:val="00F33B47"/>
    <w:rsid w:val="00F342A9"/>
    <w:rsid w:val="00F34DA3"/>
    <w:rsid w:val="00F37771"/>
    <w:rsid w:val="00F37FDE"/>
    <w:rsid w:val="00F411AE"/>
    <w:rsid w:val="00F42F19"/>
    <w:rsid w:val="00F44C3D"/>
    <w:rsid w:val="00F46843"/>
    <w:rsid w:val="00F47F53"/>
    <w:rsid w:val="00F541BC"/>
    <w:rsid w:val="00F551C7"/>
    <w:rsid w:val="00F623D6"/>
    <w:rsid w:val="00F6362B"/>
    <w:rsid w:val="00F66363"/>
    <w:rsid w:val="00F70BDA"/>
    <w:rsid w:val="00F73237"/>
    <w:rsid w:val="00F74351"/>
    <w:rsid w:val="00F76982"/>
    <w:rsid w:val="00F80850"/>
    <w:rsid w:val="00F80C13"/>
    <w:rsid w:val="00F83842"/>
    <w:rsid w:val="00F83B25"/>
    <w:rsid w:val="00F83BEE"/>
    <w:rsid w:val="00F83C49"/>
    <w:rsid w:val="00F83CF5"/>
    <w:rsid w:val="00F85236"/>
    <w:rsid w:val="00F94B70"/>
    <w:rsid w:val="00F974B7"/>
    <w:rsid w:val="00FA0C96"/>
    <w:rsid w:val="00FA1B32"/>
    <w:rsid w:val="00FA4451"/>
    <w:rsid w:val="00FA5D5C"/>
    <w:rsid w:val="00FA67E0"/>
    <w:rsid w:val="00FA6A39"/>
    <w:rsid w:val="00FA750C"/>
    <w:rsid w:val="00FA7EF5"/>
    <w:rsid w:val="00FB1028"/>
    <w:rsid w:val="00FB126B"/>
    <w:rsid w:val="00FB157A"/>
    <w:rsid w:val="00FB1E92"/>
    <w:rsid w:val="00FB400F"/>
    <w:rsid w:val="00FB687C"/>
    <w:rsid w:val="00FB75F2"/>
    <w:rsid w:val="00FC3662"/>
    <w:rsid w:val="00FC3F56"/>
    <w:rsid w:val="00FC43F0"/>
    <w:rsid w:val="00FC45FB"/>
    <w:rsid w:val="00FC54FD"/>
    <w:rsid w:val="00FC5DA3"/>
    <w:rsid w:val="00FC717D"/>
    <w:rsid w:val="00FC7FC2"/>
    <w:rsid w:val="00FD05AF"/>
    <w:rsid w:val="00FD0984"/>
    <w:rsid w:val="00FD15B6"/>
    <w:rsid w:val="00FD1AF6"/>
    <w:rsid w:val="00FD2937"/>
    <w:rsid w:val="00FD3B7F"/>
    <w:rsid w:val="00FD4F6C"/>
    <w:rsid w:val="00FD7502"/>
    <w:rsid w:val="00FD7A9D"/>
    <w:rsid w:val="00FE114D"/>
    <w:rsid w:val="00FE2DCD"/>
    <w:rsid w:val="00FE416D"/>
    <w:rsid w:val="00FE4556"/>
    <w:rsid w:val="00FE4F17"/>
    <w:rsid w:val="00FE54DD"/>
    <w:rsid w:val="00FE5FC9"/>
    <w:rsid w:val="00FE6114"/>
    <w:rsid w:val="00FF0691"/>
    <w:rsid w:val="00FF0E16"/>
    <w:rsid w:val="00FF254D"/>
    <w:rsid w:val="00FF6494"/>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v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 w:type="character" w:styleId="Odkaznakoment">
    <w:name w:val="annotation reference"/>
    <w:uiPriority w:val="99"/>
    <w:semiHidden/>
    <w:unhideWhenUsed/>
    <w:rsid w:val="00BB2F6B"/>
    <w:rPr>
      <w:sz w:val="16"/>
      <w:szCs w:val="16"/>
    </w:rPr>
  </w:style>
  <w:style w:type="paragraph" w:styleId="Textkomente">
    <w:name w:val="annotation text"/>
    <w:basedOn w:val="Normln"/>
    <w:link w:val="TextkomenteChar"/>
    <w:uiPriority w:val="99"/>
    <w:semiHidden/>
    <w:unhideWhenUsed/>
    <w:rsid w:val="00BB2F6B"/>
    <w:rPr>
      <w:szCs w:val="20"/>
    </w:rPr>
  </w:style>
  <w:style w:type="character" w:customStyle="1" w:styleId="TextkomenteChar">
    <w:name w:val="Text komentáře Char"/>
    <w:link w:val="Textkomente"/>
    <w:uiPriority w:val="99"/>
    <w:semiHidden/>
    <w:rsid w:val="00BB2F6B"/>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F6B"/>
    <w:rPr>
      <w:b/>
      <w:bCs/>
    </w:rPr>
  </w:style>
  <w:style w:type="character" w:customStyle="1" w:styleId="PedmtkomenteChar">
    <w:name w:val="Předmět komentáře Char"/>
    <w:link w:val="Pedmtkomente"/>
    <w:uiPriority w:val="99"/>
    <w:semiHidden/>
    <w:rsid w:val="00BB2F6B"/>
    <w:rPr>
      <w:rFonts w:ascii="Arial" w:hAnsi="Arial"/>
      <w:b/>
      <w:bCs/>
      <w:lang w:val="en-GB" w:eastAsia="en-US"/>
    </w:rPr>
  </w:style>
  <w:style w:type="paragraph" w:styleId="Revize">
    <w:name w:val="Revision"/>
    <w:hidden/>
    <w:uiPriority w:val="99"/>
    <w:semiHidden/>
    <w:rsid w:val="00BB2F6B"/>
    <w:rPr>
      <w:rFonts w:ascii="Arial" w:hAnsi="Arial"/>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702">
      <w:bodyDiv w:val="1"/>
      <w:marLeft w:val="0"/>
      <w:marRight w:val="0"/>
      <w:marTop w:val="0"/>
      <w:marBottom w:val="0"/>
      <w:divBdr>
        <w:top w:val="none" w:sz="0" w:space="0" w:color="auto"/>
        <w:left w:val="none" w:sz="0" w:space="0" w:color="auto"/>
        <w:bottom w:val="none" w:sz="0" w:space="0" w:color="auto"/>
        <w:right w:val="none" w:sz="0" w:space="0" w:color="auto"/>
      </w:divBdr>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054161938">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094">
      <w:bodyDiv w:val="1"/>
      <w:marLeft w:val="0"/>
      <w:marRight w:val="0"/>
      <w:marTop w:val="0"/>
      <w:marBottom w:val="0"/>
      <w:divBdr>
        <w:top w:val="none" w:sz="0" w:space="0" w:color="auto"/>
        <w:left w:val="none" w:sz="0" w:space="0" w:color="auto"/>
        <w:bottom w:val="none" w:sz="0" w:space="0" w:color="auto"/>
        <w:right w:val="none" w:sz="0" w:space="0" w:color="auto"/>
      </w:divBdr>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db.czso.cz/vdbvo2/faces/en/index.jsf?page=statistiky&amp;katalog=317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livestock-survey-as-at-1-april-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livestock-slaughtering-may-2017" TargetMode="External"/><Relationship Id="rId4" Type="http://schemas.openxmlformats.org/officeDocument/2006/relationships/settings" Target="settings.xml"/><Relationship Id="rId9" Type="http://schemas.openxmlformats.org/officeDocument/2006/relationships/hyperlink" Target="mailto:jiri.hrb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27DE-7CEA-4678-A8A4-1A8047F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551</TotalTime>
  <Pages>4</Pages>
  <Words>1442</Words>
  <Characters>8512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9935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Markéta Fiedlerová</cp:lastModifiedBy>
  <cp:revision>71</cp:revision>
  <cp:lastPrinted>2017-07-26T07:15:00Z</cp:lastPrinted>
  <dcterms:created xsi:type="dcterms:W3CDTF">2017-07-20T13:08:00Z</dcterms:created>
  <dcterms:modified xsi:type="dcterms:W3CDTF">2017-07-28T08:13:00Z</dcterms:modified>
</cp:coreProperties>
</file>