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830829" w:rsidP="00867569">
      <w:pPr>
        <w:pStyle w:val="Datum"/>
      </w:pPr>
      <w:r>
        <w:t>01.04.201</w:t>
      </w:r>
      <w:r w:rsidR="00634A50">
        <w:t>6</w:t>
      </w:r>
    </w:p>
    <w:p w:rsidR="00830829" w:rsidRDefault="00830829" w:rsidP="008B3970">
      <w:pPr>
        <w:pStyle w:val="Podtitulek"/>
      </w:pPr>
    </w:p>
    <w:p w:rsidR="008B3970" w:rsidRPr="008B3970" w:rsidRDefault="00F566FC" w:rsidP="008A10CA">
      <w:pPr>
        <w:pStyle w:val="Nzev"/>
      </w:pPr>
      <w:r>
        <w:t>N</w:t>
      </w:r>
      <w:r w:rsidR="00830829">
        <w:t>otification of go</w:t>
      </w:r>
      <w:r w:rsidR="00634A50">
        <w:t>vernment deficit and debt - 2015</w:t>
      </w:r>
    </w:p>
    <w:p w:rsidR="008A10CA" w:rsidRDefault="008A10CA" w:rsidP="002F294F">
      <w:pPr>
        <w:pStyle w:val="Perex"/>
      </w:pPr>
    </w:p>
    <w:p w:rsidR="002F294F" w:rsidRPr="008A10CA" w:rsidRDefault="009266AF" w:rsidP="002F294F">
      <w:pPr>
        <w:pStyle w:val="Perex"/>
      </w:pPr>
      <w:r w:rsidRPr="008A10CA">
        <w:t xml:space="preserve">Czech government deficit </w:t>
      </w:r>
      <w:r w:rsidR="00303C52">
        <w:t>at historically low level</w:t>
      </w:r>
      <w:r w:rsidR="002F294F" w:rsidRPr="008A10CA">
        <w:t xml:space="preserve">; government indebtedness </w:t>
      </w:r>
      <w:r w:rsidR="00303C52">
        <w:t>continues to drop</w:t>
      </w:r>
    </w:p>
    <w:p w:rsidR="002F294F" w:rsidRPr="008A10CA" w:rsidRDefault="002C37B6" w:rsidP="002F294F">
      <w:r w:rsidRPr="008A10CA">
        <w:t>In 20</w:t>
      </w:r>
      <w:r w:rsidR="00303C52">
        <w:t>15</w:t>
      </w:r>
      <w:r w:rsidRPr="008A10CA">
        <w:t>, the Czech government deficit</w:t>
      </w:r>
      <w:r w:rsidR="00303C52">
        <w:t xml:space="preserve"> </w:t>
      </w:r>
      <w:r w:rsidR="006D4A8B">
        <w:t xml:space="preserve">has </w:t>
      </w:r>
      <w:r w:rsidR="00303C52">
        <w:t>reached</w:t>
      </w:r>
      <w:r w:rsidRPr="008A10CA">
        <w:t xml:space="preserve"> </w:t>
      </w:r>
      <w:r w:rsidR="00303C52">
        <w:rPr>
          <w:b/>
        </w:rPr>
        <w:t>18</w:t>
      </w:r>
      <w:r w:rsidRPr="008A10CA">
        <w:rPr>
          <w:b/>
        </w:rPr>
        <w:t>.</w:t>
      </w:r>
      <w:r w:rsidR="00067DC7">
        <w:rPr>
          <w:b/>
        </w:rPr>
        <w:t>7</w:t>
      </w:r>
      <w:r w:rsidRPr="008A10CA">
        <w:rPr>
          <w:b/>
        </w:rPr>
        <w:t xml:space="preserve"> billion CZK</w:t>
      </w:r>
      <w:r w:rsidRPr="008A10CA">
        <w:rPr>
          <w:rFonts w:cs="Arial"/>
        </w:rPr>
        <w:t>;</w:t>
      </w:r>
      <w:r w:rsidRPr="008A10CA">
        <w:t xml:space="preserve"> </w:t>
      </w:r>
      <w:r w:rsidR="004A7837" w:rsidRPr="008A10CA">
        <w:t xml:space="preserve">expressed as a percentage of GDP, </w:t>
      </w:r>
      <w:r w:rsidR="00303C52">
        <w:t xml:space="preserve">the </w:t>
      </w:r>
      <w:r w:rsidR="004A7837" w:rsidRPr="008A10CA">
        <w:t xml:space="preserve">government deficit </w:t>
      </w:r>
      <w:r w:rsidR="00344CDE">
        <w:t>is at the level of</w:t>
      </w:r>
      <w:r w:rsidR="00303C52">
        <w:t xml:space="preserve"> </w:t>
      </w:r>
      <w:r w:rsidR="00303C52">
        <w:rPr>
          <w:b/>
        </w:rPr>
        <w:t>0</w:t>
      </w:r>
      <w:r w:rsidR="004A7837" w:rsidRPr="008A10CA">
        <w:rPr>
          <w:b/>
        </w:rPr>
        <w:t>.</w:t>
      </w:r>
      <w:r w:rsidR="00303C52">
        <w:rPr>
          <w:b/>
        </w:rPr>
        <w:t>42</w:t>
      </w:r>
      <w:r w:rsidR="004A7837" w:rsidRPr="008A10CA">
        <w:rPr>
          <w:b/>
        </w:rPr>
        <w:t xml:space="preserve"> percent of GDP</w:t>
      </w:r>
      <w:r w:rsidR="004A7837" w:rsidRPr="008A10CA">
        <w:t xml:space="preserve">, i.e. below the reference rate set by the Maastricht Treaty. Czech government gross debt has reached </w:t>
      </w:r>
      <w:r w:rsidR="004A7837" w:rsidRPr="008A10CA">
        <w:rPr>
          <w:b/>
        </w:rPr>
        <w:t>4</w:t>
      </w:r>
      <w:r w:rsidR="00303C52">
        <w:rPr>
          <w:b/>
        </w:rPr>
        <w:t>1</w:t>
      </w:r>
      <w:r w:rsidR="004A7837" w:rsidRPr="008A10CA">
        <w:rPr>
          <w:b/>
        </w:rPr>
        <w:t>.</w:t>
      </w:r>
      <w:r w:rsidR="00303C52">
        <w:rPr>
          <w:b/>
        </w:rPr>
        <w:t>06</w:t>
      </w:r>
      <w:r w:rsidR="004A7837" w:rsidRPr="008A10CA">
        <w:rPr>
          <w:b/>
        </w:rPr>
        <w:t xml:space="preserve"> percent of GDP</w:t>
      </w:r>
      <w:r w:rsidR="00344CDE">
        <w:t xml:space="preserve"> at the end of 2015</w:t>
      </w:r>
      <w:r w:rsidR="004A7837" w:rsidRPr="008A10CA">
        <w:t xml:space="preserve">. Annual reduction in the level of indebtedness has been driven mainly by </w:t>
      </w:r>
      <w:r w:rsidR="001D766D" w:rsidRPr="008A10CA">
        <w:t>accelerating growth in the nominal GDP</w:t>
      </w:r>
      <w:r w:rsidR="004A7837" w:rsidRPr="008A10CA">
        <w:t>.</w:t>
      </w:r>
      <w:r w:rsidR="00F566FC">
        <w:t xml:space="preserve"> The </w:t>
      </w:r>
      <w:r w:rsidR="0051558E">
        <w:t>figures have</w:t>
      </w:r>
      <w:r w:rsidR="00F566FC">
        <w:t xml:space="preserve"> been sent to Eurostat </w:t>
      </w:r>
      <w:r w:rsidR="0051558E">
        <w:t>in the framework of</w:t>
      </w:r>
      <w:r w:rsidR="00F566FC">
        <w:t xml:space="preserve"> the first notification of government deficit and debt in 201</w:t>
      </w:r>
      <w:r w:rsidR="00067DC7">
        <w:t>6</w:t>
      </w:r>
      <w:r w:rsidR="00F566FC">
        <w:t>.</w:t>
      </w:r>
    </w:p>
    <w:p w:rsidR="00F566FC" w:rsidRDefault="00F566FC" w:rsidP="00B07B5B">
      <w:pPr>
        <w:pStyle w:val="Zkladntext"/>
        <w:tabs>
          <w:tab w:val="left" w:pos="1335"/>
        </w:tabs>
        <w:spacing w:line="276" w:lineRule="auto"/>
        <w:rPr>
          <w:rFonts w:ascii="Arial" w:hAnsi="Arial" w:cs="Arial"/>
          <w:sz w:val="20"/>
          <w:szCs w:val="20"/>
        </w:rPr>
      </w:pPr>
    </w:p>
    <w:p w:rsidR="00B07B5B" w:rsidRPr="00F566FC" w:rsidRDefault="00F566FC" w:rsidP="00B07B5B">
      <w:pPr>
        <w:pStyle w:val="Zkladntext"/>
        <w:tabs>
          <w:tab w:val="left" w:pos="1335"/>
        </w:tabs>
        <w:spacing w:line="276" w:lineRule="auto"/>
        <w:rPr>
          <w:rFonts w:ascii="Arial" w:hAnsi="Arial" w:cs="Arial"/>
          <w:b/>
          <w:sz w:val="20"/>
          <w:szCs w:val="20"/>
        </w:rPr>
      </w:pPr>
      <w:r>
        <w:rPr>
          <w:rFonts w:ascii="Arial" w:hAnsi="Arial" w:cs="Arial"/>
          <w:b/>
          <w:sz w:val="20"/>
          <w:szCs w:val="20"/>
        </w:rPr>
        <w:t>Notification table of government deficit and debt, the Czech Republic, 201</w:t>
      </w:r>
      <w:r w:rsidR="00634A50">
        <w:rPr>
          <w:rFonts w:ascii="Arial" w:hAnsi="Arial" w:cs="Arial"/>
          <w:b/>
          <w:sz w:val="20"/>
          <w:szCs w:val="20"/>
        </w:rPr>
        <w:t>2-2015</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1"/>
        <w:gridCol w:w="969"/>
        <w:gridCol w:w="1042"/>
        <w:gridCol w:w="1042"/>
        <w:gridCol w:w="1042"/>
        <w:gridCol w:w="1088"/>
      </w:tblGrid>
      <w:tr w:rsidR="00B07B5B" w:rsidRPr="00B07B5B" w:rsidTr="008A44AB">
        <w:trPr>
          <w:cantSplit/>
        </w:trPr>
        <w:tc>
          <w:tcPr>
            <w:tcW w:w="3461" w:type="dxa"/>
            <w:vMerge w:val="restart"/>
            <w:vAlign w:val="center"/>
          </w:tcPr>
          <w:p w:rsidR="00B07B5B" w:rsidRPr="00B07B5B" w:rsidRDefault="00B07B5B" w:rsidP="00B07B5B">
            <w:pPr>
              <w:rPr>
                <w:rFonts w:cs="Arial"/>
                <w:szCs w:val="20"/>
              </w:rPr>
            </w:pPr>
          </w:p>
        </w:tc>
        <w:tc>
          <w:tcPr>
            <w:tcW w:w="969" w:type="dxa"/>
            <w:vMerge w:val="restart"/>
            <w:vAlign w:val="center"/>
          </w:tcPr>
          <w:p w:rsidR="00B07B5B" w:rsidRPr="00B07B5B" w:rsidRDefault="00B07B5B" w:rsidP="00B07B5B">
            <w:pPr>
              <w:jc w:val="center"/>
              <w:rPr>
                <w:rFonts w:cs="Arial"/>
                <w:szCs w:val="20"/>
              </w:rPr>
            </w:pPr>
            <w:r w:rsidRPr="00B07B5B">
              <w:rPr>
                <w:rFonts w:cs="Arial"/>
                <w:szCs w:val="20"/>
              </w:rPr>
              <w:t>Unit</w:t>
            </w:r>
          </w:p>
        </w:tc>
        <w:tc>
          <w:tcPr>
            <w:tcW w:w="4214" w:type="dxa"/>
            <w:gridSpan w:val="4"/>
            <w:vAlign w:val="center"/>
          </w:tcPr>
          <w:p w:rsidR="00B07B5B" w:rsidRPr="00B07B5B" w:rsidRDefault="00B07B5B" w:rsidP="00B07B5B">
            <w:pPr>
              <w:jc w:val="center"/>
              <w:rPr>
                <w:rFonts w:cs="Arial"/>
                <w:szCs w:val="20"/>
              </w:rPr>
            </w:pPr>
            <w:r w:rsidRPr="00B07B5B">
              <w:rPr>
                <w:rFonts w:cs="Arial"/>
                <w:szCs w:val="20"/>
              </w:rPr>
              <w:t>Year</w:t>
            </w:r>
          </w:p>
        </w:tc>
      </w:tr>
      <w:tr w:rsidR="00634A50" w:rsidRPr="00B07B5B" w:rsidTr="008A44AB">
        <w:trPr>
          <w:cantSplit/>
        </w:trPr>
        <w:tc>
          <w:tcPr>
            <w:tcW w:w="3461" w:type="dxa"/>
            <w:vMerge/>
            <w:vAlign w:val="center"/>
          </w:tcPr>
          <w:p w:rsidR="00634A50" w:rsidRPr="00B07B5B" w:rsidRDefault="00634A50" w:rsidP="00634A50">
            <w:pPr>
              <w:rPr>
                <w:rFonts w:cs="Arial"/>
                <w:szCs w:val="20"/>
              </w:rPr>
            </w:pPr>
          </w:p>
        </w:tc>
        <w:tc>
          <w:tcPr>
            <w:tcW w:w="969" w:type="dxa"/>
            <w:vMerge/>
            <w:vAlign w:val="center"/>
          </w:tcPr>
          <w:p w:rsidR="00634A50" w:rsidRPr="00B07B5B" w:rsidRDefault="00634A50" w:rsidP="00634A50">
            <w:pPr>
              <w:jc w:val="center"/>
              <w:rPr>
                <w:rFonts w:cs="Arial"/>
                <w:szCs w:val="20"/>
              </w:rPr>
            </w:pPr>
          </w:p>
        </w:tc>
        <w:tc>
          <w:tcPr>
            <w:tcW w:w="1042" w:type="dxa"/>
            <w:vAlign w:val="center"/>
          </w:tcPr>
          <w:p w:rsidR="00634A50" w:rsidRPr="00E155B6" w:rsidRDefault="00634A50" w:rsidP="00634A50">
            <w:pPr>
              <w:jc w:val="center"/>
              <w:rPr>
                <w:rFonts w:cs="Arial"/>
                <w:szCs w:val="20"/>
              </w:rPr>
            </w:pPr>
            <w:r>
              <w:rPr>
                <w:rFonts w:cs="Arial"/>
                <w:szCs w:val="20"/>
              </w:rPr>
              <w:t>2012</w:t>
            </w:r>
          </w:p>
        </w:tc>
        <w:tc>
          <w:tcPr>
            <w:tcW w:w="1042" w:type="dxa"/>
            <w:vAlign w:val="center"/>
          </w:tcPr>
          <w:p w:rsidR="00634A50" w:rsidRPr="00E155B6" w:rsidRDefault="00634A50" w:rsidP="00634A50">
            <w:pPr>
              <w:jc w:val="center"/>
              <w:rPr>
                <w:rFonts w:cs="Arial"/>
                <w:szCs w:val="20"/>
              </w:rPr>
            </w:pPr>
            <w:r>
              <w:rPr>
                <w:rFonts w:cs="Arial"/>
                <w:szCs w:val="20"/>
              </w:rPr>
              <w:t>2013</w:t>
            </w:r>
          </w:p>
        </w:tc>
        <w:tc>
          <w:tcPr>
            <w:tcW w:w="1042" w:type="dxa"/>
            <w:vAlign w:val="center"/>
          </w:tcPr>
          <w:p w:rsidR="00634A50" w:rsidRPr="00E155B6" w:rsidRDefault="00634A50" w:rsidP="00634A50">
            <w:pPr>
              <w:jc w:val="center"/>
              <w:rPr>
                <w:rFonts w:cs="Arial"/>
                <w:szCs w:val="20"/>
              </w:rPr>
            </w:pPr>
            <w:r>
              <w:rPr>
                <w:rFonts w:cs="Arial"/>
                <w:szCs w:val="20"/>
              </w:rPr>
              <w:t>2014</w:t>
            </w:r>
          </w:p>
        </w:tc>
        <w:tc>
          <w:tcPr>
            <w:tcW w:w="1088" w:type="dxa"/>
            <w:vAlign w:val="center"/>
          </w:tcPr>
          <w:p w:rsidR="00634A50" w:rsidRPr="00E155B6" w:rsidRDefault="00634A50" w:rsidP="00634A50">
            <w:pPr>
              <w:jc w:val="center"/>
              <w:rPr>
                <w:rFonts w:cs="Arial"/>
                <w:szCs w:val="20"/>
              </w:rPr>
            </w:pPr>
            <w:r>
              <w:rPr>
                <w:rFonts w:cs="Arial"/>
                <w:szCs w:val="20"/>
              </w:rPr>
              <w:t>2015</w:t>
            </w:r>
          </w:p>
        </w:tc>
      </w:tr>
      <w:tr w:rsidR="00303C52" w:rsidRPr="00B07B5B" w:rsidTr="008A44AB">
        <w:tc>
          <w:tcPr>
            <w:tcW w:w="3461" w:type="dxa"/>
            <w:vAlign w:val="center"/>
          </w:tcPr>
          <w:p w:rsidR="00303C52" w:rsidRPr="00B07B5B" w:rsidRDefault="00303C52" w:rsidP="00634A50">
            <w:pPr>
              <w:rPr>
                <w:rFonts w:cs="Arial"/>
                <w:szCs w:val="20"/>
              </w:rPr>
            </w:pPr>
            <w:r w:rsidRPr="00B07B5B">
              <w:rPr>
                <w:rFonts w:cs="Arial"/>
                <w:szCs w:val="20"/>
              </w:rPr>
              <w:t>Net borrowing (deficit) of general government (in current year)</w:t>
            </w:r>
          </w:p>
        </w:tc>
        <w:tc>
          <w:tcPr>
            <w:tcW w:w="969" w:type="dxa"/>
            <w:vAlign w:val="center"/>
          </w:tcPr>
          <w:p w:rsidR="00303C52" w:rsidRPr="00B07B5B" w:rsidRDefault="00303C52" w:rsidP="00634A50">
            <w:pPr>
              <w:jc w:val="center"/>
              <w:rPr>
                <w:rFonts w:cs="Arial"/>
                <w:szCs w:val="20"/>
              </w:rPr>
            </w:pPr>
            <w:r w:rsidRPr="00B07B5B">
              <w:rPr>
                <w:rFonts w:cs="Arial"/>
                <w:szCs w:val="20"/>
              </w:rPr>
              <w:t>CZK mil.</w:t>
            </w:r>
          </w:p>
        </w:tc>
        <w:tc>
          <w:tcPr>
            <w:tcW w:w="1042" w:type="dxa"/>
            <w:vAlign w:val="center"/>
          </w:tcPr>
          <w:p w:rsidR="00303C52" w:rsidRPr="00E155B6" w:rsidRDefault="00303C52" w:rsidP="004C5A4B">
            <w:pPr>
              <w:jc w:val="center"/>
              <w:rPr>
                <w:rFonts w:cs="Arial"/>
                <w:szCs w:val="20"/>
              </w:rPr>
            </w:pPr>
            <w:r>
              <w:rPr>
                <w:rFonts w:cs="Arial"/>
                <w:szCs w:val="20"/>
              </w:rPr>
              <w:t>-159 552</w:t>
            </w:r>
          </w:p>
        </w:tc>
        <w:tc>
          <w:tcPr>
            <w:tcW w:w="1042" w:type="dxa"/>
            <w:vAlign w:val="center"/>
          </w:tcPr>
          <w:p w:rsidR="00303C52" w:rsidRPr="00E155B6" w:rsidRDefault="00303C52" w:rsidP="004C5A4B">
            <w:pPr>
              <w:jc w:val="center"/>
              <w:rPr>
                <w:rFonts w:cs="Arial"/>
                <w:szCs w:val="20"/>
              </w:rPr>
            </w:pPr>
            <w:r>
              <w:rPr>
                <w:rFonts w:cs="Arial"/>
                <w:szCs w:val="20"/>
              </w:rPr>
              <w:t>-51 129</w:t>
            </w:r>
          </w:p>
        </w:tc>
        <w:tc>
          <w:tcPr>
            <w:tcW w:w="1042" w:type="dxa"/>
            <w:vAlign w:val="center"/>
          </w:tcPr>
          <w:p w:rsidR="00303C52" w:rsidRPr="00E155B6" w:rsidRDefault="00303C52" w:rsidP="004C5A4B">
            <w:pPr>
              <w:jc w:val="center"/>
              <w:rPr>
                <w:rFonts w:cs="Arial"/>
                <w:szCs w:val="20"/>
              </w:rPr>
            </w:pPr>
            <w:r>
              <w:rPr>
                <w:rFonts w:cs="Arial"/>
                <w:szCs w:val="20"/>
              </w:rPr>
              <w:t>-83 063</w:t>
            </w:r>
          </w:p>
        </w:tc>
        <w:tc>
          <w:tcPr>
            <w:tcW w:w="1088" w:type="dxa"/>
            <w:vAlign w:val="center"/>
          </w:tcPr>
          <w:p w:rsidR="00303C52" w:rsidRPr="00E155B6" w:rsidRDefault="00303C52" w:rsidP="00067DC7">
            <w:pPr>
              <w:jc w:val="center"/>
              <w:rPr>
                <w:rFonts w:cs="Arial"/>
                <w:szCs w:val="20"/>
              </w:rPr>
            </w:pPr>
            <w:r>
              <w:rPr>
                <w:rFonts w:cs="Arial"/>
                <w:szCs w:val="20"/>
              </w:rPr>
              <w:t xml:space="preserve">-18 </w:t>
            </w:r>
            <w:r w:rsidR="00067DC7">
              <w:rPr>
                <w:rFonts w:cs="Arial"/>
                <w:szCs w:val="20"/>
              </w:rPr>
              <w:t>682</w:t>
            </w:r>
          </w:p>
        </w:tc>
      </w:tr>
      <w:tr w:rsidR="00303C52" w:rsidRPr="00B07B5B" w:rsidTr="008A44AB">
        <w:tc>
          <w:tcPr>
            <w:tcW w:w="3461" w:type="dxa"/>
            <w:vAlign w:val="center"/>
          </w:tcPr>
          <w:p w:rsidR="00303C52" w:rsidRPr="00B07B5B" w:rsidRDefault="00303C52" w:rsidP="00634A50">
            <w:pPr>
              <w:rPr>
                <w:rFonts w:cs="Arial"/>
                <w:szCs w:val="20"/>
              </w:rPr>
            </w:pPr>
            <w:r w:rsidRPr="00B07B5B">
              <w:rPr>
                <w:rFonts w:cs="Arial"/>
                <w:szCs w:val="20"/>
              </w:rPr>
              <w:t>General government consolidated gross debt (at end of year)</w:t>
            </w:r>
          </w:p>
        </w:tc>
        <w:tc>
          <w:tcPr>
            <w:tcW w:w="969" w:type="dxa"/>
            <w:vAlign w:val="center"/>
          </w:tcPr>
          <w:p w:rsidR="00303C52" w:rsidRPr="00B07B5B" w:rsidRDefault="00303C52" w:rsidP="00634A50">
            <w:pPr>
              <w:jc w:val="center"/>
              <w:rPr>
                <w:rFonts w:cs="Arial"/>
                <w:szCs w:val="20"/>
              </w:rPr>
            </w:pPr>
            <w:r w:rsidRPr="00B07B5B">
              <w:rPr>
                <w:rFonts w:cs="Arial"/>
                <w:szCs w:val="20"/>
              </w:rPr>
              <w:t>CZK mil.</w:t>
            </w:r>
          </w:p>
        </w:tc>
        <w:tc>
          <w:tcPr>
            <w:tcW w:w="1042" w:type="dxa"/>
            <w:vAlign w:val="center"/>
          </w:tcPr>
          <w:p w:rsidR="00303C52" w:rsidRPr="00E155B6" w:rsidRDefault="00303C52" w:rsidP="004C5A4B">
            <w:pPr>
              <w:jc w:val="center"/>
              <w:rPr>
                <w:rFonts w:cs="Arial"/>
                <w:szCs w:val="20"/>
              </w:rPr>
            </w:pPr>
            <w:r>
              <w:rPr>
                <w:rFonts w:cs="Arial"/>
                <w:szCs w:val="20"/>
              </w:rPr>
              <w:t>1 805 429</w:t>
            </w:r>
          </w:p>
        </w:tc>
        <w:tc>
          <w:tcPr>
            <w:tcW w:w="1042" w:type="dxa"/>
            <w:vAlign w:val="center"/>
          </w:tcPr>
          <w:p w:rsidR="00303C52" w:rsidRPr="00E155B6" w:rsidRDefault="00303C52" w:rsidP="004C5A4B">
            <w:pPr>
              <w:jc w:val="center"/>
              <w:rPr>
                <w:rFonts w:cs="Arial"/>
                <w:szCs w:val="20"/>
              </w:rPr>
            </w:pPr>
            <w:r>
              <w:rPr>
                <w:rFonts w:cs="Arial"/>
                <w:szCs w:val="20"/>
              </w:rPr>
              <w:t>1 840 412</w:t>
            </w:r>
          </w:p>
        </w:tc>
        <w:tc>
          <w:tcPr>
            <w:tcW w:w="1042" w:type="dxa"/>
            <w:vAlign w:val="center"/>
          </w:tcPr>
          <w:p w:rsidR="00303C52" w:rsidRPr="00E155B6" w:rsidRDefault="00303C52" w:rsidP="004C5A4B">
            <w:pPr>
              <w:jc w:val="center"/>
              <w:rPr>
                <w:rFonts w:cs="Arial"/>
                <w:szCs w:val="20"/>
              </w:rPr>
            </w:pPr>
            <w:r>
              <w:rPr>
                <w:rFonts w:cs="Arial"/>
                <w:szCs w:val="20"/>
              </w:rPr>
              <w:t>1 819 038</w:t>
            </w:r>
          </w:p>
        </w:tc>
        <w:tc>
          <w:tcPr>
            <w:tcW w:w="1088" w:type="dxa"/>
            <w:vAlign w:val="center"/>
          </w:tcPr>
          <w:p w:rsidR="00303C52" w:rsidRPr="00E155B6" w:rsidRDefault="00303C52" w:rsidP="004C5A4B">
            <w:pPr>
              <w:jc w:val="center"/>
              <w:rPr>
                <w:rFonts w:cs="Arial"/>
                <w:szCs w:val="20"/>
              </w:rPr>
            </w:pPr>
            <w:r>
              <w:rPr>
                <w:rFonts w:cs="Arial"/>
                <w:szCs w:val="20"/>
              </w:rPr>
              <w:t>1 836 166</w:t>
            </w:r>
          </w:p>
        </w:tc>
      </w:tr>
      <w:tr w:rsidR="00303C52" w:rsidRPr="00B07B5B" w:rsidTr="008A44AB">
        <w:tc>
          <w:tcPr>
            <w:tcW w:w="3461" w:type="dxa"/>
            <w:vAlign w:val="center"/>
          </w:tcPr>
          <w:p w:rsidR="00303C52" w:rsidRPr="00B07B5B" w:rsidRDefault="00303C52" w:rsidP="00634A50">
            <w:pPr>
              <w:rPr>
                <w:rFonts w:cs="Arial"/>
                <w:szCs w:val="20"/>
              </w:rPr>
            </w:pPr>
            <w:r w:rsidRPr="00B07B5B">
              <w:rPr>
                <w:rFonts w:cs="Arial"/>
                <w:szCs w:val="20"/>
              </w:rPr>
              <w:t>Gross domestic product (GDP)</w:t>
            </w:r>
          </w:p>
        </w:tc>
        <w:tc>
          <w:tcPr>
            <w:tcW w:w="969" w:type="dxa"/>
            <w:vAlign w:val="center"/>
          </w:tcPr>
          <w:p w:rsidR="00303C52" w:rsidRPr="00B07B5B" w:rsidRDefault="00303C52" w:rsidP="00634A50">
            <w:pPr>
              <w:jc w:val="center"/>
              <w:rPr>
                <w:rFonts w:cs="Arial"/>
                <w:szCs w:val="20"/>
              </w:rPr>
            </w:pPr>
            <w:r w:rsidRPr="00B07B5B">
              <w:rPr>
                <w:rFonts w:cs="Arial"/>
                <w:szCs w:val="20"/>
              </w:rPr>
              <w:t>CZK mil.</w:t>
            </w:r>
          </w:p>
        </w:tc>
        <w:tc>
          <w:tcPr>
            <w:tcW w:w="1042" w:type="dxa"/>
            <w:vAlign w:val="center"/>
          </w:tcPr>
          <w:p w:rsidR="00303C52" w:rsidRPr="00E155B6" w:rsidRDefault="00303C52" w:rsidP="004C5A4B">
            <w:pPr>
              <w:jc w:val="center"/>
              <w:rPr>
                <w:rFonts w:cs="Arial"/>
                <w:szCs w:val="20"/>
              </w:rPr>
            </w:pPr>
            <w:r>
              <w:rPr>
                <w:rFonts w:cs="Arial"/>
                <w:szCs w:val="20"/>
              </w:rPr>
              <w:t>4 041 610</w:t>
            </w:r>
          </w:p>
        </w:tc>
        <w:tc>
          <w:tcPr>
            <w:tcW w:w="1042" w:type="dxa"/>
            <w:vAlign w:val="center"/>
          </w:tcPr>
          <w:p w:rsidR="00303C52" w:rsidRPr="00E155B6" w:rsidRDefault="00303C52" w:rsidP="004C5A4B">
            <w:pPr>
              <w:jc w:val="center"/>
              <w:rPr>
                <w:rFonts w:cs="Arial"/>
                <w:szCs w:val="20"/>
              </w:rPr>
            </w:pPr>
            <w:r>
              <w:rPr>
                <w:rFonts w:cs="Arial"/>
                <w:szCs w:val="20"/>
              </w:rPr>
              <w:t>4 077 109</w:t>
            </w:r>
          </w:p>
        </w:tc>
        <w:tc>
          <w:tcPr>
            <w:tcW w:w="1042" w:type="dxa"/>
            <w:vAlign w:val="center"/>
          </w:tcPr>
          <w:p w:rsidR="00303C52" w:rsidRPr="00E155B6" w:rsidRDefault="00303C52" w:rsidP="004C5A4B">
            <w:pPr>
              <w:jc w:val="center"/>
              <w:rPr>
                <w:rFonts w:cs="Arial"/>
                <w:szCs w:val="20"/>
              </w:rPr>
            </w:pPr>
            <w:r>
              <w:rPr>
                <w:rFonts w:cs="Arial"/>
                <w:szCs w:val="20"/>
              </w:rPr>
              <w:t>4 260 886</w:t>
            </w:r>
          </w:p>
        </w:tc>
        <w:tc>
          <w:tcPr>
            <w:tcW w:w="1088" w:type="dxa"/>
            <w:vAlign w:val="center"/>
          </w:tcPr>
          <w:p w:rsidR="00303C52" w:rsidRPr="00E155B6" w:rsidRDefault="00303C52" w:rsidP="004C5A4B">
            <w:pPr>
              <w:jc w:val="center"/>
              <w:rPr>
                <w:rFonts w:cs="Arial"/>
                <w:szCs w:val="20"/>
              </w:rPr>
            </w:pPr>
            <w:r>
              <w:rPr>
                <w:rFonts w:cs="Arial"/>
                <w:szCs w:val="20"/>
              </w:rPr>
              <w:t>4 472 324</w:t>
            </w:r>
          </w:p>
        </w:tc>
      </w:tr>
      <w:tr w:rsidR="00303C52" w:rsidRPr="00B07B5B" w:rsidTr="008A44AB">
        <w:tc>
          <w:tcPr>
            <w:tcW w:w="3461" w:type="dxa"/>
            <w:vAlign w:val="center"/>
          </w:tcPr>
          <w:p w:rsidR="00303C52" w:rsidRPr="00B07B5B" w:rsidRDefault="00303C52" w:rsidP="00634A50">
            <w:pPr>
              <w:rPr>
                <w:rFonts w:cs="Arial"/>
                <w:szCs w:val="20"/>
              </w:rPr>
            </w:pPr>
            <w:r w:rsidRPr="00B07B5B">
              <w:rPr>
                <w:rFonts w:cs="Arial"/>
                <w:szCs w:val="20"/>
              </w:rPr>
              <w:t>General government deficit in % of GDP</w:t>
            </w:r>
          </w:p>
        </w:tc>
        <w:tc>
          <w:tcPr>
            <w:tcW w:w="969" w:type="dxa"/>
            <w:vAlign w:val="center"/>
          </w:tcPr>
          <w:p w:rsidR="00303C52" w:rsidRPr="00B07B5B" w:rsidRDefault="00303C52" w:rsidP="00634A50">
            <w:pPr>
              <w:jc w:val="center"/>
              <w:rPr>
                <w:rFonts w:cs="Arial"/>
                <w:szCs w:val="20"/>
              </w:rPr>
            </w:pPr>
            <w:r w:rsidRPr="00B07B5B">
              <w:rPr>
                <w:rFonts w:cs="Arial"/>
                <w:szCs w:val="20"/>
              </w:rPr>
              <w:t>%</w:t>
            </w:r>
          </w:p>
        </w:tc>
        <w:tc>
          <w:tcPr>
            <w:tcW w:w="1042" w:type="dxa"/>
            <w:vAlign w:val="center"/>
          </w:tcPr>
          <w:p w:rsidR="00303C52" w:rsidRPr="00E155B6" w:rsidRDefault="00303C52" w:rsidP="00067DC7">
            <w:pPr>
              <w:jc w:val="center"/>
              <w:rPr>
                <w:rFonts w:cs="Arial"/>
                <w:szCs w:val="20"/>
              </w:rPr>
            </w:pPr>
            <w:r>
              <w:rPr>
                <w:rFonts w:cs="Arial"/>
                <w:szCs w:val="20"/>
              </w:rPr>
              <w:t>-3</w:t>
            </w:r>
            <w:r w:rsidR="00067DC7">
              <w:rPr>
                <w:rFonts w:cs="Arial"/>
                <w:szCs w:val="20"/>
              </w:rPr>
              <w:t>.</w:t>
            </w:r>
            <w:r>
              <w:rPr>
                <w:rFonts w:cs="Arial"/>
                <w:szCs w:val="20"/>
              </w:rPr>
              <w:t>95</w:t>
            </w:r>
          </w:p>
        </w:tc>
        <w:tc>
          <w:tcPr>
            <w:tcW w:w="1042" w:type="dxa"/>
            <w:vAlign w:val="center"/>
          </w:tcPr>
          <w:p w:rsidR="00303C52" w:rsidRPr="00E155B6" w:rsidRDefault="00303C52" w:rsidP="00067DC7">
            <w:pPr>
              <w:jc w:val="center"/>
              <w:rPr>
                <w:rFonts w:cs="Arial"/>
                <w:szCs w:val="20"/>
              </w:rPr>
            </w:pPr>
            <w:r>
              <w:rPr>
                <w:rFonts w:cs="Arial"/>
                <w:szCs w:val="20"/>
              </w:rPr>
              <w:t>-1</w:t>
            </w:r>
            <w:r w:rsidR="00067DC7">
              <w:rPr>
                <w:rFonts w:cs="Arial"/>
                <w:szCs w:val="20"/>
              </w:rPr>
              <w:t>.</w:t>
            </w:r>
            <w:r>
              <w:rPr>
                <w:rFonts w:cs="Arial"/>
                <w:szCs w:val="20"/>
              </w:rPr>
              <w:t>25</w:t>
            </w:r>
          </w:p>
        </w:tc>
        <w:tc>
          <w:tcPr>
            <w:tcW w:w="1042" w:type="dxa"/>
            <w:vAlign w:val="center"/>
          </w:tcPr>
          <w:p w:rsidR="00303C52" w:rsidRPr="00E155B6" w:rsidRDefault="00303C52" w:rsidP="00067DC7">
            <w:pPr>
              <w:jc w:val="center"/>
              <w:rPr>
                <w:rFonts w:cs="Arial"/>
                <w:szCs w:val="20"/>
              </w:rPr>
            </w:pPr>
            <w:r>
              <w:rPr>
                <w:rFonts w:cs="Arial"/>
                <w:szCs w:val="20"/>
              </w:rPr>
              <w:t>-1</w:t>
            </w:r>
            <w:r w:rsidR="00067DC7">
              <w:rPr>
                <w:rFonts w:cs="Arial"/>
                <w:szCs w:val="20"/>
              </w:rPr>
              <w:t>.</w:t>
            </w:r>
            <w:r>
              <w:rPr>
                <w:rFonts w:cs="Arial"/>
                <w:szCs w:val="20"/>
              </w:rPr>
              <w:t>95</w:t>
            </w:r>
          </w:p>
        </w:tc>
        <w:tc>
          <w:tcPr>
            <w:tcW w:w="1088" w:type="dxa"/>
            <w:vAlign w:val="center"/>
          </w:tcPr>
          <w:p w:rsidR="00303C52" w:rsidRPr="00E155B6" w:rsidRDefault="00303C52" w:rsidP="00067DC7">
            <w:pPr>
              <w:jc w:val="center"/>
              <w:rPr>
                <w:rFonts w:cs="Arial"/>
                <w:szCs w:val="20"/>
              </w:rPr>
            </w:pPr>
            <w:r>
              <w:rPr>
                <w:rFonts w:cs="Arial"/>
                <w:szCs w:val="20"/>
              </w:rPr>
              <w:t>-0</w:t>
            </w:r>
            <w:r w:rsidR="00067DC7">
              <w:rPr>
                <w:rFonts w:cs="Arial"/>
                <w:szCs w:val="20"/>
              </w:rPr>
              <w:t>.</w:t>
            </w:r>
            <w:r>
              <w:rPr>
                <w:rFonts w:cs="Arial"/>
                <w:szCs w:val="20"/>
              </w:rPr>
              <w:t>42</w:t>
            </w:r>
          </w:p>
        </w:tc>
      </w:tr>
      <w:tr w:rsidR="00303C52" w:rsidRPr="00B07B5B" w:rsidTr="008A44AB">
        <w:tc>
          <w:tcPr>
            <w:tcW w:w="3461" w:type="dxa"/>
            <w:vAlign w:val="center"/>
          </w:tcPr>
          <w:p w:rsidR="00303C52" w:rsidRPr="00B07B5B" w:rsidRDefault="00303C52" w:rsidP="00634A50">
            <w:pPr>
              <w:rPr>
                <w:rFonts w:cs="Arial"/>
                <w:szCs w:val="20"/>
              </w:rPr>
            </w:pPr>
            <w:r w:rsidRPr="00B07B5B">
              <w:rPr>
                <w:rFonts w:cs="Arial"/>
                <w:szCs w:val="20"/>
              </w:rPr>
              <w:t xml:space="preserve">General government debt in % of GDP </w:t>
            </w:r>
          </w:p>
        </w:tc>
        <w:tc>
          <w:tcPr>
            <w:tcW w:w="969" w:type="dxa"/>
            <w:vAlign w:val="center"/>
          </w:tcPr>
          <w:p w:rsidR="00303C52" w:rsidRPr="00B07B5B" w:rsidRDefault="00303C52" w:rsidP="00634A50">
            <w:pPr>
              <w:jc w:val="center"/>
              <w:rPr>
                <w:rFonts w:cs="Arial"/>
                <w:szCs w:val="20"/>
              </w:rPr>
            </w:pPr>
            <w:r w:rsidRPr="00B07B5B">
              <w:rPr>
                <w:rFonts w:cs="Arial"/>
                <w:szCs w:val="20"/>
              </w:rPr>
              <w:t>%</w:t>
            </w:r>
          </w:p>
        </w:tc>
        <w:tc>
          <w:tcPr>
            <w:tcW w:w="1042" w:type="dxa"/>
            <w:vAlign w:val="center"/>
          </w:tcPr>
          <w:p w:rsidR="00303C52" w:rsidRPr="00E155B6" w:rsidRDefault="00303C52" w:rsidP="00067DC7">
            <w:pPr>
              <w:jc w:val="center"/>
              <w:rPr>
                <w:rFonts w:cs="Arial"/>
                <w:szCs w:val="20"/>
              </w:rPr>
            </w:pPr>
            <w:r>
              <w:rPr>
                <w:rFonts w:cs="Arial"/>
                <w:szCs w:val="20"/>
              </w:rPr>
              <w:t>44</w:t>
            </w:r>
            <w:r w:rsidR="00067DC7">
              <w:rPr>
                <w:rFonts w:cs="Arial"/>
                <w:szCs w:val="20"/>
              </w:rPr>
              <w:t>.</w:t>
            </w:r>
            <w:r>
              <w:rPr>
                <w:rFonts w:cs="Arial"/>
                <w:szCs w:val="20"/>
              </w:rPr>
              <w:t>67</w:t>
            </w:r>
          </w:p>
        </w:tc>
        <w:tc>
          <w:tcPr>
            <w:tcW w:w="1042" w:type="dxa"/>
            <w:vAlign w:val="center"/>
          </w:tcPr>
          <w:p w:rsidR="00303C52" w:rsidRPr="00E155B6" w:rsidRDefault="00303C52" w:rsidP="00067DC7">
            <w:pPr>
              <w:jc w:val="center"/>
              <w:rPr>
                <w:rFonts w:cs="Arial"/>
                <w:szCs w:val="20"/>
              </w:rPr>
            </w:pPr>
            <w:r>
              <w:rPr>
                <w:rFonts w:cs="Arial"/>
                <w:szCs w:val="20"/>
              </w:rPr>
              <w:t>45</w:t>
            </w:r>
            <w:r w:rsidR="00067DC7">
              <w:rPr>
                <w:rFonts w:cs="Arial"/>
                <w:szCs w:val="20"/>
              </w:rPr>
              <w:t>.</w:t>
            </w:r>
            <w:r>
              <w:rPr>
                <w:rFonts w:cs="Arial"/>
                <w:szCs w:val="20"/>
              </w:rPr>
              <w:t>14</w:t>
            </w:r>
          </w:p>
        </w:tc>
        <w:tc>
          <w:tcPr>
            <w:tcW w:w="1042" w:type="dxa"/>
            <w:vAlign w:val="center"/>
          </w:tcPr>
          <w:p w:rsidR="00303C52" w:rsidRPr="00E155B6" w:rsidRDefault="00303C52" w:rsidP="00067DC7">
            <w:pPr>
              <w:jc w:val="center"/>
              <w:rPr>
                <w:rFonts w:cs="Arial"/>
                <w:szCs w:val="20"/>
              </w:rPr>
            </w:pPr>
            <w:r>
              <w:rPr>
                <w:rFonts w:cs="Arial"/>
                <w:szCs w:val="20"/>
              </w:rPr>
              <w:t>42</w:t>
            </w:r>
            <w:r w:rsidR="00067DC7">
              <w:rPr>
                <w:rFonts w:cs="Arial"/>
                <w:szCs w:val="20"/>
              </w:rPr>
              <w:t>.</w:t>
            </w:r>
            <w:r>
              <w:rPr>
                <w:rFonts w:cs="Arial"/>
                <w:szCs w:val="20"/>
              </w:rPr>
              <w:t>69</w:t>
            </w:r>
          </w:p>
        </w:tc>
        <w:tc>
          <w:tcPr>
            <w:tcW w:w="1088" w:type="dxa"/>
            <w:vAlign w:val="center"/>
          </w:tcPr>
          <w:p w:rsidR="00303C52" w:rsidRPr="00E155B6" w:rsidRDefault="00303C52" w:rsidP="00067DC7">
            <w:pPr>
              <w:jc w:val="center"/>
              <w:rPr>
                <w:rFonts w:cs="Arial"/>
                <w:szCs w:val="20"/>
              </w:rPr>
            </w:pPr>
            <w:r>
              <w:rPr>
                <w:rFonts w:cs="Arial"/>
                <w:szCs w:val="20"/>
              </w:rPr>
              <w:t>41</w:t>
            </w:r>
            <w:r w:rsidR="00067DC7">
              <w:rPr>
                <w:rFonts w:cs="Arial"/>
                <w:szCs w:val="20"/>
              </w:rPr>
              <w:t>.</w:t>
            </w:r>
            <w:r>
              <w:rPr>
                <w:rFonts w:cs="Arial"/>
                <w:szCs w:val="20"/>
              </w:rPr>
              <w:t>06</w:t>
            </w:r>
          </w:p>
        </w:tc>
      </w:tr>
    </w:tbl>
    <w:p w:rsidR="00B07B5B" w:rsidRPr="00B07B5B" w:rsidRDefault="00B07B5B" w:rsidP="00B07B5B">
      <w:pPr>
        <w:pStyle w:val="Zkladntext"/>
        <w:spacing w:line="276" w:lineRule="auto"/>
        <w:rPr>
          <w:rFonts w:ascii="Arial" w:hAnsi="Arial" w:cs="Arial"/>
          <w:sz w:val="20"/>
          <w:szCs w:val="20"/>
        </w:rPr>
      </w:pPr>
    </w:p>
    <w:p w:rsidR="006D4A8B" w:rsidRDefault="006D4A8B" w:rsidP="00B07B5B">
      <w:pPr>
        <w:rPr>
          <w:rFonts w:cs="Arial"/>
          <w:szCs w:val="20"/>
        </w:rPr>
      </w:pPr>
      <w:r>
        <w:rPr>
          <w:rFonts w:cs="Arial"/>
          <w:szCs w:val="20"/>
        </w:rPr>
        <w:t xml:space="preserve">Total expenditures of the general government sector have grown by 4.6 percent annually while total revenues have risen sharply by 8.5 percent. On the revenue side, the most significant growth has been recorded in the form of subsidies received from abroad (by 84 percent), taxes on production and imports (9 percent) and social contributions (5 percent). </w:t>
      </w:r>
      <w:r w:rsidR="008F5B70">
        <w:rPr>
          <w:rFonts w:cs="Arial"/>
          <w:szCs w:val="20"/>
        </w:rPr>
        <w:t xml:space="preserve">Annual growth in total expenditures has been caused mainly by rising amount of gross fixed capital formation </w:t>
      </w:r>
      <w:r w:rsidR="00F70B1E">
        <w:rPr>
          <w:rFonts w:cs="Arial"/>
          <w:szCs w:val="20"/>
        </w:rPr>
        <w:t xml:space="preserve">expenditures </w:t>
      </w:r>
      <w:r w:rsidR="008F5B70">
        <w:rPr>
          <w:rFonts w:cs="Arial"/>
          <w:szCs w:val="20"/>
        </w:rPr>
        <w:t>(by 30 percent), further by compensations of employees (5 percent), intermediate consumption (</w:t>
      </w:r>
      <w:r w:rsidR="00067DC7">
        <w:rPr>
          <w:rFonts w:cs="Arial"/>
          <w:szCs w:val="20"/>
        </w:rPr>
        <w:t>4</w:t>
      </w:r>
      <w:r w:rsidR="008F5B70">
        <w:rPr>
          <w:rFonts w:cs="Arial"/>
          <w:szCs w:val="20"/>
        </w:rPr>
        <w:t xml:space="preserve"> percent) and social benefits (2 percent). In line with the development on the financial markets, </w:t>
      </w:r>
      <w:r w:rsidR="00F70B1E">
        <w:rPr>
          <w:rFonts w:cs="Arial"/>
          <w:szCs w:val="20"/>
        </w:rPr>
        <w:t xml:space="preserve">the </w:t>
      </w:r>
      <w:r w:rsidR="008F5B70">
        <w:rPr>
          <w:rFonts w:cs="Arial"/>
          <w:szCs w:val="20"/>
        </w:rPr>
        <w:t xml:space="preserve">interest expenditures of the general government sector </w:t>
      </w:r>
      <w:r w:rsidR="00B73F13">
        <w:rPr>
          <w:rFonts w:cs="Arial"/>
          <w:szCs w:val="20"/>
        </w:rPr>
        <w:t>have</w:t>
      </w:r>
      <w:r w:rsidR="008F5B70">
        <w:rPr>
          <w:rFonts w:cs="Arial"/>
          <w:szCs w:val="20"/>
        </w:rPr>
        <w:t xml:space="preserve"> fallen by 14 percent reducing total amount of expenditures.</w:t>
      </w:r>
    </w:p>
    <w:p w:rsidR="006D4A8B" w:rsidRDefault="006D4A8B" w:rsidP="00B07B5B">
      <w:pPr>
        <w:rPr>
          <w:rFonts w:cs="Arial"/>
          <w:szCs w:val="20"/>
        </w:rPr>
      </w:pPr>
    </w:p>
    <w:p w:rsidR="00B07B5B" w:rsidRPr="00B07B5B" w:rsidRDefault="008F5B70" w:rsidP="00B07B5B">
      <w:pPr>
        <w:rPr>
          <w:rFonts w:cs="Arial"/>
          <w:szCs w:val="20"/>
        </w:rPr>
      </w:pPr>
      <w:r>
        <w:rPr>
          <w:rFonts w:cs="Arial"/>
          <w:szCs w:val="20"/>
        </w:rPr>
        <w:t xml:space="preserve">At the level of individual subsectors, the deficit has been significantly reduced in </w:t>
      </w:r>
      <w:r w:rsidR="00344CDE">
        <w:rPr>
          <w:rFonts w:cs="Arial"/>
          <w:szCs w:val="20"/>
        </w:rPr>
        <w:t xml:space="preserve">the </w:t>
      </w:r>
      <w:r>
        <w:rPr>
          <w:rFonts w:cs="Arial"/>
          <w:szCs w:val="20"/>
        </w:rPr>
        <w:t>case of the central government institutions</w:t>
      </w:r>
      <w:r w:rsidR="008917B1">
        <w:rPr>
          <w:rFonts w:cs="Arial"/>
          <w:szCs w:val="20"/>
        </w:rPr>
        <w:t xml:space="preserve">, </w:t>
      </w:r>
      <w:r w:rsidR="00F70B1E">
        <w:rPr>
          <w:rFonts w:cs="Arial"/>
          <w:szCs w:val="20"/>
        </w:rPr>
        <w:t xml:space="preserve">concretely </w:t>
      </w:r>
      <w:r>
        <w:rPr>
          <w:rFonts w:cs="Arial"/>
          <w:szCs w:val="20"/>
        </w:rPr>
        <w:t xml:space="preserve">from CZK </w:t>
      </w:r>
      <w:r w:rsidR="00067DC7">
        <w:rPr>
          <w:rFonts w:cs="Arial"/>
          <w:szCs w:val="20"/>
        </w:rPr>
        <w:t>-</w:t>
      </w:r>
      <w:r>
        <w:rPr>
          <w:rFonts w:cs="Arial"/>
          <w:szCs w:val="20"/>
        </w:rPr>
        <w:t xml:space="preserve">88 mil. to </w:t>
      </w:r>
      <w:r w:rsidR="00067DC7">
        <w:rPr>
          <w:rFonts w:cs="Arial"/>
          <w:szCs w:val="20"/>
        </w:rPr>
        <w:t>-</w:t>
      </w:r>
      <w:r>
        <w:rPr>
          <w:rFonts w:cs="Arial"/>
          <w:szCs w:val="20"/>
        </w:rPr>
        <w:t>4</w:t>
      </w:r>
      <w:r w:rsidR="00067DC7">
        <w:rPr>
          <w:rFonts w:cs="Arial"/>
          <w:szCs w:val="20"/>
        </w:rPr>
        <w:t>5</w:t>
      </w:r>
      <w:r>
        <w:rPr>
          <w:rFonts w:cs="Arial"/>
          <w:szCs w:val="20"/>
        </w:rPr>
        <w:t xml:space="preserve"> mil. Especially intensive drawdown of the EU funds and balance of government units carrying out financial activities both account for the reduction in deficit </w:t>
      </w:r>
      <w:r w:rsidR="008917B1">
        <w:rPr>
          <w:rFonts w:cs="Arial"/>
          <w:szCs w:val="20"/>
        </w:rPr>
        <w:t>at</w:t>
      </w:r>
      <w:r>
        <w:rPr>
          <w:rFonts w:cs="Arial"/>
          <w:szCs w:val="20"/>
        </w:rPr>
        <w:t xml:space="preserve"> the central government</w:t>
      </w:r>
      <w:r w:rsidR="008917B1">
        <w:rPr>
          <w:rFonts w:cs="Arial"/>
          <w:szCs w:val="20"/>
        </w:rPr>
        <w:t xml:space="preserve"> level</w:t>
      </w:r>
      <w:r>
        <w:rPr>
          <w:rFonts w:cs="Arial"/>
          <w:szCs w:val="20"/>
        </w:rPr>
        <w:t xml:space="preserve">. Surplus has been reached at </w:t>
      </w:r>
      <w:r>
        <w:rPr>
          <w:rFonts w:cs="Arial"/>
          <w:szCs w:val="20"/>
        </w:rPr>
        <w:lastRenderedPageBreak/>
        <w:t>the level of local government institutions</w:t>
      </w:r>
      <w:r w:rsidR="008917B1">
        <w:rPr>
          <w:rFonts w:cs="Arial"/>
          <w:szCs w:val="20"/>
        </w:rPr>
        <w:t xml:space="preserve"> (CZK 23 mil.) </w:t>
      </w:r>
      <w:r w:rsidR="00B73F13">
        <w:rPr>
          <w:rFonts w:cs="Arial"/>
          <w:szCs w:val="20"/>
        </w:rPr>
        <w:t xml:space="preserve">as well as </w:t>
      </w:r>
      <w:r>
        <w:rPr>
          <w:rFonts w:cs="Arial"/>
          <w:szCs w:val="20"/>
        </w:rPr>
        <w:t>health-insurance companies</w:t>
      </w:r>
      <w:r w:rsidR="008917B1">
        <w:rPr>
          <w:rFonts w:cs="Arial"/>
          <w:szCs w:val="20"/>
        </w:rPr>
        <w:t xml:space="preserve"> (CZK 2 mil.)</w:t>
      </w:r>
      <w:r>
        <w:rPr>
          <w:rFonts w:cs="Arial"/>
          <w:szCs w:val="20"/>
        </w:rPr>
        <w:t>.</w:t>
      </w:r>
    </w:p>
    <w:p w:rsidR="004A7837" w:rsidRDefault="004A7837" w:rsidP="004A7837">
      <w:pPr>
        <w:rPr>
          <w:rFonts w:cs="Arial"/>
          <w:szCs w:val="20"/>
        </w:rPr>
      </w:pPr>
    </w:p>
    <w:p w:rsidR="008374BE" w:rsidRDefault="00663A94" w:rsidP="008374BE">
      <w:pPr>
        <w:rPr>
          <w:rFonts w:cs="Arial"/>
          <w:szCs w:val="20"/>
        </w:rPr>
      </w:pPr>
      <w:r>
        <w:rPr>
          <w:rFonts w:cs="Arial"/>
          <w:szCs w:val="20"/>
        </w:rPr>
        <w:t>At the end of 201</w:t>
      </w:r>
      <w:r w:rsidR="00B73F13">
        <w:rPr>
          <w:rFonts w:cs="Arial"/>
          <w:szCs w:val="20"/>
        </w:rPr>
        <w:t>5</w:t>
      </w:r>
      <w:r>
        <w:rPr>
          <w:rFonts w:cs="Arial"/>
          <w:szCs w:val="20"/>
        </w:rPr>
        <w:t xml:space="preserve">, the Czech government gross debt has reached the level of </w:t>
      </w:r>
      <w:r w:rsidR="00B73F13">
        <w:rPr>
          <w:rFonts w:cs="Arial"/>
          <w:szCs w:val="20"/>
        </w:rPr>
        <w:t>41</w:t>
      </w:r>
      <w:r>
        <w:rPr>
          <w:rFonts w:cs="Arial"/>
          <w:szCs w:val="20"/>
        </w:rPr>
        <w:t>.</w:t>
      </w:r>
      <w:r w:rsidR="00B73F13">
        <w:rPr>
          <w:rFonts w:cs="Arial"/>
          <w:szCs w:val="20"/>
        </w:rPr>
        <w:t>06</w:t>
      </w:r>
      <w:r>
        <w:rPr>
          <w:rFonts w:cs="Arial"/>
          <w:szCs w:val="20"/>
        </w:rPr>
        <w:t xml:space="preserve"> percent of GDP. Compared </w:t>
      </w:r>
      <w:r w:rsidR="00F70B1E">
        <w:rPr>
          <w:rFonts w:cs="Arial"/>
          <w:szCs w:val="20"/>
        </w:rPr>
        <w:t>to</w:t>
      </w:r>
      <w:r>
        <w:rPr>
          <w:rFonts w:cs="Arial"/>
          <w:szCs w:val="20"/>
        </w:rPr>
        <w:t xml:space="preserve"> the previous year, the level of indebtedness has been reduced by </w:t>
      </w:r>
      <w:r w:rsidR="00B73F13">
        <w:rPr>
          <w:rFonts w:cs="Arial"/>
          <w:szCs w:val="20"/>
        </w:rPr>
        <w:t>1</w:t>
      </w:r>
      <w:r>
        <w:rPr>
          <w:rFonts w:cs="Arial"/>
          <w:szCs w:val="20"/>
        </w:rPr>
        <w:t>.</w:t>
      </w:r>
      <w:r w:rsidR="00B73F13">
        <w:rPr>
          <w:rFonts w:cs="Arial"/>
          <w:szCs w:val="20"/>
        </w:rPr>
        <w:t>63</w:t>
      </w:r>
      <w:r>
        <w:rPr>
          <w:rFonts w:cs="Arial"/>
          <w:szCs w:val="20"/>
        </w:rPr>
        <w:t xml:space="preserve"> percentage points. The reduction has been driven mainly by accelerating growth in nom</w:t>
      </w:r>
      <w:r w:rsidR="008374BE">
        <w:rPr>
          <w:rFonts w:cs="Arial"/>
          <w:szCs w:val="20"/>
        </w:rPr>
        <w:t xml:space="preserve">inal GDP </w:t>
      </w:r>
      <w:r w:rsidR="00B73F13">
        <w:rPr>
          <w:rFonts w:cs="Arial"/>
          <w:szCs w:val="20"/>
        </w:rPr>
        <w:t xml:space="preserve">contributing to the reduction of indebtedness by more than 2 percentage points. Growing nominal level of debt has been caused solely by changes in the amount of bonds issued by government units. </w:t>
      </w:r>
    </w:p>
    <w:p w:rsidR="00B73F13" w:rsidRDefault="00B73F13" w:rsidP="004A7837">
      <w:pPr>
        <w:rPr>
          <w:rFonts w:cs="Arial"/>
          <w:szCs w:val="20"/>
        </w:rPr>
      </w:pPr>
    </w:p>
    <w:p w:rsidR="00634A50" w:rsidRDefault="00634A50" w:rsidP="004A7837">
      <w:pPr>
        <w:rPr>
          <w:rFonts w:cs="Arial"/>
          <w:szCs w:val="20"/>
        </w:rPr>
      </w:pPr>
      <w:r>
        <w:rPr>
          <w:rFonts w:cs="Arial"/>
          <w:szCs w:val="20"/>
        </w:rPr>
        <w:t xml:space="preserve">Compared to </w:t>
      </w:r>
      <w:r w:rsidR="00067DC7">
        <w:rPr>
          <w:rFonts w:cs="Arial"/>
          <w:szCs w:val="20"/>
        </w:rPr>
        <w:t>data</w:t>
      </w:r>
      <w:r>
        <w:rPr>
          <w:rFonts w:cs="Arial"/>
          <w:szCs w:val="20"/>
        </w:rPr>
        <w:t xml:space="preserve"> published in </w:t>
      </w:r>
      <w:r w:rsidR="00067DC7">
        <w:rPr>
          <w:rFonts w:cs="Arial"/>
          <w:szCs w:val="20"/>
        </w:rPr>
        <w:t>October 2015</w:t>
      </w:r>
      <w:r>
        <w:rPr>
          <w:rFonts w:cs="Arial"/>
          <w:szCs w:val="20"/>
        </w:rPr>
        <w:t xml:space="preserve">, currently released indicators cover also </w:t>
      </w:r>
      <w:r w:rsidR="00344CDE">
        <w:rPr>
          <w:rFonts w:cs="Arial"/>
          <w:szCs w:val="20"/>
        </w:rPr>
        <w:t xml:space="preserve">the </w:t>
      </w:r>
      <w:r>
        <w:rPr>
          <w:rFonts w:cs="Arial"/>
          <w:szCs w:val="20"/>
        </w:rPr>
        <w:t xml:space="preserve">economic results of public </w:t>
      </w:r>
      <w:r w:rsidR="0053303D">
        <w:rPr>
          <w:rFonts w:cs="Arial"/>
          <w:szCs w:val="20"/>
        </w:rPr>
        <w:t xml:space="preserve">service </w:t>
      </w:r>
      <w:r>
        <w:rPr>
          <w:rFonts w:cs="Arial"/>
          <w:szCs w:val="20"/>
        </w:rPr>
        <w:t xml:space="preserve">media. Public </w:t>
      </w:r>
      <w:r w:rsidR="0053303D">
        <w:rPr>
          <w:rFonts w:cs="Arial"/>
          <w:szCs w:val="20"/>
        </w:rPr>
        <w:t xml:space="preserve">service </w:t>
      </w:r>
      <w:r>
        <w:rPr>
          <w:rFonts w:cs="Arial"/>
          <w:szCs w:val="20"/>
        </w:rPr>
        <w:t xml:space="preserve">media </w:t>
      </w:r>
      <w:r w:rsidR="0053303D">
        <w:rPr>
          <w:rFonts w:cs="Arial"/>
          <w:szCs w:val="20"/>
        </w:rPr>
        <w:t>have</w:t>
      </w:r>
      <w:r>
        <w:rPr>
          <w:rFonts w:cs="Arial"/>
          <w:szCs w:val="20"/>
        </w:rPr>
        <w:t xml:space="preserve"> been reclassified into general government sector following the revised methodology described in the Manual on government deficit and debt. More detailed information on changes in the sector delimitation </w:t>
      </w:r>
      <w:r w:rsidR="00EA0F51">
        <w:rPr>
          <w:rFonts w:cs="Arial"/>
          <w:szCs w:val="20"/>
        </w:rPr>
        <w:t>reflected</w:t>
      </w:r>
      <w:bookmarkStart w:id="0" w:name="_GoBack"/>
      <w:bookmarkEnd w:id="0"/>
      <w:r>
        <w:rPr>
          <w:rFonts w:cs="Arial"/>
          <w:szCs w:val="20"/>
        </w:rPr>
        <w:t xml:space="preserve"> in the second notification in 2015 and </w:t>
      </w:r>
      <w:r w:rsidR="00283EE1">
        <w:rPr>
          <w:rFonts w:cs="Arial"/>
          <w:szCs w:val="20"/>
        </w:rPr>
        <w:t>the recent</w:t>
      </w:r>
      <w:r>
        <w:rPr>
          <w:rFonts w:cs="Arial"/>
          <w:szCs w:val="20"/>
        </w:rPr>
        <w:t xml:space="preserve"> notification can be found on the web in the section “Business register” (the Czech version only).</w:t>
      </w:r>
    </w:p>
    <w:p w:rsidR="00B07B5B" w:rsidRDefault="00B07B5B" w:rsidP="00B07B5B">
      <w:pPr>
        <w:rPr>
          <w:rFonts w:cs="Arial"/>
          <w:szCs w:val="20"/>
        </w:rPr>
      </w:pPr>
    </w:p>
    <w:p w:rsidR="00AF182A" w:rsidRDefault="00EA0F51" w:rsidP="00AF182A">
      <w:pPr>
        <w:pStyle w:val="Zkladntext2"/>
        <w:spacing w:line="276" w:lineRule="auto"/>
        <w:rPr>
          <w:rFonts w:cs="Arial"/>
          <w:szCs w:val="20"/>
        </w:rPr>
      </w:pPr>
      <w:r>
        <w:rPr>
          <w:rFonts w:cs="Arial"/>
          <w:noProof/>
          <w:szCs w:val="20"/>
        </w:rPr>
        <w:pict>
          <v:shapetype id="_x0000_t32" coordsize="21600,21600" o:spt="32" o:oned="t" path="m,l21600,21600e" filled="f">
            <v:path arrowok="t" fillok="f" o:connecttype="none"/>
            <o:lock v:ext="edit" shapetype="t"/>
          </v:shapetype>
          <v:shape id="_x0000_s1026" type="#_x0000_t32" style="position:absolute;left:0;text-align:left;margin-left:68.75pt;margin-top:5.65pt;width:302.5pt;height:0;z-index:251659264" o:connectortype="straight"/>
        </w:pict>
      </w:r>
    </w:p>
    <w:p w:rsidR="00AF182A" w:rsidRPr="008D4312" w:rsidRDefault="00AF182A" w:rsidP="00B07B5B">
      <w:pPr>
        <w:rPr>
          <w:rFonts w:cs="Arial"/>
          <w:szCs w:val="20"/>
        </w:rPr>
      </w:pPr>
    </w:p>
    <w:p w:rsidR="009266AF" w:rsidRPr="008D4312" w:rsidRDefault="009266AF" w:rsidP="009266AF">
      <w:pPr>
        <w:pStyle w:val="Zkladntext"/>
        <w:spacing w:line="276" w:lineRule="auto"/>
        <w:rPr>
          <w:rFonts w:ascii="Arial" w:hAnsi="Arial" w:cs="Arial"/>
          <w:sz w:val="20"/>
          <w:szCs w:val="20"/>
        </w:rPr>
      </w:pPr>
      <w:r w:rsidRPr="008D4312">
        <w:rPr>
          <w:rFonts w:ascii="Arial" w:hAnsi="Arial" w:cs="Arial"/>
          <w:sz w:val="20"/>
          <w:szCs w:val="20"/>
        </w:rPr>
        <w:t xml:space="preserve">Notification of government deficit and debt is compiled for past four years and submitted to the European Commission by each Member State of the EU at the end of September and March each year under the terms of the Maastricht treaty, including a projection for the current year. Starting from September 2014, quantification of the aggregates is based on the methodology ESA 2010. Pursuant to the Maastricht </w:t>
      </w:r>
      <w:r w:rsidR="00B73F13">
        <w:rPr>
          <w:rFonts w:ascii="Arial" w:hAnsi="Arial" w:cs="Arial"/>
          <w:sz w:val="20"/>
          <w:szCs w:val="20"/>
        </w:rPr>
        <w:t>Treaty</w:t>
      </w:r>
      <w:r w:rsidRPr="008D4312">
        <w:rPr>
          <w:rFonts w:ascii="Arial" w:hAnsi="Arial" w:cs="Arial"/>
          <w:sz w:val="20"/>
          <w:szCs w:val="20"/>
        </w:rPr>
        <w:t xml:space="preserve">, </w:t>
      </w:r>
      <w:r w:rsidR="00B73F13">
        <w:rPr>
          <w:rFonts w:ascii="Arial" w:hAnsi="Arial" w:cs="Arial"/>
          <w:sz w:val="20"/>
          <w:szCs w:val="20"/>
        </w:rPr>
        <w:t>the reference value</w:t>
      </w:r>
      <w:r w:rsidRPr="008D4312">
        <w:rPr>
          <w:rFonts w:ascii="Arial" w:hAnsi="Arial" w:cs="Arial"/>
          <w:sz w:val="20"/>
          <w:szCs w:val="20"/>
        </w:rPr>
        <w:t xml:space="preserve"> for </w:t>
      </w:r>
      <w:r w:rsidR="00B73F13">
        <w:rPr>
          <w:rFonts w:ascii="Arial" w:hAnsi="Arial" w:cs="Arial"/>
          <w:sz w:val="20"/>
          <w:szCs w:val="20"/>
        </w:rPr>
        <w:t xml:space="preserve">fiscal indicators of deficit is set at the level of </w:t>
      </w:r>
      <w:r w:rsidRPr="008D4312">
        <w:rPr>
          <w:rFonts w:ascii="Arial" w:hAnsi="Arial" w:cs="Arial"/>
          <w:sz w:val="20"/>
          <w:szCs w:val="20"/>
        </w:rPr>
        <w:t>3</w:t>
      </w:r>
      <w:r w:rsidR="00B73F13">
        <w:rPr>
          <w:rFonts w:ascii="Arial" w:hAnsi="Arial" w:cs="Arial"/>
          <w:sz w:val="20"/>
          <w:szCs w:val="20"/>
        </w:rPr>
        <w:t xml:space="preserve"> percent of GDP</w:t>
      </w:r>
      <w:r w:rsidRPr="008D4312">
        <w:rPr>
          <w:rFonts w:ascii="Arial" w:hAnsi="Arial" w:cs="Arial"/>
          <w:sz w:val="20"/>
          <w:szCs w:val="20"/>
        </w:rPr>
        <w:t xml:space="preserve"> and </w:t>
      </w:r>
      <w:r w:rsidR="00B73F13">
        <w:rPr>
          <w:rFonts w:ascii="Arial" w:hAnsi="Arial" w:cs="Arial"/>
          <w:sz w:val="20"/>
          <w:szCs w:val="20"/>
        </w:rPr>
        <w:t>for</w:t>
      </w:r>
      <w:r w:rsidRPr="008D4312">
        <w:rPr>
          <w:rFonts w:ascii="Arial" w:hAnsi="Arial" w:cs="Arial"/>
          <w:sz w:val="20"/>
          <w:szCs w:val="20"/>
        </w:rPr>
        <w:t xml:space="preserve"> debt </w:t>
      </w:r>
      <w:r w:rsidR="00B73F13">
        <w:rPr>
          <w:rFonts w:ascii="Arial" w:hAnsi="Arial" w:cs="Arial"/>
          <w:sz w:val="20"/>
          <w:szCs w:val="20"/>
        </w:rPr>
        <w:t xml:space="preserve">at the level of </w:t>
      </w:r>
      <w:r w:rsidRPr="008D4312">
        <w:rPr>
          <w:rFonts w:ascii="Arial" w:hAnsi="Arial" w:cs="Arial"/>
          <w:sz w:val="20"/>
          <w:szCs w:val="20"/>
        </w:rPr>
        <w:t>60</w:t>
      </w:r>
      <w:r w:rsidR="00B73F13">
        <w:rPr>
          <w:rFonts w:ascii="Arial" w:hAnsi="Arial" w:cs="Arial"/>
          <w:sz w:val="20"/>
          <w:szCs w:val="20"/>
        </w:rPr>
        <w:t xml:space="preserve"> percent</w:t>
      </w:r>
      <w:r w:rsidRPr="008D4312">
        <w:rPr>
          <w:rFonts w:ascii="Arial" w:hAnsi="Arial" w:cs="Arial"/>
          <w:sz w:val="20"/>
          <w:szCs w:val="20"/>
        </w:rPr>
        <w:t xml:space="preserve"> of GDP</w:t>
      </w:r>
      <w:r w:rsidR="00B73F13">
        <w:rPr>
          <w:rFonts w:ascii="Arial" w:hAnsi="Arial" w:cs="Arial"/>
          <w:sz w:val="20"/>
          <w:szCs w:val="20"/>
        </w:rPr>
        <w:t xml:space="preserve"> whereas GDP is valued at </w:t>
      </w:r>
      <w:r w:rsidR="00F70B1E">
        <w:rPr>
          <w:rFonts w:ascii="Arial" w:hAnsi="Arial" w:cs="Arial"/>
          <w:sz w:val="20"/>
          <w:szCs w:val="20"/>
        </w:rPr>
        <w:t xml:space="preserve">current </w:t>
      </w:r>
      <w:r w:rsidR="00B73F13">
        <w:rPr>
          <w:rFonts w:ascii="Arial" w:hAnsi="Arial" w:cs="Arial"/>
          <w:sz w:val="20"/>
          <w:szCs w:val="20"/>
        </w:rPr>
        <w:t>market prices</w:t>
      </w:r>
      <w:r w:rsidRPr="008D4312">
        <w:rPr>
          <w:rFonts w:ascii="Arial" w:hAnsi="Arial" w:cs="Arial"/>
          <w:sz w:val="20"/>
          <w:szCs w:val="20"/>
        </w:rPr>
        <w:t>. The projection of government deficit and debt for the year 2015 is prepared by the Ministry of Finance of the Czech Republic.</w:t>
      </w:r>
    </w:p>
    <w:p w:rsidR="009266AF" w:rsidRPr="008D4312" w:rsidRDefault="009266AF" w:rsidP="009266AF">
      <w:pPr>
        <w:pStyle w:val="Zkladntext"/>
        <w:spacing w:line="276" w:lineRule="auto"/>
        <w:rPr>
          <w:rFonts w:ascii="Arial" w:hAnsi="Arial" w:cs="Arial"/>
          <w:sz w:val="20"/>
          <w:szCs w:val="20"/>
        </w:rPr>
      </w:pPr>
    </w:p>
    <w:p w:rsidR="009266AF" w:rsidRPr="008374BE" w:rsidRDefault="009266AF" w:rsidP="009266AF">
      <w:pPr>
        <w:pStyle w:val="Zkladntext"/>
        <w:spacing w:line="276" w:lineRule="auto"/>
        <w:rPr>
          <w:rFonts w:ascii="Arial" w:hAnsi="Arial" w:cs="Arial"/>
          <w:sz w:val="20"/>
          <w:szCs w:val="20"/>
        </w:rPr>
      </w:pPr>
      <w:r w:rsidRPr="008374BE">
        <w:rPr>
          <w:rFonts w:ascii="Arial" w:hAnsi="Arial" w:cs="Arial"/>
          <w:sz w:val="20"/>
          <w:szCs w:val="20"/>
          <w:u w:val="single"/>
        </w:rPr>
        <w:t>Government surplus/deficit</w:t>
      </w:r>
      <w:r w:rsidRPr="008374BE">
        <w:rPr>
          <w:rFonts w:ascii="Arial" w:hAnsi="Arial" w:cs="Arial"/>
          <w:sz w:val="20"/>
          <w:szCs w:val="20"/>
        </w:rPr>
        <w:t xml:space="preserve"> is represented by item B.9 “net borrowing (-) or net lending (+)” in national accounts. It refers to the ability of general government sector to finance other sectors (+) or the need of general government sector to be financed (-) by other economic sectors.</w:t>
      </w:r>
    </w:p>
    <w:p w:rsidR="009266AF" w:rsidRPr="00B07B5B" w:rsidRDefault="009266AF" w:rsidP="009266AF">
      <w:pPr>
        <w:pStyle w:val="Zkladntext"/>
        <w:spacing w:line="276" w:lineRule="auto"/>
        <w:rPr>
          <w:rFonts w:ascii="Arial" w:hAnsi="Arial" w:cs="Arial"/>
          <w:sz w:val="20"/>
          <w:szCs w:val="20"/>
        </w:rPr>
      </w:pPr>
      <w:r w:rsidRPr="008374BE">
        <w:rPr>
          <w:rFonts w:ascii="Arial" w:hAnsi="Arial" w:cs="Arial"/>
          <w:sz w:val="20"/>
          <w:szCs w:val="20"/>
          <w:u w:val="single"/>
        </w:rPr>
        <w:t>Government debt</w:t>
      </w:r>
      <w:r w:rsidRPr="008374BE">
        <w:rPr>
          <w:rFonts w:ascii="Arial" w:hAnsi="Arial" w:cs="Arial"/>
          <w:sz w:val="20"/>
          <w:szCs w:val="20"/>
        </w:rPr>
        <w:t xml:space="preserve"> consists of liabilities of general government sector in form of currency and deposits, debt securities and loans. In case of foreign exchange debt instruments hedged against currency risk, value in CZK is obtained by means of contractual exchange rate.</w:t>
      </w:r>
    </w:p>
    <w:p w:rsidR="009266AF" w:rsidRDefault="009266AF" w:rsidP="00043BF4"/>
    <w:p w:rsidR="004A7837" w:rsidRDefault="004A7837" w:rsidP="00043BF4">
      <w:r w:rsidRPr="00B07B5B">
        <w:rPr>
          <w:rFonts w:cs="Arial"/>
          <w:szCs w:val="20"/>
        </w:rPr>
        <w:t xml:space="preserve">Indicators mentioned in the table were transmitted to Eurostat </w:t>
      </w:r>
      <w:r w:rsidRPr="00B07B5B">
        <w:rPr>
          <w:rStyle w:val="hps"/>
          <w:rFonts w:cs="Arial"/>
          <w:color w:val="333333"/>
          <w:szCs w:val="20"/>
        </w:rPr>
        <w:t>at the end of March</w:t>
      </w:r>
      <w:r w:rsidRPr="00B07B5B">
        <w:rPr>
          <w:rFonts w:cs="Arial"/>
          <w:szCs w:val="20"/>
        </w:rPr>
        <w:t xml:space="preserve"> 201</w:t>
      </w:r>
      <w:r>
        <w:rPr>
          <w:rFonts w:cs="Arial"/>
          <w:szCs w:val="20"/>
        </w:rPr>
        <w:t>4</w:t>
      </w:r>
      <w:r w:rsidRPr="00B07B5B">
        <w:rPr>
          <w:rFonts w:cs="Arial"/>
          <w:szCs w:val="20"/>
        </w:rPr>
        <w:t>.</w:t>
      </w:r>
    </w:p>
    <w:p w:rsidR="00830829" w:rsidRDefault="00830829" w:rsidP="00830829">
      <w:pPr>
        <w:pStyle w:val="Poznmky0"/>
      </w:pPr>
      <w:r>
        <w:t>Notices:</w:t>
      </w:r>
    </w:p>
    <w:p w:rsidR="00830829" w:rsidRDefault="00830829" w:rsidP="00830829">
      <w:pPr>
        <w:rPr>
          <w:i/>
          <w:iCs/>
        </w:rPr>
      </w:pPr>
      <w:r>
        <w:rPr>
          <w:i/>
          <w:iCs/>
        </w:rPr>
        <w:t>Responsible manager</w:t>
      </w:r>
      <w:r w:rsidRPr="00F665DC">
        <w:rPr>
          <w:i/>
          <w:iCs/>
        </w:rPr>
        <w:t xml:space="preserve">: </w:t>
      </w:r>
      <w:r>
        <w:rPr>
          <w:i/>
          <w:iCs/>
        </w:rPr>
        <w:t>Vaclav Rybacek, Ph.D.</w:t>
      </w:r>
      <w:r w:rsidRPr="00F665DC">
        <w:rPr>
          <w:i/>
          <w:iCs/>
        </w:rPr>
        <w:t>, tel.: 274052</w:t>
      </w:r>
      <w:r>
        <w:rPr>
          <w:i/>
          <w:iCs/>
        </w:rPr>
        <w:t>5</w:t>
      </w:r>
      <w:r w:rsidRPr="00F665DC">
        <w:rPr>
          <w:i/>
          <w:iCs/>
        </w:rPr>
        <w:t>9</w:t>
      </w:r>
      <w:r>
        <w:rPr>
          <w:i/>
          <w:iCs/>
        </w:rPr>
        <w:t>6</w:t>
      </w:r>
      <w:r w:rsidRPr="00F665DC">
        <w:rPr>
          <w:i/>
          <w:iCs/>
        </w:rPr>
        <w:t xml:space="preserve">, e-mail: </w:t>
      </w:r>
      <w:hyperlink r:id="rId8" w:history="1">
        <w:r w:rsidRPr="000249DE">
          <w:rPr>
            <w:rStyle w:val="Hypertextovodkaz"/>
            <w:i/>
            <w:iCs/>
          </w:rPr>
          <w:t>vaclav.rybacek@czso.cz</w:t>
        </w:r>
      </w:hyperlink>
      <w:r w:rsidRPr="00F665DC">
        <w:br/>
      </w:r>
      <w:r>
        <w:rPr>
          <w:i/>
          <w:iCs/>
        </w:rPr>
        <w:t>Contact person</w:t>
      </w:r>
      <w:r w:rsidRPr="00F665DC">
        <w:rPr>
          <w:i/>
          <w:iCs/>
        </w:rPr>
        <w:t xml:space="preserve">: </w:t>
      </w:r>
      <w:r>
        <w:rPr>
          <w:i/>
          <w:iCs/>
        </w:rPr>
        <w:t>Marie Trejbalova</w:t>
      </w:r>
      <w:r w:rsidRPr="00F665DC">
        <w:rPr>
          <w:i/>
          <w:iCs/>
        </w:rPr>
        <w:t xml:space="preserve">, tel.: 274054069, e-mail: </w:t>
      </w:r>
      <w:hyperlink r:id="rId9" w:history="1">
        <w:r w:rsidRPr="000249DE">
          <w:rPr>
            <w:rStyle w:val="Hypertextovodkaz"/>
            <w:i/>
            <w:iCs/>
          </w:rPr>
          <w:t>marie.trejbalova@czso.cz</w:t>
        </w:r>
      </w:hyperlink>
      <w:r w:rsidRPr="00F665DC">
        <w:br/>
      </w:r>
      <w:r w:rsidR="00B07B5B">
        <w:rPr>
          <w:i/>
          <w:iCs/>
        </w:rPr>
        <w:t>Coming</w:t>
      </w:r>
      <w:r>
        <w:rPr>
          <w:i/>
          <w:iCs/>
        </w:rPr>
        <w:t xml:space="preserve"> News Release </w:t>
      </w:r>
      <w:r w:rsidRPr="00F665DC">
        <w:rPr>
          <w:i/>
          <w:iCs/>
        </w:rPr>
        <w:t xml:space="preserve">: </w:t>
      </w:r>
      <w:r w:rsidR="00634A50">
        <w:rPr>
          <w:i/>
          <w:iCs/>
        </w:rPr>
        <w:t>3</w:t>
      </w:r>
      <w:r w:rsidRPr="00F665DC">
        <w:rPr>
          <w:i/>
          <w:iCs/>
        </w:rPr>
        <w:t xml:space="preserve">. </w:t>
      </w:r>
      <w:r>
        <w:rPr>
          <w:i/>
          <w:iCs/>
        </w:rPr>
        <w:t>10. 201</w:t>
      </w:r>
      <w:r w:rsidR="00634A50">
        <w:rPr>
          <w:i/>
          <w:iCs/>
        </w:rPr>
        <w:t>6</w:t>
      </w:r>
    </w:p>
    <w:p w:rsidR="00830829" w:rsidRDefault="00830829" w:rsidP="00830829">
      <w:pPr>
        <w:rPr>
          <w:i/>
          <w:iCs/>
        </w:rPr>
      </w:pPr>
    </w:p>
    <w:p w:rsidR="00D209A7" w:rsidRPr="004920AD" w:rsidRDefault="00830829" w:rsidP="00830829">
      <w:r>
        <w:t>This press release was not edited for language.</w:t>
      </w:r>
    </w:p>
    <w:sectPr w:rsidR="00D209A7" w:rsidRPr="004920AD"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28" w:rsidRDefault="00D73F28" w:rsidP="00BA6370">
      <w:r>
        <w:separator/>
      </w:r>
    </w:p>
  </w:endnote>
  <w:endnote w:type="continuationSeparator" w:id="0">
    <w:p w:rsidR="00D73F28" w:rsidRDefault="00D73F2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EA0F51">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13242C" w:rsidRPr="007E75DE">
                  <w:rPr>
                    <w:rFonts w:cs="Arial"/>
                    <w:szCs w:val="15"/>
                  </w:rPr>
                  <w:fldChar w:fldCharType="begin"/>
                </w:r>
                <w:r w:rsidRPr="007E75DE">
                  <w:rPr>
                    <w:rFonts w:cs="Arial"/>
                    <w:szCs w:val="15"/>
                  </w:rPr>
                  <w:instrText xml:space="preserve"> PAGE   \* MERGEFORMAT </w:instrText>
                </w:r>
                <w:r w:rsidR="0013242C" w:rsidRPr="007E75DE">
                  <w:rPr>
                    <w:rFonts w:cs="Arial"/>
                    <w:szCs w:val="15"/>
                  </w:rPr>
                  <w:fldChar w:fldCharType="separate"/>
                </w:r>
                <w:r w:rsidR="00EA0F51">
                  <w:rPr>
                    <w:rFonts w:cs="Arial"/>
                    <w:noProof/>
                    <w:szCs w:val="15"/>
                  </w:rPr>
                  <w:t>2</w:t>
                </w:r>
                <w:r w:rsidR="0013242C"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28" w:rsidRDefault="00D73F28" w:rsidP="00BA6370">
      <w:r>
        <w:separator/>
      </w:r>
    </w:p>
  </w:footnote>
  <w:footnote w:type="continuationSeparator" w:id="0">
    <w:p w:rsidR="00D73F28" w:rsidRDefault="00D73F28"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EA0F51">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829"/>
    <w:rsid w:val="00043BF4"/>
    <w:rsid w:val="00067DC7"/>
    <w:rsid w:val="000843A5"/>
    <w:rsid w:val="00091722"/>
    <w:rsid w:val="000B6F63"/>
    <w:rsid w:val="000F47E8"/>
    <w:rsid w:val="00116ED1"/>
    <w:rsid w:val="0013242C"/>
    <w:rsid w:val="001404AB"/>
    <w:rsid w:val="0017231D"/>
    <w:rsid w:val="00176E26"/>
    <w:rsid w:val="0018061F"/>
    <w:rsid w:val="001810DC"/>
    <w:rsid w:val="001B607F"/>
    <w:rsid w:val="001C71FD"/>
    <w:rsid w:val="001D369A"/>
    <w:rsid w:val="001D766D"/>
    <w:rsid w:val="001F08B3"/>
    <w:rsid w:val="002070FB"/>
    <w:rsid w:val="00213729"/>
    <w:rsid w:val="002406FA"/>
    <w:rsid w:val="00283EE1"/>
    <w:rsid w:val="002A2103"/>
    <w:rsid w:val="002B2E47"/>
    <w:rsid w:val="002C37B6"/>
    <w:rsid w:val="002D37F5"/>
    <w:rsid w:val="002F294F"/>
    <w:rsid w:val="00303C52"/>
    <w:rsid w:val="00314D8F"/>
    <w:rsid w:val="0032398D"/>
    <w:rsid w:val="003301A3"/>
    <w:rsid w:val="00336F0F"/>
    <w:rsid w:val="00344CDE"/>
    <w:rsid w:val="0036777B"/>
    <w:rsid w:val="00380178"/>
    <w:rsid w:val="0038282A"/>
    <w:rsid w:val="00397580"/>
    <w:rsid w:val="003A45C8"/>
    <w:rsid w:val="003B7F42"/>
    <w:rsid w:val="003C2DCF"/>
    <w:rsid w:val="003C3372"/>
    <w:rsid w:val="003C7FE7"/>
    <w:rsid w:val="003D0499"/>
    <w:rsid w:val="003D3576"/>
    <w:rsid w:val="003F26A7"/>
    <w:rsid w:val="003F526A"/>
    <w:rsid w:val="00405244"/>
    <w:rsid w:val="00436D82"/>
    <w:rsid w:val="004436EE"/>
    <w:rsid w:val="00447361"/>
    <w:rsid w:val="004507E3"/>
    <w:rsid w:val="0045547F"/>
    <w:rsid w:val="00491EA1"/>
    <w:rsid w:val="004920AD"/>
    <w:rsid w:val="004A7837"/>
    <w:rsid w:val="004D05B3"/>
    <w:rsid w:val="004E479E"/>
    <w:rsid w:val="004F78E6"/>
    <w:rsid w:val="00512D99"/>
    <w:rsid w:val="0051558E"/>
    <w:rsid w:val="00531DBB"/>
    <w:rsid w:val="0053303D"/>
    <w:rsid w:val="00564213"/>
    <w:rsid w:val="005F79FB"/>
    <w:rsid w:val="00604406"/>
    <w:rsid w:val="00605F4A"/>
    <w:rsid w:val="00607822"/>
    <w:rsid w:val="006103AA"/>
    <w:rsid w:val="00613BBF"/>
    <w:rsid w:val="00622B80"/>
    <w:rsid w:val="00634A50"/>
    <w:rsid w:val="0064139A"/>
    <w:rsid w:val="00663A94"/>
    <w:rsid w:val="006D4A8B"/>
    <w:rsid w:val="006D5C60"/>
    <w:rsid w:val="006E024F"/>
    <w:rsid w:val="006E4E81"/>
    <w:rsid w:val="00707F7D"/>
    <w:rsid w:val="00717EC5"/>
    <w:rsid w:val="00755D8B"/>
    <w:rsid w:val="00763787"/>
    <w:rsid w:val="007A0CA5"/>
    <w:rsid w:val="007A57F2"/>
    <w:rsid w:val="007B1333"/>
    <w:rsid w:val="007F4AEB"/>
    <w:rsid w:val="007F75B2"/>
    <w:rsid w:val="008043C4"/>
    <w:rsid w:val="00830829"/>
    <w:rsid w:val="00831B1B"/>
    <w:rsid w:val="008374BE"/>
    <w:rsid w:val="00855FB3"/>
    <w:rsid w:val="00861D0E"/>
    <w:rsid w:val="00867569"/>
    <w:rsid w:val="00885C0D"/>
    <w:rsid w:val="008917B1"/>
    <w:rsid w:val="008A10CA"/>
    <w:rsid w:val="008A44AB"/>
    <w:rsid w:val="008A750A"/>
    <w:rsid w:val="008B3970"/>
    <w:rsid w:val="008C384C"/>
    <w:rsid w:val="008D0F11"/>
    <w:rsid w:val="008D4312"/>
    <w:rsid w:val="008F5B70"/>
    <w:rsid w:val="008F73B4"/>
    <w:rsid w:val="009035E8"/>
    <w:rsid w:val="009266AF"/>
    <w:rsid w:val="00962D0C"/>
    <w:rsid w:val="00971374"/>
    <w:rsid w:val="009B55B1"/>
    <w:rsid w:val="009E39C5"/>
    <w:rsid w:val="00A4343D"/>
    <w:rsid w:val="00A449AA"/>
    <w:rsid w:val="00A502F1"/>
    <w:rsid w:val="00A70A83"/>
    <w:rsid w:val="00A81EB3"/>
    <w:rsid w:val="00AC3140"/>
    <w:rsid w:val="00AF182A"/>
    <w:rsid w:val="00B00C1D"/>
    <w:rsid w:val="00B072C8"/>
    <w:rsid w:val="00B07B5B"/>
    <w:rsid w:val="00B30303"/>
    <w:rsid w:val="00B632CC"/>
    <w:rsid w:val="00B73F13"/>
    <w:rsid w:val="00BA12F1"/>
    <w:rsid w:val="00BA439F"/>
    <w:rsid w:val="00BA6370"/>
    <w:rsid w:val="00C269D4"/>
    <w:rsid w:val="00C4160D"/>
    <w:rsid w:val="00C8406E"/>
    <w:rsid w:val="00CB2709"/>
    <w:rsid w:val="00CB6F89"/>
    <w:rsid w:val="00CE228C"/>
    <w:rsid w:val="00CE71D9"/>
    <w:rsid w:val="00CF545B"/>
    <w:rsid w:val="00D209A7"/>
    <w:rsid w:val="00D27D69"/>
    <w:rsid w:val="00D35C7D"/>
    <w:rsid w:val="00D448C2"/>
    <w:rsid w:val="00D666C3"/>
    <w:rsid w:val="00D73F28"/>
    <w:rsid w:val="00D811AB"/>
    <w:rsid w:val="00DE2BAA"/>
    <w:rsid w:val="00DF47FE"/>
    <w:rsid w:val="00E0156A"/>
    <w:rsid w:val="00E26704"/>
    <w:rsid w:val="00E31980"/>
    <w:rsid w:val="00E6423C"/>
    <w:rsid w:val="00E71483"/>
    <w:rsid w:val="00E7721A"/>
    <w:rsid w:val="00E93830"/>
    <w:rsid w:val="00E93E0E"/>
    <w:rsid w:val="00EA0F51"/>
    <w:rsid w:val="00EB1A25"/>
    <w:rsid w:val="00EB1ED3"/>
    <w:rsid w:val="00EE70B7"/>
    <w:rsid w:val="00F314B7"/>
    <w:rsid w:val="00F566FC"/>
    <w:rsid w:val="00F70B1E"/>
    <w:rsid w:val="00F83C49"/>
    <w:rsid w:val="00FA1974"/>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rsid w:val="00B07B5B"/>
    <w:pPr>
      <w:spacing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B07B5B"/>
    <w:rPr>
      <w:rFonts w:ascii="Times New Roman" w:eastAsia="Times New Roman" w:hAnsi="Times New Roman"/>
      <w:sz w:val="24"/>
      <w:szCs w:val="24"/>
      <w:lang w:val="en-GB"/>
    </w:rPr>
  </w:style>
  <w:style w:type="character" w:customStyle="1" w:styleId="hps">
    <w:name w:val="hps"/>
    <w:rsid w:val="00B07B5B"/>
  </w:style>
  <w:style w:type="paragraph" w:styleId="Zkladntext2">
    <w:name w:val="Body Text 2"/>
    <w:basedOn w:val="Normln"/>
    <w:link w:val="Zkladntext2Char"/>
    <w:uiPriority w:val="99"/>
    <w:semiHidden/>
    <w:unhideWhenUsed/>
    <w:rsid w:val="00AF182A"/>
    <w:pPr>
      <w:spacing w:after="120" w:line="480" w:lineRule="auto"/>
    </w:pPr>
  </w:style>
  <w:style w:type="character" w:customStyle="1" w:styleId="Zkladntext2Char">
    <w:name w:val="Základní text 2 Char"/>
    <w:basedOn w:val="Standardnpsmoodstavce"/>
    <w:link w:val="Zkladntext2"/>
    <w:uiPriority w:val="99"/>
    <w:semiHidden/>
    <w:rsid w:val="00AF182A"/>
    <w:rPr>
      <w:rFonts w:ascii="Arial" w:hAnsi="Arial"/>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5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rybacek@czso.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trejbalova@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VL&#193;DA\V&#253;stupy\Rychl&#225;%20informace\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48CC-2D8A-4805-9A4A-45CC2152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217</TotalTime>
  <Pages>2</Pages>
  <Words>763</Words>
  <Characters>4504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5257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rybacek7060</dc:creator>
  <cp:lastModifiedBy>Václav Rybáček</cp:lastModifiedBy>
  <cp:revision>29</cp:revision>
  <dcterms:created xsi:type="dcterms:W3CDTF">2015-03-12T12:25:00Z</dcterms:created>
  <dcterms:modified xsi:type="dcterms:W3CDTF">2016-03-31T09:31:00Z</dcterms:modified>
</cp:coreProperties>
</file>