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D925CF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6. 2016</w:t>
      </w:r>
    </w:p>
    <w:p w:rsidR="00D925CF" w:rsidRDefault="004B2035" w:rsidP="00D925CF">
      <w:pPr>
        <w:pStyle w:val="Nzev"/>
        <w:spacing w:after="360"/>
      </w:pPr>
      <w:r>
        <w:t>Výdaje</w:t>
      </w:r>
      <w:r w:rsidR="000F4CDF">
        <w:t xml:space="preserve"> domácností </w:t>
      </w:r>
      <w:r>
        <w:t xml:space="preserve">významně přispěly k </w:t>
      </w:r>
      <w:r w:rsidR="00FF2E5C">
        <w:t>růstu HDP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</w:t>
      </w:r>
      <w:r w:rsidR="00495FDB">
        <w:t xml:space="preserve">– </w:t>
      </w:r>
      <w:r w:rsidR="00D925CF">
        <w:t>1</w:t>
      </w:r>
      <w:r w:rsidRPr="00431C5C">
        <w:t xml:space="preserve">. čtvrtletí </w:t>
      </w:r>
      <w:r>
        <w:t>201</w:t>
      </w:r>
      <w:r w:rsidR="00D925CF">
        <w:t>6</w:t>
      </w:r>
    </w:p>
    <w:p w:rsidR="008B7DC2" w:rsidRDefault="00D925CF" w:rsidP="008B7DC2">
      <w:pPr>
        <w:pStyle w:val="Perex"/>
      </w:pPr>
      <w:r w:rsidRPr="00D925CF">
        <w:t xml:space="preserve">Podle zpřesněného odhadu vzrostl hrubý domácí produkt </w:t>
      </w:r>
      <w:r>
        <w:t xml:space="preserve">v 1. čtvrtletí </w:t>
      </w:r>
      <w:r w:rsidR="00CB7B15">
        <w:t>meziročně o 3,0 </w:t>
      </w:r>
      <w:r w:rsidR="00CB7B15" w:rsidRPr="00D925CF">
        <w:t>%</w:t>
      </w:r>
      <w:r w:rsidR="00CB7B15">
        <w:t xml:space="preserve"> a </w:t>
      </w:r>
      <w:r>
        <w:t>mezičtvrtletně o </w:t>
      </w:r>
      <w:r w:rsidRPr="00D925CF">
        <w:t>0,4 %</w:t>
      </w:r>
      <w:r w:rsidR="00CB7B15">
        <w:t>.</w:t>
      </w:r>
    </w:p>
    <w:p w:rsidR="00D925CF" w:rsidRDefault="00D925CF" w:rsidP="005D2560">
      <w:pPr>
        <w:spacing w:before="240"/>
        <w:rPr>
          <w:rFonts w:cs="Arial"/>
          <w:szCs w:val="20"/>
        </w:rPr>
      </w:pPr>
      <w:r w:rsidRPr="00375E80">
        <w:t>Zpřesněný</w:t>
      </w:r>
      <w:r w:rsidRPr="00375E80">
        <w:rPr>
          <w:rFonts w:cs="Arial"/>
          <w:szCs w:val="20"/>
        </w:rPr>
        <w:t xml:space="preserve"> odhad potvrdil, že </w:t>
      </w:r>
      <w:r>
        <w:rPr>
          <w:rFonts w:cs="Arial"/>
          <w:szCs w:val="20"/>
        </w:rPr>
        <w:t xml:space="preserve">výkon </w:t>
      </w:r>
      <w:r w:rsidRPr="00375E80">
        <w:rPr>
          <w:rFonts w:cs="Arial"/>
          <w:szCs w:val="20"/>
        </w:rPr>
        <w:t>česk</w:t>
      </w:r>
      <w:r>
        <w:rPr>
          <w:rFonts w:cs="Arial"/>
          <w:szCs w:val="20"/>
        </w:rPr>
        <w:t>é</w:t>
      </w:r>
      <w:r w:rsidRPr="00375E80">
        <w:rPr>
          <w:rFonts w:cs="Arial"/>
          <w:szCs w:val="20"/>
        </w:rPr>
        <w:t xml:space="preserve"> ekonomik</w:t>
      </w:r>
      <w:r>
        <w:rPr>
          <w:rFonts w:cs="Arial"/>
          <w:szCs w:val="20"/>
        </w:rPr>
        <w:t xml:space="preserve">y </w:t>
      </w:r>
      <w:r w:rsidRPr="00375E80">
        <w:rPr>
          <w:rFonts w:cs="Arial"/>
          <w:szCs w:val="20"/>
        </w:rPr>
        <w:t>na počátku letošního roku</w:t>
      </w:r>
      <w:r>
        <w:rPr>
          <w:rFonts w:cs="Arial"/>
          <w:szCs w:val="20"/>
        </w:rPr>
        <w:t xml:space="preserve"> rostl, a to nejen meziročně, ale také mezičtvrtletně.</w:t>
      </w:r>
      <w:r w:rsidRPr="00375E80">
        <w:rPr>
          <w:rFonts w:cs="Arial"/>
          <w:szCs w:val="20"/>
        </w:rPr>
        <w:t xml:space="preserve"> </w:t>
      </w:r>
      <w:r w:rsidRPr="00375E80">
        <w:rPr>
          <w:b/>
        </w:rPr>
        <w:t>Hrubý domácí produkt</w:t>
      </w:r>
      <w:r w:rsidRPr="00375E80">
        <w:t xml:space="preserve"> (HDP) očištěný o cenové vlivy a sezónnost</w:t>
      </w:r>
      <w:r>
        <w:rPr>
          <w:rStyle w:val="Znakapoznpodarou"/>
          <w:rFonts w:cs="Arial"/>
          <w:szCs w:val="18"/>
        </w:rPr>
        <w:footnoteReference w:id="1"/>
      </w:r>
      <w:r w:rsidRPr="00375E80">
        <w:t xml:space="preserve"> </w:t>
      </w:r>
      <w:r w:rsidRPr="00375E80">
        <w:rPr>
          <w:b/>
        </w:rPr>
        <w:t xml:space="preserve">vzrostl </w:t>
      </w:r>
      <w:r w:rsidR="007B4A65">
        <w:rPr>
          <w:b/>
        </w:rPr>
        <w:t>ve srovnání s předchozím čtvrtletím o 0,4 %</w:t>
      </w:r>
      <w:r w:rsidR="007B4A65" w:rsidRPr="007B4A65">
        <w:t xml:space="preserve">. </w:t>
      </w:r>
      <w:r w:rsidR="007B4A65" w:rsidRPr="004B2035">
        <w:rPr>
          <w:b/>
        </w:rPr>
        <w:t xml:space="preserve">Meziročně se HDP </w:t>
      </w:r>
      <w:r w:rsidRPr="004B2035">
        <w:rPr>
          <w:rFonts w:cs="Arial"/>
          <w:b/>
          <w:szCs w:val="20"/>
        </w:rPr>
        <w:t xml:space="preserve">reálně zvýšil o </w:t>
      </w:r>
      <w:r w:rsidR="007B4A65" w:rsidRPr="004B2035">
        <w:rPr>
          <w:rFonts w:cs="Arial"/>
          <w:b/>
          <w:szCs w:val="20"/>
        </w:rPr>
        <w:t>3,0</w:t>
      </w:r>
      <w:r w:rsidRPr="004B2035">
        <w:rPr>
          <w:rFonts w:cs="Arial"/>
          <w:b/>
          <w:szCs w:val="20"/>
        </w:rPr>
        <w:t xml:space="preserve"> %</w:t>
      </w:r>
      <w:r w:rsidRPr="00375E80">
        <w:rPr>
          <w:rFonts w:cs="Arial"/>
          <w:szCs w:val="20"/>
        </w:rPr>
        <w:t>.</w:t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375E80">
        <w:rPr>
          <w:b/>
        </w:rPr>
        <w:t>Hrubá přidaná hodnota</w:t>
      </w:r>
      <w:r w:rsidRPr="00375E80">
        <w:t xml:space="preserve"> (HPH) </w:t>
      </w:r>
      <w:r w:rsidR="006A719A">
        <w:t xml:space="preserve">se </w:t>
      </w:r>
      <w:r w:rsidR="006A719A" w:rsidRPr="00375E80">
        <w:rPr>
          <w:b/>
        </w:rPr>
        <w:t>mezičtvrtletn</w:t>
      </w:r>
      <w:r w:rsidR="006A719A" w:rsidRPr="006A719A">
        <w:rPr>
          <w:b/>
        </w:rPr>
        <w:t xml:space="preserve">ě </w:t>
      </w:r>
      <w:r w:rsidR="006A719A" w:rsidRPr="006A719A">
        <w:rPr>
          <w:b/>
        </w:rPr>
        <w:t xml:space="preserve">zvýšila </w:t>
      </w:r>
      <w:r w:rsidR="006A719A" w:rsidRPr="00375E80">
        <w:rPr>
          <w:b/>
        </w:rPr>
        <w:t>o</w:t>
      </w:r>
      <w:r w:rsidR="006A719A" w:rsidRPr="00375E80">
        <w:t> </w:t>
      </w:r>
      <w:r w:rsidR="006A719A" w:rsidRPr="0047397F">
        <w:rPr>
          <w:b/>
        </w:rPr>
        <w:t>0</w:t>
      </w:r>
      <w:r w:rsidR="006A719A" w:rsidRPr="00375E80">
        <w:rPr>
          <w:b/>
        </w:rPr>
        <w:t>,</w:t>
      </w:r>
      <w:r w:rsidR="006A719A">
        <w:rPr>
          <w:b/>
        </w:rPr>
        <w:t>5</w:t>
      </w:r>
      <w:r w:rsidR="006A719A" w:rsidRPr="00375E80">
        <w:rPr>
          <w:b/>
        </w:rPr>
        <w:t> %</w:t>
      </w:r>
      <w:r w:rsidRPr="00375E80">
        <w:t xml:space="preserve"> </w:t>
      </w:r>
      <w:r w:rsidR="006A719A" w:rsidRPr="004B2035">
        <w:rPr>
          <w:b/>
        </w:rPr>
        <w:t xml:space="preserve">a </w:t>
      </w:r>
      <w:r w:rsidRPr="004B2035">
        <w:rPr>
          <w:b/>
        </w:rPr>
        <w:t>meziročně o</w:t>
      </w:r>
      <w:r w:rsidRPr="006A719A">
        <w:t xml:space="preserve"> </w:t>
      </w:r>
      <w:r w:rsidRPr="00375E80">
        <w:rPr>
          <w:b/>
        </w:rPr>
        <w:t>3,</w:t>
      </w:r>
      <w:r>
        <w:rPr>
          <w:b/>
        </w:rPr>
        <w:t>0</w:t>
      </w:r>
      <w:r w:rsidRPr="00375E80">
        <w:rPr>
          <w:b/>
        </w:rPr>
        <w:t> %</w:t>
      </w:r>
      <w:r w:rsidRPr="00375E80">
        <w:t xml:space="preserve">. </w:t>
      </w:r>
      <w:r w:rsidR="0047397F" w:rsidRPr="00375E80">
        <w:t xml:space="preserve">Příznivý hospodářský vývoj </w:t>
      </w:r>
      <w:r w:rsidR="0052627A">
        <w:t>pokračoval</w:t>
      </w:r>
      <w:r w:rsidR="0047397F" w:rsidRPr="00375E80">
        <w:t xml:space="preserve"> </w:t>
      </w:r>
      <w:r w:rsidR="0047397F">
        <w:t xml:space="preserve">ve většině odvětví tuzemské ekonomiky, zejména ve zpracovatelském průmyslu. Ten </w:t>
      </w:r>
      <w:r w:rsidRPr="00375E80">
        <w:rPr>
          <w:rFonts w:cs="Arial"/>
          <w:szCs w:val="20"/>
        </w:rPr>
        <w:t xml:space="preserve">vzrostl meziročně o </w:t>
      </w:r>
      <w:r w:rsidRPr="00160132">
        <w:rPr>
          <w:rFonts w:cs="Arial"/>
          <w:szCs w:val="20"/>
        </w:rPr>
        <w:t>6,</w:t>
      </w:r>
      <w:r>
        <w:rPr>
          <w:rFonts w:cs="Arial"/>
          <w:szCs w:val="20"/>
        </w:rPr>
        <w:t>4</w:t>
      </w:r>
      <w:r w:rsidRPr="00160132">
        <w:rPr>
          <w:rFonts w:cs="Arial"/>
          <w:szCs w:val="20"/>
        </w:rPr>
        <w:t> % a v porovnání s posledním čtvrtletím loňského roku o </w:t>
      </w:r>
      <w:r>
        <w:rPr>
          <w:rFonts w:cs="Arial"/>
          <w:szCs w:val="20"/>
        </w:rPr>
        <w:t>1</w:t>
      </w:r>
      <w:r w:rsidRPr="00160132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160132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Meziročně rostla </w:t>
      </w:r>
      <w:r w:rsidR="0052627A">
        <w:rPr>
          <w:rFonts w:cs="Arial"/>
          <w:szCs w:val="20"/>
        </w:rPr>
        <w:t xml:space="preserve">HPH </w:t>
      </w:r>
      <w:r>
        <w:rPr>
          <w:rFonts w:cs="Arial"/>
          <w:szCs w:val="20"/>
        </w:rPr>
        <w:t xml:space="preserve">i </w:t>
      </w:r>
      <w:r w:rsidR="0052627A">
        <w:rPr>
          <w:rFonts w:cs="Arial"/>
          <w:szCs w:val="20"/>
        </w:rPr>
        <w:t xml:space="preserve">ve </w:t>
      </w:r>
      <w:r>
        <w:rPr>
          <w:rFonts w:cs="Arial"/>
          <w:szCs w:val="20"/>
        </w:rPr>
        <w:t>většin</w:t>
      </w:r>
      <w:r w:rsidR="0052627A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 odvětví služeb. </w:t>
      </w:r>
      <w:r w:rsidRPr="00375E80">
        <w:rPr>
          <w:rFonts w:cs="Arial"/>
          <w:szCs w:val="20"/>
        </w:rPr>
        <w:t xml:space="preserve">Například </w:t>
      </w:r>
      <w:r w:rsidR="0052627A">
        <w:rPr>
          <w:rFonts w:cs="Arial"/>
          <w:szCs w:val="20"/>
        </w:rPr>
        <w:t>v </w:t>
      </w:r>
      <w:r w:rsidRPr="00375E80">
        <w:rPr>
          <w:rFonts w:cs="Arial"/>
          <w:szCs w:val="20"/>
        </w:rPr>
        <w:t>obchod</w:t>
      </w:r>
      <w:r w:rsidR="0052627A">
        <w:rPr>
          <w:rFonts w:cs="Arial"/>
          <w:szCs w:val="20"/>
        </w:rPr>
        <w:t>ě</w:t>
      </w:r>
      <w:r w:rsidRPr="00375E80">
        <w:rPr>
          <w:rFonts w:cs="Arial"/>
          <w:szCs w:val="20"/>
        </w:rPr>
        <w:t>, doprav</w:t>
      </w:r>
      <w:r w:rsidR="0052627A">
        <w:rPr>
          <w:rFonts w:cs="Arial"/>
          <w:szCs w:val="20"/>
        </w:rPr>
        <w:t>ě</w:t>
      </w:r>
      <w:r w:rsidRPr="00375E80">
        <w:rPr>
          <w:rFonts w:cs="Arial"/>
          <w:szCs w:val="20"/>
        </w:rPr>
        <w:t xml:space="preserve"> a ubytování se </w:t>
      </w:r>
      <w:r w:rsidR="0047397F">
        <w:rPr>
          <w:rFonts w:cs="Arial"/>
          <w:szCs w:val="20"/>
        </w:rPr>
        <w:t xml:space="preserve">meziročně </w:t>
      </w:r>
      <w:r w:rsidRPr="00375E80">
        <w:rPr>
          <w:rFonts w:cs="Arial"/>
          <w:szCs w:val="20"/>
        </w:rPr>
        <w:t>zvýšil</w:t>
      </w:r>
      <w:r w:rsidR="0052627A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Pr="00375E80">
        <w:rPr>
          <w:rFonts w:cs="Arial"/>
          <w:szCs w:val="20"/>
        </w:rPr>
        <w:t>3,</w:t>
      </w:r>
      <w:r w:rsidR="0047397F">
        <w:rPr>
          <w:rFonts w:cs="Arial"/>
          <w:szCs w:val="20"/>
        </w:rPr>
        <w:t>8</w:t>
      </w:r>
      <w:r w:rsidRPr="00375E80">
        <w:rPr>
          <w:rFonts w:cs="Arial"/>
          <w:szCs w:val="20"/>
        </w:rPr>
        <w:t> %</w:t>
      </w:r>
      <w:r w:rsidR="0047397F">
        <w:rPr>
          <w:rFonts w:cs="Arial"/>
          <w:szCs w:val="20"/>
        </w:rPr>
        <w:t xml:space="preserve">, </w:t>
      </w:r>
      <w:r w:rsidR="0052627A">
        <w:rPr>
          <w:rFonts w:cs="Arial"/>
          <w:szCs w:val="20"/>
        </w:rPr>
        <w:t xml:space="preserve">v případě </w:t>
      </w:r>
      <w:r w:rsidRPr="00375E80">
        <w:rPr>
          <w:rFonts w:cs="Arial"/>
          <w:szCs w:val="20"/>
        </w:rPr>
        <w:t>činnost</w:t>
      </w:r>
      <w:r w:rsidR="0052627A">
        <w:rPr>
          <w:rFonts w:cs="Arial"/>
          <w:szCs w:val="20"/>
        </w:rPr>
        <w:t>í</w:t>
      </w:r>
      <w:r>
        <w:rPr>
          <w:rFonts w:cs="Arial"/>
          <w:szCs w:val="20"/>
        </w:rPr>
        <w:t xml:space="preserve"> v oblasti nemovitostí</w:t>
      </w:r>
      <w:r w:rsidRPr="00375E80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47397F">
        <w:rPr>
          <w:rFonts w:cs="Arial"/>
          <w:szCs w:val="20"/>
        </w:rPr>
        <w:t>3,0 % a </w:t>
      </w:r>
      <w:r w:rsidR="0052627A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profesní</w:t>
      </w:r>
      <w:r w:rsidR="0052627A">
        <w:rPr>
          <w:rFonts w:cs="Arial"/>
          <w:szCs w:val="20"/>
        </w:rPr>
        <w:t>ch</w:t>
      </w:r>
      <w:r>
        <w:rPr>
          <w:rFonts w:cs="Arial"/>
          <w:szCs w:val="20"/>
        </w:rPr>
        <w:t>, vědeck</w:t>
      </w:r>
      <w:r w:rsidR="0052627A">
        <w:rPr>
          <w:rFonts w:cs="Arial"/>
          <w:szCs w:val="20"/>
        </w:rPr>
        <w:t>ých</w:t>
      </w:r>
      <w:r>
        <w:rPr>
          <w:rFonts w:cs="Arial"/>
          <w:szCs w:val="20"/>
        </w:rPr>
        <w:t>, technick</w:t>
      </w:r>
      <w:r w:rsidR="0052627A">
        <w:rPr>
          <w:rFonts w:cs="Arial"/>
          <w:szCs w:val="20"/>
        </w:rPr>
        <w:t>ých</w:t>
      </w:r>
      <w:r>
        <w:rPr>
          <w:rFonts w:cs="Arial"/>
          <w:szCs w:val="20"/>
        </w:rPr>
        <w:t xml:space="preserve"> a administrativní</w:t>
      </w:r>
      <w:r w:rsidR="0052627A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činnost</w:t>
      </w:r>
      <w:r w:rsidR="0052627A">
        <w:rPr>
          <w:rFonts w:cs="Arial"/>
          <w:szCs w:val="20"/>
        </w:rPr>
        <w:t>ech o </w:t>
      </w:r>
      <w:r w:rsidRPr="00375E80">
        <w:rPr>
          <w:rFonts w:cs="Arial"/>
          <w:szCs w:val="20"/>
        </w:rPr>
        <w:t>2,</w:t>
      </w:r>
      <w:r>
        <w:rPr>
          <w:rFonts w:cs="Arial"/>
          <w:szCs w:val="20"/>
        </w:rPr>
        <w:t>6</w:t>
      </w:r>
      <w:r w:rsidRPr="00375E80">
        <w:rPr>
          <w:rFonts w:cs="Arial"/>
          <w:szCs w:val="20"/>
        </w:rPr>
        <w:t xml:space="preserve"> %. </w:t>
      </w:r>
      <w:r w:rsidR="002A6804">
        <w:rPr>
          <w:rFonts w:cs="Arial"/>
          <w:szCs w:val="20"/>
        </w:rPr>
        <w:t>Stavebnictví m</w:t>
      </w:r>
      <w:r w:rsidRPr="00160132">
        <w:rPr>
          <w:rFonts w:cs="Arial"/>
          <w:szCs w:val="20"/>
        </w:rPr>
        <w:t>eziroč</w:t>
      </w:r>
      <w:r w:rsidRPr="00375E80">
        <w:rPr>
          <w:rFonts w:cs="Arial"/>
          <w:szCs w:val="20"/>
        </w:rPr>
        <w:t>n</w:t>
      </w:r>
      <w:r w:rsidR="0047397F">
        <w:rPr>
          <w:rFonts w:cs="Arial"/>
          <w:szCs w:val="20"/>
        </w:rPr>
        <w:t>ě</w:t>
      </w:r>
      <w:r w:rsidRPr="00375E80">
        <w:rPr>
          <w:rFonts w:cs="Arial"/>
          <w:szCs w:val="20"/>
        </w:rPr>
        <w:t xml:space="preserve"> </w:t>
      </w:r>
      <w:r w:rsidR="002A6804">
        <w:rPr>
          <w:rFonts w:cs="Arial"/>
          <w:szCs w:val="20"/>
        </w:rPr>
        <w:t>vzrostlo o 0,4 %</w:t>
      </w:r>
      <w:r>
        <w:rPr>
          <w:rFonts w:cs="Arial"/>
          <w:szCs w:val="20"/>
        </w:rPr>
        <w:t xml:space="preserve">, </w:t>
      </w:r>
      <w:r w:rsidR="006D299B">
        <w:rPr>
          <w:rFonts w:cs="Arial"/>
          <w:szCs w:val="20"/>
        </w:rPr>
        <w:t xml:space="preserve">v porovnání s předchozím čtvrtletím </w:t>
      </w:r>
      <w:r w:rsidR="0047397F">
        <w:rPr>
          <w:rFonts w:cs="Arial"/>
          <w:szCs w:val="20"/>
        </w:rPr>
        <w:t xml:space="preserve">však </w:t>
      </w:r>
      <w:r w:rsidR="006D299B">
        <w:rPr>
          <w:rFonts w:cs="Arial"/>
          <w:szCs w:val="20"/>
        </w:rPr>
        <w:t xml:space="preserve">byla jeho výkonnost </w:t>
      </w:r>
      <w:r w:rsidR="0052627A">
        <w:rPr>
          <w:rFonts w:cs="Arial"/>
          <w:szCs w:val="20"/>
        </w:rPr>
        <w:t>nižší o 4,1 %</w:t>
      </w:r>
      <w:r w:rsidR="0052627A">
        <w:rPr>
          <w:rFonts w:cs="Arial"/>
          <w:szCs w:val="20"/>
        </w:rPr>
        <w:t xml:space="preserve"> </w:t>
      </w:r>
      <w:r w:rsidR="006D299B">
        <w:rPr>
          <w:rFonts w:cs="Arial"/>
          <w:szCs w:val="20"/>
        </w:rPr>
        <w:t>(</w:t>
      </w:r>
      <w:r w:rsidR="0047397F">
        <w:rPr>
          <w:rFonts w:cs="Arial"/>
          <w:szCs w:val="20"/>
        </w:rPr>
        <w:t xml:space="preserve">kvůli vysoké srovnávací základně </w:t>
      </w:r>
      <w:r w:rsidR="006D299B">
        <w:rPr>
          <w:rFonts w:cs="Arial"/>
          <w:szCs w:val="20"/>
        </w:rPr>
        <w:t>na konci loňského roku)</w:t>
      </w:r>
      <w:r w:rsidRPr="00375E80">
        <w:rPr>
          <w:rFonts w:cs="Arial"/>
          <w:szCs w:val="20"/>
        </w:rPr>
        <w:t>.</w:t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0A3205">
        <w:rPr>
          <w:rFonts w:cs="Arial"/>
          <w:b/>
          <w:szCs w:val="20"/>
        </w:rPr>
        <w:t>Na</w:t>
      </w:r>
      <w:r w:rsidRPr="00375E80">
        <w:rPr>
          <w:rFonts w:cs="Arial"/>
          <w:b/>
          <w:szCs w:val="20"/>
        </w:rPr>
        <w:t xml:space="preserve"> straně poptávky</w:t>
      </w:r>
      <w:r w:rsidRPr="00375E80">
        <w:rPr>
          <w:rFonts w:cs="Arial"/>
          <w:szCs w:val="20"/>
        </w:rPr>
        <w:t xml:space="preserve"> byl růst </w:t>
      </w:r>
      <w:r>
        <w:rPr>
          <w:rFonts w:cs="Arial"/>
          <w:szCs w:val="20"/>
        </w:rPr>
        <w:t xml:space="preserve">HDP </w:t>
      </w:r>
      <w:r w:rsidR="00AD76A9">
        <w:rPr>
          <w:rFonts w:cs="Arial"/>
          <w:szCs w:val="20"/>
        </w:rPr>
        <w:t xml:space="preserve">v 1. čtvrtletí </w:t>
      </w:r>
      <w:r w:rsidRPr="00375E80">
        <w:rPr>
          <w:rFonts w:cs="Arial"/>
          <w:szCs w:val="20"/>
        </w:rPr>
        <w:t xml:space="preserve">tažen </w:t>
      </w:r>
      <w:r w:rsidR="00AD76A9">
        <w:rPr>
          <w:rFonts w:cs="Arial"/>
          <w:szCs w:val="20"/>
        </w:rPr>
        <w:t xml:space="preserve">rovnoměrně jak </w:t>
      </w:r>
      <w:r w:rsidR="000A3205">
        <w:rPr>
          <w:rFonts w:cs="Arial"/>
          <w:szCs w:val="20"/>
        </w:rPr>
        <w:t xml:space="preserve">domácí, tak zahraniční poptávkou. Pokračující stabilní růst spotřeby domácností byl při zpomalení investičních aktivit určujícím faktorem růstu domácí poptávky. </w:t>
      </w:r>
      <w:r w:rsidR="00D142D4">
        <w:rPr>
          <w:rFonts w:cs="Arial"/>
          <w:szCs w:val="20"/>
        </w:rPr>
        <w:t>K</w:t>
      </w:r>
      <w:r w:rsidR="00D85CD0">
        <w:rPr>
          <w:rFonts w:cs="Arial"/>
          <w:szCs w:val="20"/>
        </w:rPr>
        <w:t xml:space="preserve"> meziročnímu </w:t>
      </w:r>
      <w:r w:rsidR="00D142D4">
        <w:rPr>
          <w:rFonts w:cs="Arial"/>
          <w:szCs w:val="20"/>
        </w:rPr>
        <w:t xml:space="preserve">růstu HDP </w:t>
      </w:r>
      <w:r w:rsidR="00D85CD0">
        <w:rPr>
          <w:rFonts w:cs="Arial"/>
          <w:szCs w:val="20"/>
        </w:rPr>
        <w:t>(3,0 %) přispěly výdaje na </w:t>
      </w:r>
      <w:r w:rsidR="00D142D4">
        <w:rPr>
          <w:rFonts w:cs="Arial"/>
          <w:szCs w:val="20"/>
        </w:rPr>
        <w:t>konečnou spotřebu 1,6 procentním bodem (p.</w:t>
      </w:r>
      <w:r w:rsidR="00403FFD">
        <w:rPr>
          <w:rFonts w:cs="Arial"/>
          <w:szCs w:val="20"/>
        </w:rPr>
        <w:t> </w:t>
      </w:r>
      <w:r w:rsidR="00D142D4">
        <w:rPr>
          <w:rFonts w:cs="Arial"/>
          <w:szCs w:val="20"/>
        </w:rPr>
        <w:t>b.) a zahraniční obchod 1,4 p.</w:t>
      </w:r>
      <w:r w:rsidR="00403FFD">
        <w:rPr>
          <w:rFonts w:cs="Arial"/>
          <w:szCs w:val="20"/>
        </w:rPr>
        <w:t> </w:t>
      </w:r>
      <w:r w:rsidR="00D142D4">
        <w:rPr>
          <w:rFonts w:cs="Arial"/>
          <w:szCs w:val="20"/>
        </w:rPr>
        <w:t>b.</w:t>
      </w:r>
      <w:r w:rsidR="00403FFD">
        <w:rPr>
          <w:rStyle w:val="Znakapoznpodarou"/>
          <w:rFonts w:cs="Arial"/>
          <w:szCs w:val="20"/>
        </w:rPr>
        <w:footnoteReference w:id="2"/>
      </w:r>
    </w:p>
    <w:p w:rsidR="00D925CF" w:rsidRDefault="00D925CF" w:rsidP="00D925CF">
      <w:pPr>
        <w:spacing w:before="240" w:after="240"/>
        <w:rPr>
          <w:rFonts w:cs="Arial"/>
          <w:szCs w:val="20"/>
        </w:rPr>
      </w:pPr>
      <w:r w:rsidRPr="00375E80">
        <w:rPr>
          <w:rFonts w:cs="Arial"/>
          <w:b/>
          <w:szCs w:val="20"/>
        </w:rPr>
        <w:t>Výdaje na konečnou spotřebu domácností</w:t>
      </w:r>
      <w:r w:rsidRPr="00375E80">
        <w:rPr>
          <w:rFonts w:cs="Arial"/>
          <w:szCs w:val="20"/>
        </w:rPr>
        <w:t xml:space="preserve"> se meziročně zvýšily o 3,</w:t>
      </w:r>
      <w:r w:rsidR="0050332E">
        <w:rPr>
          <w:rFonts w:cs="Arial"/>
          <w:szCs w:val="20"/>
        </w:rPr>
        <w:t>1</w:t>
      </w:r>
      <w:r w:rsidRPr="00375E80">
        <w:rPr>
          <w:rFonts w:cs="Arial"/>
          <w:szCs w:val="20"/>
        </w:rPr>
        <w:t xml:space="preserve"> %</w:t>
      </w:r>
      <w:r w:rsidR="0050332E">
        <w:rPr>
          <w:rFonts w:cs="Arial"/>
          <w:szCs w:val="20"/>
        </w:rPr>
        <w:t xml:space="preserve"> a mezičtvrtletně o 0,9 %. </w:t>
      </w:r>
      <w:r w:rsidRPr="00375E80">
        <w:rPr>
          <w:rFonts w:cs="Arial"/>
          <w:szCs w:val="20"/>
        </w:rPr>
        <w:t>Stejně jako v předchozím roce rostl</w:t>
      </w:r>
      <w:r w:rsidR="00441DA7">
        <w:rPr>
          <w:rFonts w:cs="Arial"/>
          <w:szCs w:val="20"/>
        </w:rPr>
        <w:t>a</w:t>
      </w:r>
      <w:r w:rsidRPr="00375E80">
        <w:rPr>
          <w:rFonts w:cs="Arial"/>
          <w:szCs w:val="20"/>
        </w:rPr>
        <w:t xml:space="preserve"> </w:t>
      </w:r>
      <w:r w:rsidR="00441DA7">
        <w:rPr>
          <w:rFonts w:cs="Arial"/>
          <w:szCs w:val="20"/>
        </w:rPr>
        <w:t>spotřeba ve všech základních kategoriích výdajů</w:t>
      </w:r>
      <w:r w:rsidR="00E92682">
        <w:rPr>
          <w:rFonts w:cs="Arial"/>
          <w:szCs w:val="20"/>
        </w:rPr>
        <w:t xml:space="preserve"> domácností</w:t>
      </w:r>
      <w:r w:rsidR="004B2035">
        <w:rPr>
          <w:rFonts w:cs="Arial"/>
          <w:szCs w:val="20"/>
        </w:rPr>
        <w:t>, zejména předměty dlouhodobé spotřeby</w:t>
      </w:r>
      <w:bookmarkStart w:id="0" w:name="_GoBack"/>
      <w:bookmarkEnd w:id="0"/>
      <w:r w:rsidR="007B2DBA">
        <w:rPr>
          <w:rFonts w:cs="Arial"/>
          <w:szCs w:val="20"/>
        </w:rPr>
        <w:t xml:space="preserve">. </w:t>
      </w:r>
      <w:r w:rsidRPr="00701756">
        <w:rPr>
          <w:rFonts w:cs="Arial"/>
          <w:b/>
          <w:szCs w:val="20"/>
        </w:rPr>
        <w:t xml:space="preserve">Výdaje na konečnou spotřebu </w:t>
      </w:r>
      <w:r>
        <w:rPr>
          <w:rFonts w:cs="Arial"/>
          <w:b/>
          <w:szCs w:val="20"/>
        </w:rPr>
        <w:t>vládních institucí</w:t>
      </w:r>
      <w:r>
        <w:rPr>
          <w:rFonts w:cs="Arial"/>
          <w:szCs w:val="20"/>
        </w:rPr>
        <w:t xml:space="preserve"> byly meziročně vyšší o </w:t>
      </w:r>
      <w:r w:rsidR="007B2DBA">
        <w:rPr>
          <w:rFonts w:cs="Arial"/>
          <w:szCs w:val="20"/>
        </w:rPr>
        <w:t>2,9</w:t>
      </w:r>
      <w:r>
        <w:rPr>
          <w:rFonts w:cs="Arial"/>
          <w:szCs w:val="20"/>
        </w:rPr>
        <w:t xml:space="preserve"> %, mezičtvrtletně </w:t>
      </w:r>
      <w:r w:rsidR="007B2DBA">
        <w:rPr>
          <w:rFonts w:cs="Arial"/>
          <w:szCs w:val="20"/>
        </w:rPr>
        <w:t>o 0,2 %</w:t>
      </w:r>
      <w:r>
        <w:rPr>
          <w:rFonts w:cs="Arial"/>
          <w:szCs w:val="20"/>
        </w:rPr>
        <w:t>.</w:t>
      </w:r>
    </w:p>
    <w:p w:rsidR="00D925CF" w:rsidRPr="000772FF" w:rsidRDefault="00DD3560" w:rsidP="00D925CF">
      <w:pPr>
        <w:spacing w:before="240" w:after="240"/>
        <w:rPr>
          <w:rFonts w:cs="Arial"/>
          <w:szCs w:val="20"/>
        </w:rPr>
      </w:pPr>
      <w:r>
        <w:rPr>
          <w:rFonts w:cs="Arial"/>
          <w:szCs w:val="20"/>
        </w:rPr>
        <w:t>Vývoj i</w:t>
      </w:r>
      <w:r w:rsidR="007B2DBA" w:rsidRPr="007B2DBA">
        <w:rPr>
          <w:rFonts w:cs="Arial"/>
          <w:szCs w:val="20"/>
        </w:rPr>
        <w:t>nvestiční aktivit</w:t>
      </w:r>
      <w:r>
        <w:rPr>
          <w:rFonts w:cs="Arial"/>
          <w:szCs w:val="20"/>
        </w:rPr>
        <w:t>y</w:t>
      </w:r>
      <w:r w:rsidR="007B2DBA" w:rsidRPr="007B2D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 do značné míry ovlivněn </w:t>
      </w:r>
      <w:r w:rsidR="007B2DBA">
        <w:rPr>
          <w:rFonts w:cs="Arial"/>
          <w:szCs w:val="20"/>
        </w:rPr>
        <w:t xml:space="preserve">poklesem </w:t>
      </w:r>
      <w:r>
        <w:rPr>
          <w:rFonts w:cs="Arial"/>
          <w:szCs w:val="20"/>
        </w:rPr>
        <w:t>investic do ostatních budov a staveb, resp. vysokou srovnávací základnou v loňském roce</w:t>
      </w:r>
      <w:r w:rsidR="007B2DBA">
        <w:rPr>
          <w:rFonts w:cs="Arial"/>
          <w:szCs w:val="20"/>
        </w:rPr>
        <w:t>.</w:t>
      </w:r>
      <w:r w:rsidR="00D925CF" w:rsidRPr="000772FF">
        <w:rPr>
          <w:rFonts w:cs="Arial"/>
          <w:szCs w:val="20"/>
        </w:rPr>
        <w:t xml:space="preserve"> </w:t>
      </w:r>
      <w:r w:rsidR="00D925CF" w:rsidRPr="004B4BBB">
        <w:rPr>
          <w:rFonts w:cs="Arial"/>
          <w:b/>
          <w:szCs w:val="20"/>
        </w:rPr>
        <w:t xml:space="preserve">Tvorba fixního kapitálu </w:t>
      </w:r>
      <w:r w:rsidR="00D925CF" w:rsidRPr="00CC5C30">
        <w:rPr>
          <w:rFonts w:cs="Arial"/>
          <w:szCs w:val="20"/>
        </w:rPr>
        <w:t xml:space="preserve">byla </w:t>
      </w:r>
      <w:r>
        <w:rPr>
          <w:rFonts w:cs="Arial"/>
          <w:szCs w:val="20"/>
        </w:rPr>
        <w:t xml:space="preserve">meziročně </w:t>
      </w:r>
      <w:r w:rsidR="00D925CF" w:rsidRPr="00CC5C30">
        <w:rPr>
          <w:rFonts w:cs="Arial"/>
          <w:szCs w:val="20"/>
        </w:rPr>
        <w:t>vyšší o </w:t>
      </w:r>
      <w:r>
        <w:rPr>
          <w:rFonts w:cs="Arial"/>
          <w:szCs w:val="20"/>
        </w:rPr>
        <w:t>0,6</w:t>
      </w:r>
      <w:r w:rsidR="00D925CF" w:rsidRPr="00CC5C30">
        <w:rPr>
          <w:rFonts w:cs="Arial"/>
          <w:szCs w:val="20"/>
        </w:rPr>
        <w:t> %</w:t>
      </w:r>
      <w:r>
        <w:rPr>
          <w:rFonts w:cs="Arial"/>
          <w:szCs w:val="20"/>
        </w:rPr>
        <w:t>, mezičtvrtletně poklesla o 5,6 %</w:t>
      </w:r>
      <w:r w:rsidR="00D925CF" w:rsidRPr="00CC5C30">
        <w:rPr>
          <w:rFonts w:cs="Arial"/>
          <w:szCs w:val="20"/>
        </w:rPr>
        <w:t>.</w:t>
      </w:r>
      <w:r w:rsidR="00D925CF" w:rsidRPr="000772FF">
        <w:rPr>
          <w:rFonts w:cs="Arial"/>
          <w:szCs w:val="20"/>
        </w:rPr>
        <w:t xml:space="preserve"> </w:t>
      </w:r>
      <w:r w:rsidR="00D925CF">
        <w:rPr>
          <w:rFonts w:cs="Arial"/>
          <w:szCs w:val="20"/>
        </w:rPr>
        <w:t>Na </w:t>
      </w:r>
      <w:r w:rsidR="00D925CF" w:rsidRPr="001069A4">
        <w:rPr>
          <w:rFonts w:cs="Arial"/>
          <w:szCs w:val="20"/>
        </w:rPr>
        <w:t xml:space="preserve">meziročním růstu fixního kapitálu se podílely zejména investice do </w:t>
      </w:r>
      <w:r w:rsidR="00D925CF">
        <w:rPr>
          <w:rFonts w:cs="Arial"/>
          <w:szCs w:val="20"/>
        </w:rPr>
        <w:t>dopravních prostředků</w:t>
      </w:r>
      <w:r>
        <w:rPr>
          <w:rFonts w:cs="Arial"/>
          <w:szCs w:val="20"/>
        </w:rPr>
        <w:t xml:space="preserve"> a obydlí.</w:t>
      </w:r>
      <w:r w:rsidR="00D925CF" w:rsidRPr="001069A4">
        <w:rPr>
          <w:rFonts w:cs="Arial"/>
          <w:szCs w:val="20"/>
        </w:rPr>
        <w:t xml:space="preserve"> </w:t>
      </w:r>
    </w:p>
    <w:p w:rsidR="00D925CF" w:rsidRPr="000772FF" w:rsidRDefault="00D925CF" w:rsidP="00D925CF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 xml:space="preserve">Saldo zahraničního obchodu </w:t>
      </w:r>
      <w:r>
        <w:rPr>
          <w:rFonts w:cs="Arial"/>
          <w:szCs w:val="20"/>
        </w:rPr>
        <w:t xml:space="preserve">v běžných cenách bylo v 1. čtvrtletí meziročně </w:t>
      </w:r>
      <w:r w:rsidR="009B1918">
        <w:rPr>
          <w:rFonts w:cs="Arial"/>
          <w:szCs w:val="20"/>
        </w:rPr>
        <w:t xml:space="preserve">výrazně vyšší </w:t>
      </w:r>
      <w:r w:rsidR="00D305FC">
        <w:rPr>
          <w:rFonts w:cs="Arial"/>
          <w:szCs w:val="20"/>
        </w:rPr>
        <w:t xml:space="preserve">(89,1 mld. Kč) </w:t>
      </w:r>
      <w:r w:rsidR="009B1918">
        <w:rPr>
          <w:rFonts w:cs="Arial"/>
          <w:szCs w:val="20"/>
        </w:rPr>
        <w:t>než v předchozím roce</w:t>
      </w:r>
      <w:r w:rsidR="00D305FC">
        <w:rPr>
          <w:rFonts w:cs="Arial"/>
          <w:szCs w:val="20"/>
        </w:rPr>
        <w:t xml:space="preserve"> (74,4 mld. Kč). </w:t>
      </w:r>
      <w:r w:rsidR="00CA657E">
        <w:rPr>
          <w:rFonts w:cs="Arial"/>
          <w:szCs w:val="20"/>
        </w:rPr>
        <w:t xml:space="preserve">Na tomto růstu se podílel jak obchod se zbožím, tak se službami. </w:t>
      </w:r>
      <w:r w:rsidRPr="00CA657E">
        <w:rPr>
          <w:rFonts w:cs="Arial"/>
          <w:b/>
          <w:szCs w:val="20"/>
        </w:rPr>
        <w:t>Vývoz</w:t>
      </w:r>
      <w:r>
        <w:rPr>
          <w:rFonts w:cs="Arial"/>
          <w:szCs w:val="20"/>
        </w:rPr>
        <w:t xml:space="preserve">, který vzrostl </w:t>
      </w:r>
      <w:r w:rsidR="00CA657E">
        <w:rPr>
          <w:rFonts w:cs="Arial"/>
          <w:szCs w:val="20"/>
        </w:rPr>
        <w:t xml:space="preserve">meziročně reálně </w:t>
      </w:r>
      <w:r>
        <w:rPr>
          <w:rFonts w:cs="Arial"/>
          <w:szCs w:val="20"/>
        </w:rPr>
        <w:t xml:space="preserve">o </w:t>
      </w:r>
      <w:r w:rsidR="00CA657E">
        <w:rPr>
          <w:rFonts w:cs="Arial"/>
          <w:szCs w:val="20"/>
        </w:rPr>
        <w:t>6,0 %</w:t>
      </w:r>
      <w:r>
        <w:rPr>
          <w:rFonts w:cs="Arial"/>
          <w:szCs w:val="20"/>
        </w:rPr>
        <w:t xml:space="preserve">, byl tažen zejména </w:t>
      </w:r>
      <w:r w:rsidR="006564D1">
        <w:rPr>
          <w:rFonts w:cs="Arial"/>
          <w:szCs w:val="20"/>
        </w:rPr>
        <w:t xml:space="preserve">obchodem s </w:t>
      </w:r>
      <w:r>
        <w:rPr>
          <w:rFonts w:cs="Arial"/>
          <w:szCs w:val="20"/>
        </w:rPr>
        <w:t>dopravními prostředky</w:t>
      </w:r>
      <w:r w:rsidR="006564D1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elektrickými přístroji. Na růstu </w:t>
      </w:r>
      <w:r w:rsidRPr="00CA657E">
        <w:rPr>
          <w:rFonts w:cs="Arial"/>
          <w:b/>
          <w:szCs w:val="20"/>
        </w:rPr>
        <w:t>dovozu</w:t>
      </w:r>
      <w:r>
        <w:rPr>
          <w:rFonts w:cs="Arial"/>
          <w:szCs w:val="20"/>
        </w:rPr>
        <w:t xml:space="preserve"> o </w:t>
      </w:r>
      <w:r w:rsidR="00CA657E">
        <w:rPr>
          <w:rFonts w:cs="Arial"/>
          <w:szCs w:val="20"/>
        </w:rPr>
        <w:t>5,6</w:t>
      </w:r>
      <w:r>
        <w:rPr>
          <w:rFonts w:cs="Arial"/>
          <w:szCs w:val="20"/>
        </w:rPr>
        <w:t xml:space="preserve"> % se významně podílely subdodávky pro automobilový průmysl a výrobu elektrických přístrojů a zařízení. </w:t>
      </w:r>
      <w:r w:rsidR="005447E6">
        <w:rPr>
          <w:rFonts w:cs="Arial"/>
          <w:szCs w:val="20"/>
        </w:rPr>
        <w:t>R</w:t>
      </w:r>
      <w:r w:rsidR="00CA657E">
        <w:rPr>
          <w:rFonts w:cs="Arial"/>
          <w:szCs w:val="20"/>
        </w:rPr>
        <w:t xml:space="preserve">ychlejší pokles cen dovozu před cenami vývozu </w:t>
      </w:r>
      <w:r w:rsidR="007E6C25">
        <w:rPr>
          <w:rFonts w:cs="Arial"/>
          <w:szCs w:val="20"/>
        </w:rPr>
        <w:t>podstatně zvyšoval</w:t>
      </w:r>
      <w:r w:rsidR="006564D1">
        <w:rPr>
          <w:rFonts w:cs="Arial"/>
          <w:szCs w:val="20"/>
        </w:rPr>
        <w:t xml:space="preserve"> celkový deflátor </w:t>
      </w:r>
      <w:r w:rsidR="00CA657E">
        <w:rPr>
          <w:rFonts w:cs="Arial"/>
          <w:szCs w:val="20"/>
        </w:rPr>
        <w:t>HDP.</w:t>
      </w:r>
    </w:p>
    <w:p w:rsidR="00D925CF" w:rsidRDefault="00362E4F" w:rsidP="00D925CF">
      <w:pPr>
        <w:spacing w:before="240" w:after="240"/>
        <w:rPr>
          <w:rFonts w:cs="Arial"/>
          <w:szCs w:val="20"/>
        </w:rPr>
      </w:pPr>
      <w:r w:rsidRPr="00362E4F">
        <w:rPr>
          <w:rFonts w:cs="Arial"/>
          <w:b/>
          <w:szCs w:val="20"/>
        </w:rPr>
        <w:t>T</w:t>
      </w:r>
      <w:r w:rsidR="009325B4" w:rsidRPr="009325B4">
        <w:rPr>
          <w:rFonts w:cs="Arial"/>
          <w:b/>
          <w:szCs w:val="20"/>
        </w:rPr>
        <w:t>rh práce</w:t>
      </w:r>
      <w:r w:rsidR="009325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díky pokračujícímu hospodářskému růstu i nadále vyvíjel pozitivně. </w:t>
      </w:r>
      <w:r w:rsidR="00D925CF" w:rsidRPr="00B454BC">
        <w:rPr>
          <w:rFonts w:cs="Arial"/>
          <w:szCs w:val="20"/>
        </w:rPr>
        <w:t>V</w:t>
      </w:r>
      <w:r w:rsidR="009325B4">
        <w:rPr>
          <w:rFonts w:cs="Arial"/>
          <w:szCs w:val="20"/>
        </w:rPr>
        <w:t xml:space="preserve"> 1. čtvrtletí vzrostla celková zaměstnanost </w:t>
      </w:r>
      <w:r w:rsidR="00D925CF" w:rsidRPr="00B454BC">
        <w:rPr>
          <w:rFonts w:cs="Arial"/>
          <w:szCs w:val="20"/>
        </w:rPr>
        <w:t xml:space="preserve">v pojetí národních účtů </w:t>
      </w:r>
      <w:r w:rsidR="009325B4">
        <w:rPr>
          <w:rFonts w:cs="Arial"/>
          <w:szCs w:val="20"/>
        </w:rPr>
        <w:t>meziročně o 1,9 % a mezičtvrtletně o</w:t>
      </w:r>
      <w:r>
        <w:rPr>
          <w:rFonts w:cs="Arial"/>
          <w:szCs w:val="20"/>
        </w:rPr>
        <w:t> 1,5 </w:t>
      </w:r>
      <w:r w:rsidR="009325B4">
        <w:rPr>
          <w:rFonts w:cs="Arial"/>
          <w:szCs w:val="20"/>
        </w:rPr>
        <w:t xml:space="preserve">%. </w:t>
      </w:r>
    </w:p>
    <w:p w:rsidR="008538A7" w:rsidRPr="00304ECA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8538A7" w:rsidRDefault="008538A7" w:rsidP="00C4228D">
      <w:pPr>
        <w:pStyle w:val="Poznamkytexty"/>
        <w:spacing w:before="120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362E4F">
        <w:t>24</w:t>
      </w:r>
      <w:r>
        <w:t>.</w:t>
      </w:r>
      <w:r w:rsidR="00792F46">
        <w:t xml:space="preserve"> </w:t>
      </w:r>
      <w:r w:rsidR="00362E4F">
        <w:t>května</w:t>
      </w:r>
      <w:r>
        <w:t xml:space="preserve"> 201</w:t>
      </w:r>
      <w:r w:rsidR="007E5CB4">
        <w:t>6</w:t>
      </w:r>
    </w:p>
    <w:p w:rsidR="00A87D94" w:rsidRPr="00A87D94" w:rsidRDefault="00A87D94" w:rsidP="00C4228D">
      <w:pPr>
        <w:pStyle w:val="Poznamkytexty"/>
        <w:spacing w:before="120"/>
        <w:ind w:left="4253" w:hanging="4253"/>
      </w:pPr>
      <w:r>
        <w:t>Časové řady</w:t>
      </w:r>
      <w:r w:rsidR="008538A7" w:rsidRPr="00B13ABB">
        <w:t>:</w:t>
      </w:r>
      <w:r w:rsidR="008538A7" w:rsidRPr="00B13ABB">
        <w:tab/>
      </w:r>
      <w:hyperlink r:id="rId10" w:history="1">
        <w:r w:rsidR="00A047C8" w:rsidRPr="00A87D94">
          <w:rPr>
            <w:rStyle w:val="Hypertextovodkaz"/>
          </w:rPr>
          <w:t>https://www.czso.cz/csu/czso/hdp_cr</w:t>
        </w:r>
      </w:hyperlink>
      <w:r w:rsidR="00A047C8" w:rsidRPr="00A87D94">
        <w:t xml:space="preserve"> </w:t>
      </w:r>
    </w:p>
    <w:p w:rsidR="00A87D94" w:rsidRPr="00A87D94" w:rsidRDefault="00A87D94" w:rsidP="00C4228D">
      <w:pPr>
        <w:pStyle w:val="Poznamkytexty"/>
        <w:spacing w:before="120"/>
        <w:ind w:left="4253" w:hanging="4253"/>
        <w:jc w:val="left"/>
      </w:pPr>
      <w:r w:rsidRPr="00A87D94">
        <w:t>Internetové stránky RI:</w:t>
      </w:r>
      <w:r w:rsidRPr="00A87D94">
        <w:tab/>
      </w:r>
      <w:hyperlink r:id="rId11" w:history="1">
        <w:r w:rsidRPr="00A87D94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A87D94">
        <w:t>Termín zveřejnění další RI:</w:t>
      </w:r>
      <w:r w:rsidRPr="00A87D94">
        <w:tab/>
      </w:r>
      <w:r w:rsidR="00792F46" w:rsidRPr="00A87D94">
        <w:t>1</w:t>
      </w:r>
      <w:r w:rsidR="00362E4F">
        <w:t>6</w:t>
      </w:r>
      <w:r w:rsidR="00792F46" w:rsidRPr="00A87D94">
        <w:t>.</w:t>
      </w:r>
      <w:r w:rsidR="009B09C9" w:rsidRPr="00A87D94">
        <w:t xml:space="preserve"> </w:t>
      </w:r>
      <w:r w:rsidR="00362E4F">
        <w:t>srpna</w:t>
      </w:r>
      <w:r w:rsidRPr="00A87D94">
        <w:t xml:space="preserve"> 201</w:t>
      </w:r>
      <w:r w:rsidR="00792F46" w:rsidRPr="00A87D94">
        <w:t>6</w:t>
      </w:r>
      <w:r w:rsidRPr="00A87D94">
        <w:t xml:space="preserve"> </w:t>
      </w:r>
      <w:r w:rsidRPr="00A87D94">
        <w:br/>
      </w:r>
      <w:r w:rsidRPr="008E3A49">
        <w:t>(</w:t>
      </w:r>
      <w:r w:rsidR="008E3A49" w:rsidRPr="008E3A49">
        <w:t>Předběžný odhad HDP</w:t>
      </w:r>
      <w:r w:rsidRPr="008E3A49">
        <w:t xml:space="preserve"> za </w:t>
      </w:r>
      <w:r w:rsidR="00362E4F">
        <w:t>2</w:t>
      </w:r>
      <w:r w:rsidRPr="008E3A49">
        <w:t>. čtvrtletí 201</w:t>
      </w:r>
      <w:r w:rsidR="007E5CB4">
        <w:t>6</w:t>
      </w:r>
      <w:r w:rsidRPr="008E3A49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C" w:rsidRDefault="00AA150C" w:rsidP="00BA6370">
      <w:r>
        <w:separator/>
      </w:r>
    </w:p>
  </w:endnote>
  <w:endnote w:type="continuationSeparator" w:id="0">
    <w:p w:rsidR="00AA150C" w:rsidRDefault="00AA15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4B203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4B2035">
                  <w:rPr>
                    <w:rFonts w:cs="Arial"/>
                    <w:noProof/>
                    <w:szCs w:val="15"/>
                  </w:rPr>
                  <w:t>1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C" w:rsidRDefault="00AA150C" w:rsidP="00BA6370">
      <w:r>
        <w:separator/>
      </w:r>
    </w:p>
  </w:footnote>
  <w:footnote w:type="continuationSeparator" w:id="0">
    <w:p w:rsidR="00AA150C" w:rsidRDefault="00AA150C" w:rsidP="00BA6370">
      <w:r>
        <w:continuationSeparator/>
      </w:r>
    </w:p>
  </w:footnote>
  <w:footnote w:id="1">
    <w:p w:rsidR="00D925CF" w:rsidRPr="00652020" w:rsidRDefault="00D925CF" w:rsidP="00D925C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D300D0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403FFD" w:rsidRPr="00403FFD" w:rsidRDefault="00403FFD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 w:rsidR="00DE4352"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 w:rsidR="00DE4352">
        <w:rPr>
          <w:rFonts w:ascii="Arial" w:hAnsi="Arial" w:cs="Arial"/>
          <w:i/>
          <w:sz w:val="18"/>
          <w:szCs w:val="18"/>
        </w:rPr>
        <w:t>pro konečné užití</w:t>
      </w:r>
      <w:r w:rsidR="00A14C6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4B203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32A08"/>
    <w:rsid w:val="00035FBC"/>
    <w:rsid w:val="00041A65"/>
    <w:rsid w:val="00042746"/>
    <w:rsid w:val="00043BF4"/>
    <w:rsid w:val="00051B69"/>
    <w:rsid w:val="000570D9"/>
    <w:rsid w:val="00076BF6"/>
    <w:rsid w:val="000776D9"/>
    <w:rsid w:val="00077942"/>
    <w:rsid w:val="00082070"/>
    <w:rsid w:val="000843A5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5993"/>
    <w:rsid w:val="000D7B80"/>
    <w:rsid w:val="000E416D"/>
    <w:rsid w:val="000E43CC"/>
    <w:rsid w:val="000F4CDF"/>
    <w:rsid w:val="000F5205"/>
    <w:rsid w:val="00101F6A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725C"/>
    <w:rsid w:val="001900EE"/>
    <w:rsid w:val="0019151D"/>
    <w:rsid w:val="00192A6E"/>
    <w:rsid w:val="00196C86"/>
    <w:rsid w:val="00197652"/>
    <w:rsid w:val="001A3870"/>
    <w:rsid w:val="001A4F7D"/>
    <w:rsid w:val="001B5892"/>
    <w:rsid w:val="001B607F"/>
    <w:rsid w:val="001C5A6B"/>
    <w:rsid w:val="001D04FD"/>
    <w:rsid w:val="001D2D62"/>
    <w:rsid w:val="001D369A"/>
    <w:rsid w:val="001D39B2"/>
    <w:rsid w:val="001E0AE1"/>
    <w:rsid w:val="001E6CA7"/>
    <w:rsid w:val="001F08B3"/>
    <w:rsid w:val="001F2FE0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403F7"/>
    <w:rsid w:val="002406FA"/>
    <w:rsid w:val="00241331"/>
    <w:rsid w:val="002428F1"/>
    <w:rsid w:val="00260174"/>
    <w:rsid w:val="0026107B"/>
    <w:rsid w:val="00271FB0"/>
    <w:rsid w:val="002733BF"/>
    <w:rsid w:val="00297D4D"/>
    <w:rsid w:val="002A6804"/>
    <w:rsid w:val="002B1ECB"/>
    <w:rsid w:val="002B2E47"/>
    <w:rsid w:val="002B3869"/>
    <w:rsid w:val="002C50DE"/>
    <w:rsid w:val="002C5CD1"/>
    <w:rsid w:val="002D3227"/>
    <w:rsid w:val="002E0E18"/>
    <w:rsid w:val="002E3C33"/>
    <w:rsid w:val="002E51CF"/>
    <w:rsid w:val="003007E9"/>
    <w:rsid w:val="003156B7"/>
    <w:rsid w:val="00323D2F"/>
    <w:rsid w:val="00327E49"/>
    <w:rsid w:val="003301A3"/>
    <w:rsid w:val="00330B9B"/>
    <w:rsid w:val="00335D75"/>
    <w:rsid w:val="00340782"/>
    <w:rsid w:val="0034310F"/>
    <w:rsid w:val="00353901"/>
    <w:rsid w:val="00355504"/>
    <w:rsid w:val="00360DF7"/>
    <w:rsid w:val="00360EAD"/>
    <w:rsid w:val="00362E4F"/>
    <w:rsid w:val="0036777B"/>
    <w:rsid w:val="00367D99"/>
    <w:rsid w:val="00370FF4"/>
    <w:rsid w:val="00374FC6"/>
    <w:rsid w:val="0038282A"/>
    <w:rsid w:val="00397580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F0DF1"/>
    <w:rsid w:val="003F1D68"/>
    <w:rsid w:val="003F2F6A"/>
    <w:rsid w:val="003F526A"/>
    <w:rsid w:val="003F5F61"/>
    <w:rsid w:val="00403FFD"/>
    <w:rsid w:val="00405244"/>
    <w:rsid w:val="0041151D"/>
    <w:rsid w:val="00413AF1"/>
    <w:rsid w:val="004154C7"/>
    <w:rsid w:val="004161A0"/>
    <w:rsid w:val="004205D3"/>
    <w:rsid w:val="00420F19"/>
    <w:rsid w:val="004272F0"/>
    <w:rsid w:val="00441933"/>
    <w:rsid w:val="00441DA7"/>
    <w:rsid w:val="004436EE"/>
    <w:rsid w:val="00445ED3"/>
    <w:rsid w:val="0045023A"/>
    <w:rsid w:val="0045547F"/>
    <w:rsid w:val="004626A4"/>
    <w:rsid w:val="00471DEF"/>
    <w:rsid w:val="00472821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B1F2F"/>
    <w:rsid w:val="004B2035"/>
    <w:rsid w:val="004B7B60"/>
    <w:rsid w:val="004C0447"/>
    <w:rsid w:val="004C645A"/>
    <w:rsid w:val="004D05B3"/>
    <w:rsid w:val="004D107B"/>
    <w:rsid w:val="004D1ABE"/>
    <w:rsid w:val="004D31CD"/>
    <w:rsid w:val="004E3A7E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7F4B"/>
    <w:rsid w:val="00512D99"/>
    <w:rsid w:val="00520963"/>
    <w:rsid w:val="0052627A"/>
    <w:rsid w:val="00527391"/>
    <w:rsid w:val="00531D51"/>
    <w:rsid w:val="00531DBB"/>
    <w:rsid w:val="00537835"/>
    <w:rsid w:val="005402BD"/>
    <w:rsid w:val="00543456"/>
    <w:rsid w:val="005447E6"/>
    <w:rsid w:val="00547645"/>
    <w:rsid w:val="00553FF9"/>
    <w:rsid w:val="0055470C"/>
    <w:rsid w:val="00555821"/>
    <w:rsid w:val="00562ACD"/>
    <w:rsid w:val="00562F0C"/>
    <w:rsid w:val="00563C14"/>
    <w:rsid w:val="00572037"/>
    <w:rsid w:val="00573720"/>
    <w:rsid w:val="00573994"/>
    <w:rsid w:val="005810DD"/>
    <w:rsid w:val="00582A9E"/>
    <w:rsid w:val="00586D3E"/>
    <w:rsid w:val="00593466"/>
    <w:rsid w:val="0059484F"/>
    <w:rsid w:val="005A14D1"/>
    <w:rsid w:val="005A2FFB"/>
    <w:rsid w:val="005B45FE"/>
    <w:rsid w:val="005B4719"/>
    <w:rsid w:val="005B54F0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C3"/>
    <w:rsid w:val="00644049"/>
    <w:rsid w:val="006508A8"/>
    <w:rsid w:val="00652020"/>
    <w:rsid w:val="006564D1"/>
    <w:rsid w:val="00671F73"/>
    <w:rsid w:val="006750EC"/>
    <w:rsid w:val="006755BE"/>
    <w:rsid w:val="006912A3"/>
    <w:rsid w:val="006918BF"/>
    <w:rsid w:val="006931CF"/>
    <w:rsid w:val="006A3190"/>
    <w:rsid w:val="006A719A"/>
    <w:rsid w:val="006A7372"/>
    <w:rsid w:val="006A74ED"/>
    <w:rsid w:val="006B76B9"/>
    <w:rsid w:val="006D299B"/>
    <w:rsid w:val="006E024F"/>
    <w:rsid w:val="006E0648"/>
    <w:rsid w:val="006E30AA"/>
    <w:rsid w:val="006E4E81"/>
    <w:rsid w:val="006F0C84"/>
    <w:rsid w:val="006F56CF"/>
    <w:rsid w:val="006F79C8"/>
    <w:rsid w:val="007005CB"/>
    <w:rsid w:val="00707F7D"/>
    <w:rsid w:val="00717A40"/>
    <w:rsid w:val="00717EC5"/>
    <w:rsid w:val="00723066"/>
    <w:rsid w:val="00725D8C"/>
    <w:rsid w:val="00726F12"/>
    <w:rsid w:val="00734714"/>
    <w:rsid w:val="00734E9A"/>
    <w:rsid w:val="00735BB9"/>
    <w:rsid w:val="00737453"/>
    <w:rsid w:val="007379E5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7F2"/>
    <w:rsid w:val="007B1333"/>
    <w:rsid w:val="007B2DBA"/>
    <w:rsid w:val="007B4A65"/>
    <w:rsid w:val="007C042A"/>
    <w:rsid w:val="007C4EBD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3498"/>
    <w:rsid w:val="008166EE"/>
    <w:rsid w:val="008208F0"/>
    <w:rsid w:val="00821079"/>
    <w:rsid w:val="008230DD"/>
    <w:rsid w:val="00830951"/>
    <w:rsid w:val="00831B1B"/>
    <w:rsid w:val="008538A7"/>
    <w:rsid w:val="00854052"/>
    <w:rsid w:val="00855FB3"/>
    <w:rsid w:val="00861D0E"/>
    <w:rsid w:val="00864384"/>
    <w:rsid w:val="008662BB"/>
    <w:rsid w:val="00867569"/>
    <w:rsid w:val="00867C0E"/>
    <w:rsid w:val="00874606"/>
    <w:rsid w:val="008763E1"/>
    <w:rsid w:val="008840CE"/>
    <w:rsid w:val="00897018"/>
    <w:rsid w:val="008A6D74"/>
    <w:rsid w:val="008A750A"/>
    <w:rsid w:val="008B2AC5"/>
    <w:rsid w:val="008B3970"/>
    <w:rsid w:val="008B6B0F"/>
    <w:rsid w:val="008B7DC2"/>
    <w:rsid w:val="008C3102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73B4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5819"/>
    <w:rsid w:val="00951181"/>
    <w:rsid w:val="009516E3"/>
    <w:rsid w:val="0097650A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5C09"/>
    <w:rsid w:val="009D31AA"/>
    <w:rsid w:val="009E7925"/>
    <w:rsid w:val="009F0A72"/>
    <w:rsid w:val="009F6D1E"/>
    <w:rsid w:val="00A047C8"/>
    <w:rsid w:val="00A047E9"/>
    <w:rsid w:val="00A0762A"/>
    <w:rsid w:val="00A13AB9"/>
    <w:rsid w:val="00A14C68"/>
    <w:rsid w:val="00A15F02"/>
    <w:rsid w:val="00A2734F"/>
    <w:rsid w:val="00A27399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E84"/>
    <w:rsid w:val="00A81EB3"/>
    <w:rsid w:val="00A87D94"/>
    <w:rsid w:val="00AA150C"/>
    <w:rsid w:val="00AB1647"/>
    <w:rsid w:val="00AB3410"/>
    <w:rsid w:val="00AC05F5"/>
    <w:rsid w:val="00AD199A"/>
    <w:rsid w:val="00AD2B9D"/>
    <w:rsid w:val="00AD6287"/>
    <w:rsid w:val="00AD76A9"/>
    <w:rsid w:val="00AF5E6F"/>
    <w:rsid w:val="00B009D9"/>
    <w:rsid w:val="00B00C1D"/>
    <w:rsid w:val="00B175BA"/>
    <w:rsid w:val="00B20808"/>
    <w:rsid w:val="00B401C2"/>
    <w:rsid w:val="00B45EC1"/>
    <w:rsid w:val="00B52016"/>
    <w:rsid w:val="00B55375"/>
    <w:rsid w:val="00B578A8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E208B"/>
    <w:rsid w:val="00BE7120"/>
    <w:rsid w:val="00BF476C"/>
    <w:rsid w:val="00BF4862"/>
    <w:rsid w:val="00BF538A"/>
    <w:rsid w:val="00C00171"/>
    <w:rsid w:val="00C0212C"/>
    <w:rsid w:val="00C035A9"/>
    <w:rsid w:val="00C07EE6"/>
    <w:rsid w:val="00C14C02"/>
    <w:rsid w:val="00C269D4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3CF6"/>
    <w:rsid w:val="00C81760"/>
    <w:rsid w:val="00C8201B"/>
    <w:rsid w:val="00C8406E"/>
    <w:rsid w:val="00C85786"/>
    <w:rsid w:val="00C910E9"/>
    <w:rsid w:val="00C94077"/>
    <w:rsid w:val="00CA389D"/>
    <w:rsid w:val="00CA657E"/>
    <w:rsid w:val="00CB061F"/>
    <w:rsid w:val="00CB2709"/>
    <w:rsid w:val="00CB2CC0"/>
    <w:rsid w:val="00CB6F89"/>
    <w:rsid w:val="00CB7B15"/>
    <w:rsid w:val="00CC0AE9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698D"/>
    <w:rsid w:val="00D7726D"/>
    <w:rsid w:val="00D814B3"/>
    <w:rsid w:val="00D85CD0"/>
    <w:rsid w:val="00D9189F"/>
    <w:rsid w:val="00D9259D"/>
    <w:rsid w:val="00D925CF"/>
    <w:rsid w:val="00D96CC2"/>
    <w:rsid w:val="00DA2D8E"/>
    <w:rsid w:val="00DA3D73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47FE"/>
    <w:rsid w:val="00DF672E"/>
    <w:rsid w:val="00E0156A"/>
    <w:rsid w:val="00E14063"/>
    <w:rsid w:val="00E14C44"/>
    <w:rsid w:val="00E150B4"/>
    <w:rsid w:val="00E20F95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6423C"/>
    <w:rsid w:val="00E732AC"/>
    <w:rsid w:val="00E76B01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B1ED3"/>
    <w:rsid w:val="00ED1741"/>
    <w:rsid w:val="00EE436E"/>
    <w:rsid w:val="00EE513A"/>
    <w:rsid w:val="00EF607A"/>
    <w:rsid w:val="00F034C4"/>
    <w:rsid w:val="00F0691B"/>
    <w:rsid w:val="00F10882"/>
    <w:rsid w:val="00F11C7A"/>
    <w:rsid w:val="00F23B1A"/>
    <w:rsid w:val="00F3284B"/>
    <w:rsid w:val="00F342B2"/>
    <w:rsid w:val="00F41BED"/>
    <w:rsid w:val="00F41D41"/>
    <w:rsid w:val="00F47D74"/>
    <w:rsid w:val="00F5027D"/>
    <w:rsid w:val="00F53E66"/>
    <w:rsid w:val="00F57FEF"/>
    <w:rsid w:val="00F624A5"/>
    <w:rsid w:val="00F648CF"/>
    <w:rsid w:val="00F71432"/>
    <w:rsid w:val="00F75F2A"/>
    <w:rsid w:val="00F7707C"/>
    <w:rsid w:val="00F77291"/>
    <w:rsid w:val="00F80F77"/>
    <w:rsid w:val="00F90149"/>
    <w:rsid w:val="00F90A47"/>
    <w:rsid w:val="00F93813"/>
    <w:rsid w:val="00FA1816"/>
    <w:rsid w:val="00FA6CD4"/>
    <w:rsid w:val="00FA6D55"/>
    <w:rsid w:val="00FB02E8"/>
    <w:rsid w:val="00FB687C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F17-75C0-4CA8-97EB-5A11B39C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282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41</cp:revision>
  <cp:lastPrinted>2016-06-01T14:04:00Z</cp:lastPrinted>
  <dcterms:created xsi:type="dcterms:W3CDTF">2016-06-01T08:47:00Z</dcterms:created>
  <dcterms:modified xsi:type="dcterms:W3CDTF">2016-06-01T14:46:00Z</dcterms:modified>
</cp:coreProperties>
</file>