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C70E" w14:textId="15407F31" w:rsidR="00A50440" w:rsidRDefault="00E87B2B" w:rsidP="00A50440">
      <w:pPr>
        <w:pStyle w:val="Datum"/>
      </w:pPr>
      <w:r>
        <w:t>8</w:t>
      </w:r>
      <w:r w:rsidR="00B90F0D">
        <w:t xml:space="preserve">. </w:t>
      </w:r>
      <w:r>
        <w:t>3</w:t>
      </w:r>
      <w:r w:rsidR="00B90F0D">
        <w:t>. 202</w:t>
      </w:r>
      <w:r w:rsidR="009040C3">
        <w:t>4</w:t>
      </w:r>
    </w:p>
    <w:p w14:paraId="224538C2" w14:textId="556A21E7" w:rsidR="00A50440" w:rsidRPr="001121C8" w:rsidRDefault="00EC1236" w:rsidP="001121C8">
      <w:pPr>
        <w:pStyle w:val="Nzev"/>
      </w:pPr>
      <w:r>
        <w:t>Přebytek obchodní bilance se meziročně snížil</w:t>
      </w:r>
    </w:p>
    <w:p w14:paraId="033D34CE" w14:textId="3B5A23FC" w:rsidR="00B90F0D" w:rsidRPr="00B90F0D" w:rsidRDefault="00B90F0D" w:rsidP="00734AB0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E87B2B">
        <w:t>leden</w:t>
      </w:r>
      <w:r w:rsidRPr="00B90F0D">
        <w:t xml:space="preserve"> 202</w:t>
      </w:r>
      <w:r w:rsidR="00E87B2B">
        <w:t>4</w:t>
      </w:r>
    </w:p>
    <w:p w14:paraId="7C3512CB" w14:textId="34994C97" w:rsidR="00A50440" w:rsidRDefault="00C80334" w:rsidP="008D3263">
      <w:pPr>
        <w:spacing w:after="280"/>
        <w:rPr>
          <w:b/>
          <w:bCs/>
        </w:rPr>
      </w:pPr>
      <w:r w:rsidRPr="61BCBBB3">
        <w:rPr>
          <w:b/>
          <w:bCs/>
        </w:rPr>
        <w:t xml:space="preserve">Podle předběžných údajů skončila v </w:t>
      </w:r>
      <w:r w:rsidR="00E87B2B">
        <w:rPr>
          <w:b/>
          <w:bCs/>
        </w:rPr>
        <w:t>lednu</w:t>
      </w:r>
      <w:r w:rsidRPr="61BCBBB3">
        <w:rPr>
          <w:b/>
          <w:bCs/>
        </w:rPr>
        <w:t xml:space="preserve"> bilance zahraničního obchodu se zbožím v běžných cenách </w:t>
      </w:r>
      <w:r w:rsidR="00293D4E" w:rsidRPr="61BCBBB3">
        <w:rPr>
          <w:b/>
          <w:bCs/>
        </w:rPr>
        <w:t>přebytkem</w:t>
      </w:r>
      <w:r w:rsidRPr="61BCBBB3">
        <w:rPr>
          <w:b/>
          <w:bCs/>
        </w:rPr>
        <w:t xml:space="preserve"> </w:t>
      </w:r>
      <w:r w:rsidR="00ED56C1" w:rsidRPr="61BCBBB3">
        <w:rPr>
          <w:b/>
          <w:bCs/>
        </w:rPr>
        <w:t>3,</w:t>
      </w:r>
      <w:r w:rsidR="003D416A">
        <w:rPr>
          <w:b/>
          <w:bCs/>
        </w:rPr>
        <w:t>7</w:t>
      </w:r>
      <w:r w:rsidR="00B56C7A" w:rsidRPr="61BCBBB3">
        <w:rPr>
          <w:b/>
          <w:bCs/>
        </w:rPr>
        <w:t> </w:t>
      </w:r>
      <w:r w:rsidRPr="61BCBBB3">
        <w:rPr>
          <w:b/>
          <w:bCs/>
        </w:rPr>
        <w:t>mld.</w:t>
      </w:r>
      <w:r w:rsidR="00B56C7A" w:rsidRPr="61BCBBB3">
        <w:rPr>
          <w:b/>
          <w:bCs/>
        </w:rPr>
        <w:t> </w:t>
      </w:r>
      <w:r w:rsidRPr="61BCBBB3">
        <w:rPr>
          <w:b/>
          <w:bCs/>
        </w:rPr>
        <w:t xml:space="preserve">Kč, </w:t>
      </w:r>
      <w:r w:rsidR="003D416A">
        <w:rPr>
          <w:b/>
          <w:bCs/>
        </w:rPr>
        <w:t>který</w:t>
      </w:r>
      <w:r w:rsidRPr="61BCBBB3">
        <w:rPr>
          <w:b/>
          <w:bCs/>
        </w:rPr>
        <w:t xml:space="preserve"> byl meziročně o</w:t>
      </w:r>
      <w:r w:rsidR="00A12BCD" w:rsidRPr="61BCBBB3">
        <w:rPr>
          <w:b/>
          <w:bCs/>
        </w:rPr>
        <w:t> </w:t>
      </w:r>
      <w:r w:rsidR="003D416A">
        <w:rPr>
          <w:b/>
          <w:bCs/>
        </w:rPr>
        <w:t>4,2</w:t>
      </w:r>
      <w:r w:rsidR="00A12BCD" w:rsidRPr="61BCBBB3">
        <w:rPr>
          <w:b/>
          <w:bCs/>
        </w:rPr>
        <w:t> </w:t>
      </w:r>
      <w:r w:rsidRPr="61BCBBB3">
        <w:rPr>
          <w:b/>
          <w:bCs/>
        </w:rPr>
        <w:t>mld.</w:t>
      </w:r>
      <w:r w:rsidR="00A12BCD" w:rsidRPr="61BCBBB3">
        <w:rPr>
          <w:b/>
          <w:bCs/>
        </w:rPr>
        <w:t> </w:t>
      </w:r>
      <w:r w:rsidRPr="61BCBBB3">
        <w:rPr>
          <w:b/>
          <w:bCs/>
        </w:rPr>
        <w:t xml:space="preserve">Kč </w:t>
      </w:r>
      <w:r w:rsidR="003D416A">
        <w:rPr>
          <w:b/>
          <w:bCs/>
        </w:rPr>
        <w:t>nižší</w:t>
      </w:r>
      <w:r w:rsidRPr="61BCBBB3">
        <w:rPr>
          <w:b/>
          <w:bCs/>
        </w:rPr>
        <w:t>.</w:t>
      </w:r>
    </w:p>
    <w:p w14:paraId="6442B000" w14:textId="653984CC" w:rsidR="00D929E3" w:rsidRDefault="00A50440" w:rsidP="00D72228">
      <w:pPr>
        <w:keepNext/>
        <w:outlineLvl w:val="0"/>
      </w:pPr>
      <w:r>
        <w:t>Celkové saldo zahraničního obchodu</w:t>
      </w:r>
      <w:r w:rsidRPr="61BCBBB3">
        <w:rPr>
          <w:vertAlign w:val="superscript"/>
        </w:rPr>
        <w:t>1)</w:t>
      </w:r>
      <w:r>
        <w:t xml:space="preserve"> se zbožím</w:t>
      </w:r>
      <w:r w:rsidRPr="61BCBBB3">
        <w:rPr>
          <w:vertAlign w:val="superscript"/>
        </w:rPr>
        <w:t>2)</w:t>
      </w:r>
      <w:r w:rsidR="0010368E" w:rsidRPr="61BCBBB3">
        <w:rPr>
          <w:vertAlign w:val="superscript"/>
        </w:rPr>
        <w:t xml:space="preserve"> </w:t>
      </w:r>
      <w:r w:rsidR="009E4DE7" w:rsidRPr="009E4DE7">
        <w:rPr>
          <w:b/>
        </w:rPr>
        <w:t>ne</w:t>
      </w:r>
      <w:r w:rsidR="094C4ED3" w:rsidRPr="61BCBBB3">
        <w:rPr>
          <w:b/>
          <w:bCs/>
        </w:rPr>
        <w:t>p</w:t>
      </w:r>
      <w:r w:rsidRPr="61BCBBB3">
        <w:rPr>
          <w:b/>
          <w:bCs/>
        </w:rPr>
        <w:t>říznivě ovlivnil</w:t>
      </w:r>
      <w:r>
        <w:t xml:space="preserve"> </w:t>
      </w:r>
      <w:r w:rsidR="00633F2F">
        <w:t>zejména</w:t>
      </w:r>
      <w:r w:rsidR="004312CF">
        <w:t xml:space="preserve"> </w:t>
      </w:r>
      <w:r w:rsidR="00D929E3">
        <w:t>obchod s ostatními dopravními prostředky, který se meziročně zhoršil o</w:t>
      </w:r>
      <w:r w:rsidR="00150CF9">
        <w:t> </w:t>
      </w:r>
      <w:r w:rsidR="00D929E3">
        <w:t>3,9</w:t>
      </w:r>
      <w:r w:rsidR="00150CF9">
        <w:t> </w:t>
      </w:r>
      <w:r w:rsidR="00D929E3">
        <w:t>mld.</w:t>
      </w:r>
      <w:r w:rsidR="00150CF9">
        <w:t> </w:t>
      </w:r>
      <w:r w:rsidR="00D929E3">
        <w:t xml:space="preserve">Kč (přechodem z aktiva do pasiva). Přebytek obchodu s elektrickou energií se v důsledku poklesu cen </w:t>
      </w:r>
      <w:r w:rsidR="00FF7D59">
        <w:t>snížil o</w:t>
      </w:r>
      <w:r w:rsidR="00150CF9">
        <w:t> </w:t>
      </w:r>
      <w:r w:rsidR="00FF7D59">
        <w:t>2,9</w:t>
      </w:r>
      <w:r w:rsidR="00150CF9">
        <w:t> </w:t>
      </w:r>
      <w:r w:rsidR="00FF7D59">
        <w:t>mld. </w:t>
      </w:r>
      <w:r w:rsidR="00D929E3">
        <w:t>Kč</w:t>
      </w:r>
      <w:r w:rsidR="00150CF9">
        <w:t> </w:t>
      </w:r>
      <w:r w:rsidR="00D929E3">
        <w:t>a obchod s pryžovými a</w:t>
      </w:r>
      <w:r w:rsidR="00150CF9">
        <w:t> </w:t>
      </w:r>
      <w:r w:rsidR="00D929E3">
        <w:t>plastovými výrobky skončil schodkem 0,2</w:t>
      </w:r>
      <w:r w:rsidR="00150CF9">
        <w:t> </w:t>
      </w:r>
      <w:r w:rsidR="00FF7D59">
        <w:t>mld.</w:t>
      </w:r>
      <w:r w:rsidR="00150CF9">
        <w:t> Kč ve </w:t>
      </w:r>
      <w:r w:rsidR="00FF7D59">
        <w:t>srovnání s přebytkem 1,9</w:t>
      </w:r>
      <w:r w:rsidR="00150CF9">
        <w:t> </w:t>
      </w:r>
      <w:r w:rsidR="00FF7D59">
        <w:t>mld.</w:t>
      </w:r>
      <w:r w:rsidR="00150CF9">
        <w:t> </w:t>
      </w:r>
      <w:r w:rsidR="00FF7D59">
        <w:t>Kč v pře</w:t>
      </w:r>
      <w:r w:rsidR="003F76A2">
        <w:t>d</w:t>
      </w:r>
      <w:r w:rsidR="00FF7D59">
        <w:t>chozím roce.</w:t>
      </w:r>
    </w:p>
    <w:p w14:paraId="2732485A" w14:textId="77777777" w:rsidR="00DE2C0C" w:rsidRDefault="00DE2C0C" w:rsidP="00D72228">
      <w:pPr>
        <w:keepNext/>
        <w:outlineLvl w:val="0"/>
      </w:pPr>
    </w:p>
    <w:p w14:paraId="2B71E650" w14:textId="46413027" w:rsidR="00FF7D59" w:rsidRDefault="00FF7D59" w:rsidP="00C56441">
      <w:pPr>
        <w:keepNext/>
        <w:outlineLvl w:val="0"/>
      </w:pPr>
      <w:r>
        <w:rPr>
          <w:b/>
          <w:bCs/>
        </w:rPr>
        <w:t>P</w:t>
      </w:r>
      <w:r w:rsidR="00715F9B" w:rsidRPr="4E2F08C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>celkov</w:t>
      </w:r>
      <w:r w:rsidR="001B08BE">
        <w:t>ou</w:t>
      </w:r>
      <w:r w:rsidR="00715F9B">
        <w:t xml:space="preserve"> </w:t>
      </w:r>
      <w:r w:rsidR="001B08BE">
        <w:t>bilanci</w:t>
      </w:r>
      <w:r w:rsidR="00715F9B">
        <w:t xml:space="preserve"> měl </w:t>
      </w:r>
      <w:r w:rsidR="00F17022">
        <w:t xml:space="preserve">hlavně </w:t>
      </w:r>
      <w:r>
        <w:t>vyšší</w:t>
      </w:r>
      <w:r w:rsidR="00F17022">
        <w:t xml:space="preserve"> přebytek</w:t>
      </w:r>
      <w:r w:rsidR="00697270">
        <w:t xml:space="preserve"> obchodu</w:t>
      </w:r>
      <w:r>
        <w:t xml:space="preserve"> s motorovými vozidly o</w:t>
      </w:r>
      <w:r w:rsidR="00150CF9">
        <w:t> </w:t>
      </w:r>
      <w:r>
        <w:t>2,8</w:t>
      </w:r>
      <w:r w:rsidR="00150CF9">
        <w:t> </w:t>
      </w:r>
      <w:r>
        <w:t>mld. Kč a elektrickými zařízeními o</w:t>
      </w:r>
      <w:r w:rsidR="00150CF9">
        <w:t> </w:t>
      </w:r>
      <w:r>
        <w:t>2,0</w:t>
      </w:r>
      <w:r w:rsidR="00150CF9">
        <w:t> </w:t>
      </w:r>
      <w:r>
        <w:t>mld.</w:t>
      </w:r>
      <w:r w:rsidR="00150CF9">
        <w:t> </w:t>
      </w:r>
      <w:r>
        <w:t>Kč. Deficit obchodu s ropou a zemním plynem se meziročně zmenšil o</w:t>
      </w:r>
      <w:r w:rsidR="00150CF9">
        <w:t> </w:t>
      </w:r>
      <w:r>
        <w:t>1,8</w:t>
      </w:r>
      <w:r w:rsidR="00150CF9">
        <w:t> </w:t>
      </w:r>
      <w:r>
        <w:t>mld. Kč.</w:t>
      </w:r>
    </w:p>
    <w:p w14:paraId="43C43D34" w14:textId="77777777" w:rsidR="00FF7D59" w:rsidRDefault="00FF7D59" w:rsidP="00C56441">
      <w:pPr>
        <w:keepNext/>
        <w:outlineLvl w:val="0"/>
      </w:pPr>
    </w:p>
    <w:p w14:paraId="245E52E5" w14:textId="2292101F" w:rsidR="00A50440" w:rsidRPr="00FB0CEA" w:rsidRDefault="00826F19" w:rsidP="00D2156F">
      <w:pPr>
        <w:keepNext/>
        <w:outlineLvl w:val="0"/>
      </w:pPr>
      <w:r>
        <w:t>Přebytek</w:t>
      </w:r>
      <w:r w:rsidR="0055471B" w:rsidRPr="0055471B">
        <w:t xml:space="preserve"> bilance </w:t>
      </w:r>
      <w:r w:rsidR="00A50440" w:rsidRPr="0055471B">
        <w:t>zahraničního obchodu</w:t>
      </w:r>
      <w:r w:rsidR="00A50440" w:rsidRPr="007873DE">
        <w:rPr>
          <w:b/>
        </w:rPr>
        <w:t xml:space="preserve"> se státy EU</w:t>
      </w:r>
      <w:r w:rsidR="00A77A6B">
        <w:rPr>
          <w:b/>
        </w:rPr>
        <w:t xml:space="preserve"> </w:t>
      </w:r>
      <w:r w:rsidR="000A5A46" w:rsidRPr="00CE3D2E">
        <w:t>se</w:t>
      </w:r>
      <w:r w:rsidR="000A5A46">
        <w:rPr>
          <w:b/>
        </w:rPr>
        <w:t xml:space="preserve"> </w:t>
      </w:r>
      <w:r w:rsidR="00A50440">
        <w:t xml:space="preserve">v </w:t>
      </w:r>
      <w:r w:rsidR="00E87B2B">
        <w:t>lednu</w:t>
      </w:r>
      <w:r w:rsidR="00696DEE">
        <w:t xml:space="preserve"> </w:t>
      </w:r>
      <w:r w:rsidR="00A50440">
        <w:t xml:space="preserve">meziročně </w:t>
      </w:r>
      <w:r w:rsidR="000A5A46">
        <w:t xml:space="preserve">snížil </w:t>
      </w:r>
      <w:r w:rsidR="00A50440">
        <w:t>o</w:t>
      </w:r>
      <w:r w:rsidR="00003D63">
        <w:t> </w:t>
      </w:r>
      <w:r w:rsidR="009E4DE7">
        <w:t>8,6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="00A50440" w:rsidRPr="00F71419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9E4DE7">
        <w:t>3,8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14:paraId="309E970C" w14:textId="3A2C3B0D" w:rsidR="00AD7A1B" w:rsidRDefault="00AD7A1B" w:rsidP="00043BF4"/>
    <w:p w14:paraId="587BD8FA" w14:textId="7613BE25" w:rsidR="00A50440" w:rsidRPr="00FB0CEA" w:rsidRDefault="00A50440" w:rsidP="00A50440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D63750">
        <w:rPr>
          <w:rFonts w:cs="Arial"/>
          <w:szCs w:val="18"/>
        </w:rPr>
        <w:t>klesl</w:t>
      </w:r>
      <w:r w:rsidR="00ED240B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3D416A">
        <w:rPr>
          <w:rFonts w:cs="Arial"/>
          <w:szCs w:val="18"/>
        </w:rPr>
        <w:t>6,5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9E4DE7">
        <w:rPr>
          <w:rFonts w:cs="Arial"/>
          <w:szCs w:val="18"/>
        </w:rPr>
        <w:t>350,4</w:t>
      </w:r>
      <w:r w:rsidR="00150CF9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150CF9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</w:t>
      </w:r>
      <w:r w:rsidR="00D63750">
        <w:rPr>
          <w:rFonts w:cs="Arial"/>
          <w:szCs w:val="18"/>
        </w:rPr>
        <w:t xml:space="preserve"> a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150CF9">
        <w:rPr>
          <w:rFonts w:cs="Arial"/>
          <w:szCs w:val="18"/>
        </w:rPr>
        <w:t xml:space="preserve"> </w:t>
      </w:r>
      <w:r w:rsidR="009E4DE7">
        <w:rPr>
          <w:rFonts w:cs="Arial"/>
          <w:szCs w:val="18"/>
        </w:rPr>
        <w:t>5,5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% na</w:t>
      </w:r>
      <w:r w:rsidR="002840FA">
        <w:rPr>
          <w:rFonts w:cs="Arial"/>
          <w:szCs w:val="18"/>
        </w:rPr>
        <w:t xml:space="preserve"> </w:t>
      </w:r>
      <w:r w:rsidR="009E4DE7">
        <w:rPr>
          <w:rFonts w:cs="Arial"/>
          <w:szCs w:val="18"/>
        </w:rPr>
        <w:t>346,8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E87B2B">
        <w:rPr>
          <w:rFonts w:cs="Arial"/>
          <w:szCs w:val="18"/>
        </w:rPr>
        <w:t>Leden</w:t>
      </w:r>
      <w:r w:rsidR="002840FA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202</w:t>
      </w:r>
      <w:r w:rsidR="00E87B2B">
        <w:rPr>
          <w:rFonts w:cs="Arial"/>
          <w:szCs w:val="18"/>
        </w:rPr>
        <w:t>4</w:t>
      </w:r>
      <w:r w:rsidRPr="00FB0CEA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 xml:space="preserve">měl </w:t>
      </w:r>
      <w:r w:rsidR="002A2864">
        <w:rPr>
          <w:rFonts w:cs="Arial"/>
          <w:szCs w:val="18"/>
        </w:rPr>
        <w:t>stejný počet pracovních dní jako</w:t>
      </w:r>
      <w:r w:rsidR="009040C3">
        <w:rPr>
          <w:rFonts w:cs="Arial"/>
          <w:szCs w:val="18"/>
        </w:rPr>
        <w:t xml:space="preserve"> </w:t>
      </w:r>
      <w:r w:rsidR="00E87B2B">
        <w:rPr>
          <w:rFonts w:cs="Arial"/>
          <w:szCs w:val="18"/>
        </w:rPr>
        <w:t>leden</w:t>
      </w:r>
      <w:r w:rsidR="002840FA">
        <w:rPr>
          <w:rFonts w:cs="Arial"/>
          <w:szCs w:val="18"/>
        </w:rPr>
        <w:t> </w:t>
      </w:r>
      <w:r w:rsidR="00B8124C">
        <w:rPr>
          <w:rFonts w:cs="Arial"/>
          <w:szCs w:val="18"/>
        </w:rPr>
        <w:t>202</w:t>
      </w:r>
      <w:r w:rsidR="00E87B2B">
        <w:rPr>
          <w:rFonts w:cs="Arial"/>
          <w:szCs w:val="18"/>
        </w:rPr>
        <w:t>3</w:t>
      </w:r>
      <w:r w:rsidR="00B8124C">
        <w:rPr>
          <w:rFonts w:cs="Arial"/>
          <w:szCs w:val="18"/>
        </w:rPr>
        <w:t>.</w:t>
      </w:r>
      <w:r w:rsidRPr="00FB0CEA">
        <w:t xml:space="preserve"> </w:t>
      </w:r>
    </w:p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p w14:paraId="7EA7D30A" w14:textId="1B50C6B6" w:rsidR="00977C42" w:rsidRPr="00F24414" w:rsidRDefault="009E00A9" w:rsidP="787E7108">
      <w:pPr>
        <w:rPr>
          <w:i/>
        </w:rPr>
      </w:pPr>
      <w:r w:rsidRPr="61BCBBB3">
        <w:rPr>
          <w:i/>
          <w:iCs/>
        </w:rPr>
        <w:t>„</w:t>
      </w:r>
      <w:r w:rsidR="00F24414" w:rsidRPr="007471FD">
        <w:rPr>
          <w:i/>
        </w:rPr>
        <w:t>V prvním měsíci letošního roku došlo k nejvyššímu meziročnímu poklesu u obchodu s elektrickými zařízeními, a to jak na straně vývozu</w:t>
      </w:r>
      <w:bookmarkStart w:id="0" w:name="_GoBack"/>
      <w:bookmarkEnd w:id="0"/>
      <w:r w:rsidR="003F70E8">
        <w:rPr>
          <w:i/>
        </w:rPr>
        <w:t>,</w:t>
      </w:r>
      <w:r w:rsidR="00F24414" w:rsidRPr="007471FD">
        <w:rPr>
          <w:i/>
        </w:rPr>
        <w:t xml:space="preserve"> tak dovozu. Naopak k nejvyššímu meziročnímu nárůstu na obou stranách došlo u zahraničního obchodu s motorovými vozidly, kde výsledná bilance přesáhla hodnotu 49 mld. Kč.</w:t>
      </w:r>
      <w:r w:rsidRPr="61BCBBB3">
        <w:rPr>
          <w:i/>
          <w:iCs/>
        </w:rPr>
        <w:t>“</w:t>
      </w:r>
      <w:r w:rsidR="007A3C14" w:rsidRPr="61BCBBB3">
        <w:rPr>
          <w:i/>
          <w:iCs/>
        </w:rPr>
        <w:t xml:space="preserve"> </w:t>
      </w:r>
      <w:r w:rsidR="007A3C14">
        <w:t xml:space="preserve">říká Jana Mazánková, vedoucí oddělení obchodní bilance ČSÚ. </w:t>
      </w:r>
    </w:p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p w14:paraId="04974658" w14:textId="4F4C5D11" w:rsidR="00A50440" w:rsidRPr="00FB0CEA" w:rsidRDefault="00A50440" w:rsidP="00A50440">
      <w:pPr>
        <w:outlineLvl w:val="0"/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po sezónním očištění</w:t>
      </w:r>
      <w:r w:rsidR="003D416A">
        <w:rPr>
          <w:rFonts w:cs="Arial"/>
          <w:szCs w:val="18"/>
        </w:rPr>
        <w:t xml:space="preserve"> </w:t>
      </w:r>
      <w:r w:rsidR="003D416A" w:rsidRPr="0057506D">
        <w:rPr>
          <w:rFonts w:cs="Arial"/>
          <w:szCs w:val="18"/>
        </w:rPr>
        <w:t>se</w:t>
      </w:r>
      <w:r w:rsidRPr="0057506D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vývoz</w:t>
      </w:r>
      <w:r w:rsidR="003D416A">
        <w:rPr>
          <w:rFonts w:cs="Arial"/>
          <w:b/>
          <w:szCs w:val="18"/>
        </w:rPr>
        <w:t xml:space="preserve"> </w:t>
      </w:r>
      <w:r w:rsidR="003D416A" w:rsidRPr="003D416A">
        <w:rPr>
          <w:rFonts w:cs="Arial"/>
          <w:szCs w:val="18"/>
        </w:rPr>
        <w:t>snížil</w:t>
      </w:r>
      <w:r w:rsidRPr="0057506D">
        <w:rPr>
          <w:rFonts w:cs="Arial"/>
          <w:szCs w:val="18"/>
        </w:rPr>
        <w:t xml:space="preserve"> o</w:t>
      </w:r>
      <w:r w:rsidR="002840FA">
        <w:rPr>
          <w:rFonts w:cs="Arial"/>
          <w:szCs w:val="18"/>
        </w:rPr>
        <w:t xml:space="preserve"> </w:t>
      </w:r>
      <w:r w:rsidR="003D416A">
        <w:rPr>
          <w:rFonts w:cs="Arial"/>
          <w:szCs w:val="18"/>
        </w:rPr>
        <w:t>2,9</w:t>
      </w:r>
      <w:r w:rsidR="002840FA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>%</w:t>
      </w:r>
      <w:r w:rsidR="003D416A">
        <w:rPr>
          <w:rFonts w:cs="Arial"/>
          <w:szCs w:val="18"/>
        </w:rPr>
        <w:t xml:space="preserve">, zatímco 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="003D416A" w:rsidRPr="003D416A">
        <w:rPr>
          <w:rFonts w:cs="Arial"/>
          <w:szCs w:val="18"/>
        </w:rPr>
        <w:t>vzrostl</w:t>
      </w:r>
      <w:r w:rsidR="003D416A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3D416A">
        <w:rPr>
          <w:rFonts w:cs="Arial"/>
          <w:szCs w:val="18"/>
        </w:rPr>
        <w:t>0,9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p w14:paraId="5929E9F4" w14:textId="4DC51812" w:rsidR="007F585C" w:rsidRDefault="007F585C" w:rsidP="00E51213"/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3B4FA41B" w:rsidR="00C97F20" w:rsidRDefault="00C97F20" w:rsidP="00E168FB">
      <w:pPr>
        <w:spacing w:line="240" w:lineRule="auto"/>
        <w:jc w:val="left"/>
      </w:pPr>
      <w:r>
        <w:br w:type="page"/>
      </w:r>
    </w:p>
    <w:p w14:paraId="6040F41A" w14:textId="484573B8" w:rsidR="00005488" w:rsidRDefault="00005488" w:rsidP="0000548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14:paraId="3C059049" w14:textId="13D95C56" w:rsidR="00BA465F" w:rsidRDefault="00BA465F" w:rsidP="00247ED9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r:id="rId10" w:history="1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14:paraId="42D7CBE2" w14:textId="77777777" w:rsidR="00BA465F" w:rsidRDefault="00BA465F" w:rsidP="00247ED9">
      <w:pPr>
        <w:rPr>
          <w:rStyle w:val="Zdraznn"/>
          <w:rFonts w:cs="Arial"/>
          <w:sz w:val="18"/>
          <w:szCs w:val="18"/>
        </w:rPr>
      </w:pPr>
    </w:p>
    <w:p w14:paraId="144A6E9C" w14:textId="3DA9F415" w:rsidR="00247ED9" w:rsidRDefault="00377C9B" w:rsidP="00247ED9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14:paraId="67B63BBB" w14:textId="5B808E1C" w:rsidR="003E513B" w:rsidRDefault="003E513B" w:rsidP="00247ED9">
      <w:pPr>
        <w:rPr>
          <w:rStyle w:val="Zdraznn"/>
          <w:rFonts w:cs="Arial"/>
          <w:sz w:val="18"/>
          <w:szCs w:val="18"/>
        </w:rPr>
      </w:pPr>
    </w:p>
    <w:p w14:paraId="7CC6EA44" w14:textId="664D8DCA" w:rsidR="00B632CC" w:rsidRPr="00247ED9" w:rsidRDefault="003E513B" w:rsidP="00247ED9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r:id="rId11" w:history="1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14:paraId="76163C32" w14:textId="7DAAFCF8" w:rsidR="00A50440" w:rsidRDefault="00A50440" w:rsidP="009A2387">
      <w:pPr>
        <w:pStyle w:val="Poznmky0"/>
        <w:spacing w:before="120"/>
      </w:pPr>
      <w:r>
        <w:t>Poznámky:</w:t>
      </w:r>
    </w:p>
    <w:p w14:paraId="5E0DF76B" w14:textId="265ECB9E" w:rsidR="00A50440" w:rsidRPr="00ED40C7" w:rsidRDefault="00A50440" w:rsidP="004312CF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58D99D09" w14:textId="77777777" w:rsidR="00A50440" w:rsidRDefault="00A50440" w:rsidP="00A50440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14:paraId="2F6A41F4" w14:textId="77777777" w:rsidR="00A50440" w:rsidRPr="007A30A2" w:rsidRDefault="00A50440" w:rsidP="00A50440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14:paraId="1A7105C2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7CF6AE54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</w:p>
    <w:p w14:paraId="1E8AB7F7" w14:textId="3D4444EB" w:rsidR="00A50440" w:rsidRPr="007B28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7B2B">
        <w:rPr>
          <w:rFonts w:eastAsia="Arial" w:cs="Arial"/>
          <w:b/>
          <w:bCs/>
          <w:i/>
          <w:iCs/>
        </w:rPr>
        <w:t xml:space="preserve"> a 2024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14:paraId="4AC0447D" w14:textId="77777777" w:rsidR="00A50440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4D104D5F" w14:textId="77777777" w:rsidR="00A50440" w:rsidRPr="00CF2F0A" w:rsidRDefault="00A50440" w:rsidP="00A50440">
      <w:pPr>
        <w:rPr>
          <w:rFonts w:eastAsia="Arial" w:cs="Arial"/>
          <w:i/>
          <w:iCs/>
          <w:color w:val="000000"/>
          <w:sz w:val="18"/>
          <w:szCs w:val="18"/>
        </w:rPr>
      </w:pPr>
    </w:p>
    <w:p w14:paraId="057506D0" w14:textId="0266C871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14:paraId="7593101B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25DDE501" w14:textId="714F08CE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="00EA3ECA">
        <w:rPr>
          <w:rFonts w:eastAsia="Arial" w:cs="Arial"/>
          <w:i/>
          <w:iCs/>
          <w:sz w:val="18"/>
          <w:szCs w:val="18"/>
        </w:rPr>
        <w:t>Ing. Jana Mazánková</w:t>
      </w:r>
      <w:r w:rsidRPr="6A06770D">
        <w:rPr>
          <w:rFonts w:eastAsia="Arial" w:cs="Arial"/>
          <w:i/>
          <w:iCs/>
          <w:sz w:val="18"/>
          <w:szCs w:val="18"/>
        </w:rPr>
        <w:t>,</w:t>
      </w:r>
      <w:r w:rsidR="00EA3ECA">
        <w:rPr>
          <w:rFonts w:eastAsia="Arial" w:cs="Arial"/>
          <w:i/>
          <w:iCs/>
          <w:sz w:val="18"/>
          <w:szCs w:val="18"/>
        </w:rPr>
        <w:t xml:space="preserve"> vedoucí </w:t>
      </w:r>
      <w:r w:rsidRPr="6A06770D">
        <w:rPr>
          <w:rFonts w:eastAsia="Arial" w:cs="Arial"/>
          <w:i/>
          <w:iCs/>
          <w:sz w:val="18"/>
          <w:szCs w:val="18"/>
        </w:rPr>
        <w:t>oddělení obchodní bilance</w:t>
      </w:r>
      <w:r w:rsidR="00EA3ECA">
        <w:rPr>
          <w:rFonts w:eastAsia="Arial" w:cs="Arial"/>
          <w:i/>
          <w:iCs/>
          <w:sz w:val="18"/>
          <w:szCs w:val="18"/>
        </w:rPr>
        <w:t xml:space="preserve">  tel. 274 054 144 </w:t>
      </w:r>
      <w:r w:rsidRPr="6A06770D">
        <w:rPr>
          <w:rFonts w:eastAsia="Arial" w:cs="Arial"/>
          <w:i/>
          <w:iCs/>
          <w:sz w:val="18"/>
          <w:szCs w:val="18"/>
        </w:rPr>
        <w:t xml:space="preserve">, e-mail: </w:t>
      </w:r>
      <w:hyperlink r:id="rId13" w:history="1">
        <w:r w:rsidR="00F87C77" w:rsidRPr="00DA51BF">
          <w:rPr>
            <w:rStyle w:val="Hypertextovodkaz"/>
            <w:rFonts w:eastAsia="Arial" w:cs="Arial"/>
            <w:i/>
            <w:iCs/>
            <w:sz w:val="18"/>
            <w:szCs w:val="18"/>
          </w:rPr>
          <w:t>jana.mazankova@czso.cz</w:t>
        </w:r>
      </w:hyperlink>
    </w:p>
    <w:p w14:paraId="4CA72151" w14:textId="77777777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14:paraId="42B604FB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5BE9E1E1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368B66A1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1CED0BED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CEF49FB" w14:textId="43169B62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B92EC6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B92EC6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14:paraId="3D15A45B" w14:textId="4F569DE7" w:rsidR="002E7DF6" w:rsidRDefault="00614494" w:rsidP="00E94F34">
      <w:pPr>
        <w:ind w:left="3600" w:hanging="3600"/>
        <w:jc w:val="left"/>
        <w:rPr>
          <w:rFonts w:eastAsia="Arial"/>
          <w:b/>
          <w:i/>
          <w:iCs/>
          <w:szCs w:val="18"/>
        </w:rPr>
      </w:pPr>
      <w:r>
        <w:rPr>
          <w:rFonts w:eastAsia="Arial" w:cs="Arial"/>
          <w:i/>
          <w:iCs/>
          <w:sz w:val="18"/>
          <w:szCs w:val="18"/>
        </w:rPr>
        <w:tab/>
      </w:r>
    </w:p>
    <w:p w14:paraId="00DB0EFA" w14:textId="75D5184D" w:rsidR="00A50440" w:rsidRDefault="00A50440" w:rsidP="00A50440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D5003C">
        <w:rPr>
          <w:rFonts w:eastAsia="Arial"/>
          <w:b w:val="0"/>
          <w:i/>
          <w:iCs/>
          <w:szCs w:val="18"/>
        </w:rPr>
        <w:t>8</w:t>
      </w:r>
      <w:r w:rsidR="00734AB0">
        <w:rPr>
          <w:rFonts w:eastAsia="Arial"/>
          <w:b w:val="0"/>
          <w:i/>
          <w:iCs/>
          <w:szCs w:val="18"/>
        </w:rPr>
        <w:t xml:space="preserve">. </w:t>
      </w:r>
      <w:r w:rsidR="00E87B2B">
        <w:rPr>
          <w:rFonts w:eastAsia="Arial"/>
          <w:b w:val="0"/>
          <w:i/>
          <w:iCs/>
          <w:szCs w:val="18"/>
        </w:rPr>
        <w:t>4</w:t>
      </w:r>
      <w:r w:rsidR="00734AB0">
        <w:rPr>
          <w:rFonts w:eastAsia="Arial"/>
          <w:b w:val="0"/>
          <w:i/>
          <w:iCs/>
          <w:szCs w:val="18"/>
        </w:rPr>
        <w:t>. 202</w:t>
      </w:r>
      <w:r w:rsidR="002C7C08">
        <w:rPr>
          <w:rFonts w:eastAsia="Arial"/>
          <w:b w:val="0"/>
          <w:i/>
          <w:iCs/>
          <w:szCs w:val="18"/>
        </w:rPr>
        <w:t>4</w:t>
      </w:r>
    </w:p>
    <w:p w14:paraId="6EDA48FC" w14:textId="77777777" w:rsidR="00A50440" w:rsidRDefault="00A50440" w:rsidP="00A50440">
      <w:pPr>
        <w:pStyle w:val="Datum"/>
      </w:pPr>
    </w:p>
    <w:p w14:paraId="472EE648" w14:textId="69A1DE62" w:rsidR="00A50440" w:rsidRPr="00ED40C7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14:paraId="119EE0B1" w14:textId="304BDE74" w:rsidR="00A50440" w:rsidRPr="005D32FF" w:rsidRDefault="00A50440" w:rsidP="005D32FF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6F55" w14:textId="77777777" w:rsidR="00396201" w:rsidRDefault="00396201" w:rsidP="00BA6370">
      <w:r>
        <w:separator/>
      </w:r>
    </w:p>
  </w:endnote>
  <w:endnote w:type="continuationSeparator" w:id="0">
    <w:p w14:paraId="63022784" w14:textId="77777777" w:rsidR="00396201" w:rsidRDefault="003962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036AE0B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705C9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036AE0B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705C9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B30F" w14:textId="77777777" w:rsidR="00396201" w:rsidRDefault="00396201" w:rsidP="00BA6370">
      <w:r>
        <w:separator/>
      </w:r>
    </w:p>
  </w:footnote>
  <w:footnote w:type="continuationSeparator" w:id="0">
    <w:p w14:paraId="0B1D58BE" w14:textId="77777777" w:rsidR="00396201" w:rsidRDefault="003962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05A81"/>
    <w:rsid w:val="00010717"/>
    <w:rsid w:val="0002020F"/>
    <w:rsid w:val="00027602"/>
    <w:rsid w:val="00033FDD"/>
    <w:rsid w:val="000411D5"/>
    <w:rsid w:val="0004226F"/>
    <w:rsid w:val="0004262A"/>
    <w:rsid w:val="00043BF4"/>
    <w:rsid w:val="000536AB"/>
    <w:rsid w:val="0005579A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5A46"/>
    <w:rsid w:val="000A7BE4"/>
    <w:rsid w:val="000B017B"/>
    <w:rsid w:val="000B4D13"/>
    <w:rsid w:val="000B6F63"/>
    <w:rsid w:val="000B7E81"/>
    <w:rsid w:val="000D093F"/>
    <w:rsid w:val="000D23CF"/>
    <w:rsid w:val="000E43CC"/>
    <w:rsid w:val="000E7831"/>
    <w:rsid w:val="000F18DE"/>
    <w:rsid w:val="000F210D"/>
    <w:rsid w:val="000F49C3"/>
    <w:rsid w:val="000F756B"/>
    <w:rsid w:val="00101539"/>
    <w:rsid w:val="0010368E"/>
    <w:rsid w:val="00104CE4"/>
    <w:rsid w:val="001059E6"/>
    <w:rsid w:val="001077BA"/>
    <w:rsid w:val="001121C8"/>
    <w:rsid w:val="00112D5B"/>
    <w:rsid w:val="00114489"/>
    <w:rsid w:val="00114C95"/>
    <w:rsid w:val="001167EB"/>
    <w:rsid w:val="001174FE"/>
    <w:rsid w:val="001211DC"/>
    <w:rsid w:val="00121DB3"/>
    <w:rsid w:val="00125540"/>
    <w:rsid w:val="00127CF7"/>
    <w:rsid w:val="00136A4C"/>
    <w:rsid w:val="001404AB"/>
    <w:rsid w:val="001424B3"/>
    <w:rsid w:val="0014648F"/>
    <w:rsid w:val="00147337"/>
    <w:rsid w:val="00147891"/>
    <w:rsid w:val="00150281"/>
    <w:rsid w:val="00150CF9"/>
    <w:rsid w:val="001511B3"/>
    <w:rsid w:val="0015440B"/>
    <w:rsid w:val="0015590D"/>
    <w:rsid w:val="00156904"/>
    <w:rsid w:val="001569E9"/>
    <w:rsid w:val="0016465D"/>
    <w:rsid w:val="00164F25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20E"/>
    <w:rsid w:val="001849B8"/>
    <w:rsid w:val="00184ED3"/>
    <w:rsid w:val="001856C5"/>
    <w:rsid w:val="00190CAF"/>
    <w:rsid w:val="00191288"/>
    <w:rsid w:val="00194AEB"/>
    <w:rsid w:val="001967E5"/>
    <w:rsid w:val="001A50D3"/>
    <w:rsid w:val="001B03D6"/>
    <w:rsid w:val="001B08BE"/>
    <w:rsid w:val="001B2E40"/>
    <w:rsid w:val="001B306B"/>
    <w:rsid w:val="001B4572"/>
    <w:rsid w:val="001B607F"/>
    <w:rsid w:val="001C3943"/>
    <w:rsid w:val="001C46E0"/>
    <w:rsid w:val="001C48D1"/>
    <w:rsid w:val="001C6F83"/>
    <w:rsid w:val="001D0480"/>
    <w:rsid w:val="001D369A"/>
    <w:rsid w:val="001D4F4D"/>
    <w:rsid w:val="001D6B64"/>
    <w:rsid w:val="001E3117"/>
    <w:rsid w:val="001E3FC7"/>
    <w:rsid w:val="001E4807"/>
    <w:rsid w:val="001E5BFA"/>
    <w:rsid w:val="001E6C20"/>
    <w:rsid w:val="001F08B3"/>
    <w:rsid w:val="001F146A"/>
    <w:rsid w:val="001F1F33"/>
    <w:rsid w:val="001F2FE0"/>
    <w:rsid w:val="001F6BE8"/>
    <w:rsid w:val="00200854"/>
    <w:rsid w:val="002009D1"/>
    <w:rsid w:val="002070FB"/>
    <w:rsid w:val="002102BC"/>
    <w:rsid w:val="00212448"/>
    <w:rsid w:val="00213729"/>
    <w:rsid w:val="0021487D"/>
    <w:rsid w:val="00215659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3F6B"/>
    <w:rsid w:val="002676B3"/>
    <w:rsid w:val="00273288"/>
    <w:rsid w:val="0027410B"/>
    <w:rsid w:val="00275DF8"/>
    <w:rsid w:val="0028249D"/>
    <w:rsid w:val="00282C5D"/>
    <w:rsid w:val="002840FA"/>
    <w:rsid w:val="00284728"/>
    <w:rsid w:val="00291DE6"/>
    <w:rsid w:val="00293D4E"/>
    <w:rsid w:val="00294791"/>
    <w:rsid w:val="002A18A2"/>
    <w:rsid w:val="002A2864"/>
    <w:rsid w:val="002B1444"/>
    <w:rsid w:val="002B2E47"/>
    <w:rsid w:val="002B5189"/>
    <w:rsid w:val="002B66AC"/>
    <w:rsid w:val="002C2F8A"/>
    <w:rsid w:val="002C3989"/>
    <w:rsid w:val="002C5DD8"/>
    <w:rsid w:val="002C7BC1"/>
    <w:rsid w:val="002C7C08"/>
    <w:rsid w:val="002D070D"/>
    <w:rsid w:val="002D31F9"/>
    <w:rsid w:val="002D3670"/>
    <w:rsid w:val="002D38A4"/>
    <w:rsid w:val="002D7F4F"/>
    <w:rsid w:val="002E3032"/>
    <w:rsid w:val="002E34CB"/>
    <w:rsid w:val="002E39D6"/>
    <w:rsid w:val="002E7A36"/>
    <w:rsid w:val="002E7DF6"/>
    <w:rsid w:val="002F0458"/>
    <w:rsid w:val="002F349B"/>
    <w:rsid w:val="0030065B"/>
    <w:rsid w:val="00305D32"/>
    <w:rsid w:val="0030618F"/>
    <w:rsid w:val="00310FFD"/>
    <w:rsid w:val="00314AE2"/>
    <w:rsid w:val="0031721C"/>
    <w:rsid w:val="00321B18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3048"/>
    <w:rsid w:val="003956DE"/>
    <w:rsid w:val="00395B8F"/>
    <w:rsid w:val="00396201"/>
    <w:rsid w:val="0039631B"/>
    <w:rsid w:val="00397580"/>
    <w:rsid w:val="00397848"/>
    <w:rsid w:val="003A0DB4"/>
    <w:rsid w:val="003A45C8"/>
    <w:rsid w:val="003A57F2"/>
    <w:rsid w:val="003B44D4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416A"/>
    <w:rsid w:val="003D54FC"/>
    <w:rsid w:val="003D6C57"/>
    <w:rsid w:val="003D7EC9"/>
    <w:rsid w:val="003E513B"/>
    <w:rsid w:val="003E6819"/>
    <w:rsid w:val="003E7981"/>
    <w:rsid w:val="003F1E9E"/>
    <w:rsid w:val="003F526A"/>
    <w:rsid w:val="003F70E8"/>
    <w:rsid w:val="003F76A2"/>
    <w:rsid w:val="003F76D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4D18"/>
    <w:rsid w:val="0045547F"/>
    <w:rsid w:val="004710C7"/>
    <w:rsid w:val="00471DEF"/>
    <w:rsid w:val="00472310"/>
    <w:rsid w:val="00472E1C"/>
    <w:rsid w:val="00473A3B"/>
    <w:rsid w:val="00474045"/>
    <w:rsid w:val="00475F8F"/>
    <w:rsid w:val="00481034"/>
    <w:rsid w:val="0048208F"/>
    <w:rsid w:val="00482238"/>
    <w:rsid w:val="00486ABB"/>
    <w:rsid w:val="004920AD"/>
    <w:rsid w:val="004959CD"/>
    <w:rsid w:val="004961EE"/>
    <w:rsid w:val="004A0368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C7F27"/>
    <w:rsid w:val="004D05B3"/>
    <w:rsid w:val="004D0B12"/>
    <w:rsid w:val="004D473E"/>
    <w:rsid w:val="004E479E"/>
    <w:rsid w:val="004E5761"/>
    <w:rsid w:val="004F067F"/>
    <w:rsid w:val="004F4B24"/>
    <w:rsid w:val="004F626B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254EE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02E0"/>
    <w:rsid w:val="0064139A"/>
    <w:rsid w:val="0064203E"/>
    <w:rsid w:val="006475E6"/>
    <w:rsid w:val="00650BCA"/>
    <w:rsid w:val="0065597D"/>
    <w:rsid w:val="00661A7F"/>
    <w:rsid w:val="00661FEB"/>
    <w:rsid w:val="006634F6"/>
    <w:rsid w:val="00663C92"/>
    <w:rsid w:val="00664165"/>
    <w:rsid w:val="006663F8"/>
    <w:rsid w:val="00667D43"/>
    <w:rsid w:val="00692211"/>
    <w:rsid w:val="006931CF"/>
    <w:rsid w:val="00695799"/>
    <w:rsid w:val="00696DEE"/>
    <w:rsid w:val="00697270"/>
    <w:rsid w:val="006B374C"/>
    <w:rsid w:val="006B782E"/>
    <w:rsid w:val="006C2170"/>
    <w:rsid w:val="006D21EB"/>
    <w:rsid w:val="006D25F0"/>
    <w:rsid w:val="006D34DA"/>
    <w:rsid w:val="006E024F"/>
    <w:rsid w:val="006E055A"/>
    <w:rsid w:val="006E16D7"/>
    <w:rsid w:val="006E1F9C"/>
    <w:rsid w:val="006E4E81"/>
    <w:rsid w:val="006F145A"/>
    <w:rsid w:val="006F197D"/>
    <w:rsid w:val="006F47F4"/>
    <w:rsid w:val="006F6351"/>
    <w:rsid w:val="00700BBA"/>
    <w:rsid w:val="00702114"/>
    <w:rsid w:val="00705C9A"/>
    <w:rsid w:val="00706E3D"/>
    <w:rsid w:val="00707F7D"/>
    <w:rsid w:val="00710EE3"/>
    <w:rsid w:val="0071277F"/>
    <w:rsid w:val="00714A36"/>
    <w:rsid w:val="00715F9B"/>
    <w:rsid w:val="00717EC5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11EA"/>
    <w:rsid w:val="0077370B"/>
    <w:rsid w:val="00775373"/>
    <w:rsid w:val="00787710"/>
    <w:rsid w:val="00787B80"/>
    <w:rsid w:val="00787C83"/>
    <w:rsid w:val="00797CF0"/>
    <w:rsid w:val="007A140C"/>
    <w:rsid w:val="007A2048"/>
    <w:rsid w:val="007A39F9"/>
    <w:rsid w:val="007A3C14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37B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18EA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17DB5"/>
    <w:rsid w:val="00826F19"/>
    <w:rsid w:val="00831959"/>
    <w:rsid w:val="00831B1B"/>
    <w:rsid w:val="00835470"/>
    <w:rsid w:val="0084039D"/>
    <w:rsid w:val="0084574A"/>
    <w:rsid w:val="00846638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949AD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0E9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40C3"/>
    <w:rsid w:val="00904F74"/>
    <w:rsid w:val="0090522C"/>
    <w:rsid w:val="0091142B"/>
    <w:rsid w:val="009125F8"/>
    <w:rsid w:val="00912A9F"/>
    <w:rsid w:val="009141E7"/>
    <w:rsid w:val="00915CF1"/>
    <w:rsid w:val="00921A01"/>
    <w:rsid w:val="00930AD3"/>
    <w:rsid w:val="0093151C"/>
    <w:rsid w:val="00936FD1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753B3"/>
    <w:rsid w:val="00977C42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285D"/>
    <w:rsid w:val="009B3629"/>
    <w:rsid w:val="009B48C1"/>
    <w:rsid w:val="009B4919"/>
    <w:rsid w:val="009B55B1"/>
    <w:rsid w:val="009B5758"/>
    <w:rsid w:val="009B60D6"/>
    <w:rsid w:val="009B62A7"/>
    <w:rsid w:val="009C35C8"/>
    <w:rsid w:val="009C39F0"/>
    <w:rsid w:val="009C43B8"/>
    <w:rsid w:val="009D2658"/>
    <w:rsid w:val="009D4AE9"/>
    <w:rsid w:val="009E00A9"/>
    <w:rsid w:val="009E0E52"/>
    <w:rsid w:val="009E41A2"/>
    <w:rsid w:val="009E4DE7"/>
    <w:rsid w:val="009E59CE"/>
    <w:rsid w:val="009E6A98"/>
    <w:rsid w:val="009E6C6B"/>
    <w:rsid w:val="009F5A37"/>
    <w:rsid w:val="009F6A50"/>
    <w:rsid w:val="00A0762A"/>
    <w:rsid w:val="00A1095E"/>
    <w:rsid w:val="00A12BCD"/>
    <w:rsid w:val="00A13255"/>
    <w:rsid w:val="00A14326"/>
    <w:rsid w:val="00A14C07"/>
    <w:rsid w:val="00A17345"/>
    <w:rsid w:val="00A20F37"/>
    <w:rsid w:val="00A238D4"/>
    <w:rsid w:val="00A24203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40AD"/>
    <w:rsid w:val="00A671F9"/>
    <w:rsid w:val="00A70A83"/>
    <w:rsid w:val="00A7133C"/>
    <w:rsid w:val="00A714B5"/>
    <w:rsid w:val="00A71D8C"/>
    <w:rsid w:val="00A747F5"/>
    <w:rsid w:val="00A77A6B"/>
    <w:rsid w:val="00A802B0"/>
    <w:rsid w:val="00A81EB3"/>
    <w:rsid w:val="00A8720D"/>
    <w:rsid w:val="00A9335A"/>
    <w:rsid w:val="00A93749"/>
    <w:rsid w:val="00A94B5D"/>
    <w:rsid w:val="00A955BC"/>
    <w:rsid w:val="00AA2F27"/>
    <w:rsid w:val="00AA437E"/>
    <w:rsid w:val="00AA6C36"/>
    <w:rsid w:val="00AB008C"/>
    <w:rsid w:val="00AB3410"/>
    <w:rsid w:val="00AB4A84"/>
    <w:rsid w:val="00AC367C"/>
    <w:rsid w:val="00AC6DDD"/>
    <w:rsid w:val="00AC7480"/>
    <w:rsid w:val="00AD0163"/>
    <w:rsid w:val="00AD112E"/>
    <w:rsid w:val="00AD7A1B"/>
    <w:rsid w:val="00AD7DB2"/>
    <w:rsid w:val="00AE471A"/>
    <w:rsid w:val="00AE7719"/>
    <w:rsid w:val="00AF3597"/>
    <w:rsid w:val="00AF3D9B"/>
    <w:rsid w:val="00AF5FEA"/>
    <w:rsid w:val="00B00A6E"/>
    <w:rsid w:val="00B00C1D"/>
    <w:rsid w:val="00B02929"/>
    <w:rsid w:val="00B042C8"/>
    <w:rsid w:val="00B06005"/>
    <w:rsid w:val="00B06F62"/>
    <w:rsid w:val="00B0762F"/>
    <w:rsid w:val="00B147C1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28B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2A3C"/>
    <w:rsid w:val="00B632CC"/>
    <w:rsid w:val="00B65F3D"/>
    <w:rsid w:val="00B704A0"/>
    <w:rsid w:val="00B71CA6"/>
    <w:rsid w:val="00B74782"/>
    <w:rsid w:val="00B753D2"/>
    <w:rsid w:val="00B8124C"/>
    <w:rsid w:val="00B825AE"/>
    <w:rsid w:val="00B83580"/>
    <w:rsid w:val="00B90758"/>
    <w:rsid w:val="00B90F0D"/>
    <w:rsid w:val="00B911E1"/>
    <w:rsid w:val="00B92EC6"/>
    <w:rsid w:val="00BA08CD"/>
    <w:rsid w:val="00BA12F1"/>
    <w:rsid w:val="00BA1808"/>
    <w:rsid w:val="00BA22EA"/>
    <w:rsid w:val="00BA439F"/>
    <w:rsid w:val="00BA465F"/>
    <w:rsid w:val="00BA48A8"/>
    <w:rsid w:val="00BA6370"/>
    <w:rsid w:val="00BA77F5"/>
    <w:rsid w:val="00BC1DA1"/>
    <w:rsid w:val="00BC65AC"/>
    <w:rsid w:val="00BC66D6"/>
    <w:rsid w:val="00BD1688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1B5A"/>
    <w:rsid w:val="00C0233C"/>
    <w:rsid w:val="00C07114"/>
    <w:rsid w:val="00C14E09"/>
    <w:rsid w:val="00C1559D"/>
    <w:rsid w:val="00C210C8"/>
    <w:rsid w:val="00C23623"/>
    <w:rsid w:val="00C24438"/>
    <w:rsid w:val="00C2487C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80303"/>
    <w:rsid w:val="00C80334"/>
    <w:rsid w:val="00C8247C"/>
    <w:rsid w:val="00C82657"/>
    <w:rsid w:val="00C8406E"/>
    <w:rsid w:val="00C84FDD"/>
    <w:rsid w:val="00C857AC"/>
    <w:rsid w:val="00C85877"/>
    <w:rsid w:val="00C910EA"/>
    <w:rsid w:val="00C930FA"/>
    <w:rsid w:val="00C93B98"/>
    <w:rsid w:val="00C96D4C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1FB4"/>
    <w:rsid w:val="00CD4BA7"/>
    <w:rsid w:val="00CD4EF4"/>
    <w:rsid w:val="00CD5F5B"/>
    <w:rsid w:val="00CD618A"/>
    <w:rsid w:val="00CE0A1A"/>
    <w:rsid w:val="00CE13A2"/>
    <w:rsid w:val="00CE228C"/>
    <w:rsid w:val="00CE286F"/>
    <w:rsid w:val="00CE3D2E"/>
    <w:rsid w:val="00CE4B0F"/>
    <w:rsid w:val="00CE6520"/>
    <w:rsid w:val="00CE71D9"/>
    <w:rsid w:val="00CF0FC0"/>
    <w:rsid w:val="00CF14B3"/>
    <w:rsid w:val="00CF2DEE"/>
    <w:rsid w:val="00CF545B"/>
    <w:rsid w:val="00CF5F5E"/>
    <w:rsid w:val="00D00916"/>
    <w:rsid w:val="00D01588"/>
    <w:rsid w:val="00D123F5"/>
    <w:rsid w:val="00D12D06"/>
    <w:rsid w:val="00D2076A"/>
    <w:rsid w:val="00D209A7"/>
    <w:rsid w:val="00D2156F"/>
    <w:rsid w:val="00D215E5"/>
    <w:rsid w:val="00D2316E"/>
    <w:rsid w:val="00D27714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27CF"/>
    <w:rsid w:val="00D448C2"/>
    <w:rsid w:val="00D45755"/>
    <w:rsid w:val="00D5003C"/>
    <w:rsid w:val="00D50B61"/>
    <w:rsid w:val="00D54284"/>
    <w:rsid w:val="00D548D1"/>
    <w:rsid w:val="00D5648E"/>
    <w:rsid w:val="00D57835"/>
    <w:rsid w:val="00D57C5A"/>
    <w:rsid w:val="00D625F9"/>
    <w:rsid w:val="00D63750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29E3"/>
    <w:rsid w:val="00D93EE1"/>
    <w:rsid w:val="00D941FD"/>
    <w:rsid w:val="00D94D96"/>
    <w:rsid w:val="00DA2411"/>
    <w:rsid w:val="00DA2904"/>
    <w:rsid w:val="00DA72C3"/>
    <w:rsid w:val="00DB00BD"/>
    <w:rsid w:val="00DB1226"/>
    <w:rsid w:val="00DB5F33"/>
    <w:rsid w:val="00DB6FF7"/>
    <w:rsid w:val="00DC208F"/>
    <w:rsid w:val="00DC28B3"/>
    <w:rsid w:val="00DC575E"/>
    <w:rsid w:val="00DC6E67"/>
    <w:rsid w:val="00DC7AFC"/>
    <w:rsid w:val="00DD1BBE"/>
    <w:rsid w:val="00DD31DB"/>
    <w:rsid w:val="00DD63D9"/>
    <w:rsid w:val="00DE0044"/>
    <w:rsid w:val="00DE12C7"/>
    <w:rsid w:val="00DE2C0C"/>
    <w:rsid w:val="00DE2CD6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0A8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A89"/>
    <w:rsid w:val="00E64F63"/>
    <w:rsid w:val="00E67709"/>
    <w:rsid w:val="00E74976"/>
    <w:rsid w:val="00E7747B"/>
    <w:rsid w:val="00E80876"/>
    <w:rsid w:val="00E86E93"/>
    <w:rsid w:val="00E87AD5"/>
    <w:rsid w:val="00E87B2B"/>
    <w:rsid w:val="00E93830"/>
    <w:rsid w:val="00E93E0E"/>
    <w:rsid w:val="00E94F34"/>
    <w:rsid w:val="00E95AD1"/>
    <w:rsid w:val="00E95E30"/>
    <w:rsid w:val="00E9607A"/>
    <w:rsid w:val="00EA0603"/>
    <w:rsid w:val="00EA2DAE"/>
    <w:rsid w:val="00EA3ECA"/>
    <w:rsid w:val="00EA5226"/>
    <w:rsid w:val="00EA5FA8"/>
    <w:rsid w:val="00EA72B2"/>
    <w:rsid w:val="00EA7BF7"/>
    <w:rsid w:val="00EB1ED3"/>
    <w:rsid w:val="00EB3B7D"/>
    <w:rsid w:val="00EC1236"/>
    <w:rsid w:val="00EC496B"/>
    <w:rsid w:val="00EC69C6"/>
    <w:rsid w:val="00ED240B"/>
    <w:rsid w:val="00ED56C1"/>
    <w:rsid w:val="00ED7BF1"/>
    <w:rsid w:val="00EE2A6D"/>
    <w:rsid w:val="00EE3DFC"/>
    <w:rsid w:val="00EE5946"/>
    <w:rsid w:val="00EE7A14"/>
    <w:rsid w:val="00EF0930"/>
    <w:rsid w:val="00EF3498"/>
    <w:rsid w:val="00EF596F"/>
    <w:rsid w:val="00EF5DC2"/>
    <w:rsid w:val="00EF662F"/>
    <w:rsid w:val="00EF7FA2"/>
    <w:rsid w:val="00F03F86"/>
    <w:rsid w:val="00F07408"/>
    <w:rsid w:val="00F14022"/>
    <w:rsid w:val="00F16C80"/>
    <w:rsid w:val="00F17022"/>
    <w:rsid w:val="00F22BBA"/>
    <w:rsid w:val="00F24414"/>
    <w:rsid w:val="00F24421"/>
    <w:rsid w:val="00F31ECD"/>
    <w:rsid w:val="00F320A9"/>
    <w:rsid w:val="00F40289"/>
    <w:rsid w:val="00F4434D"/>
    <w:rsid w:val="00F45402"/>
    <w:rsid w:val="00F501A8"/>
    <w:rsid w:val="00F530FF"/>
    <w:rsid w:val="00F549B8"/>
    <w:rsid w:val="00F61057"/>
    <w:rsid w:val="00F615C5"/>
    <w:rsid w:val="00F61BE7"/>
    <w:rsid w:val="00F6594C"/>
    <w:rsid w:val="00F737AB"/>
    <w:rsid w:val="00F75F2A"/>
    <w:rsid w:val="00F810F7"/>
    <w:rsid w:val="00F82FC7"/>
    <w:rsid w:val="00F87C77"/>
    <w:rsid w:val="00F92E16"/>
    <w:rsid w:val="00F969E7"/>
    <w:rsid w:val="00FA3CD3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E5F4A"/>
    <w:rsid w:val="00FE714E"/>
    <w:rsid w:val="00FF39FF"/>
    <w:rsid w:val="00FF3E96"/>
    <w:rsid w:val="00FF79E3"/>
    <w:rsid w:val="00FF7D59"/>
    <w:rsid w:val="011BB525"/>
    <w:rsid w:val="053B523F"/>
    <w:rsid w:val="053EBCAA"/>
    <w:rsid w:val="05B2BA76"/>
    <w:rsid w:val="05BE99DE"/>
    <w:rsid w:val="094C4ED3"/>
    <w:rsid w:val="0C03B24D"/>
    <w:rsid w:val="0C731750"/>
    <w:rsid w:val="0D7FF0EE"/>
    <w:rsid w:val="0D9BFEF5"/>
    <w:rsid w:val="0EF2C4CA"/>
    <w:rsid w:val="11EC1496"/>
    <w:rsid w:val="127E367A"/>
    <w:rsid w:val="14716737"/>
    <w:rsid w:val="16D195E1"/>
    <w:rsid w:val="17427EF5"/>
    <w:rsid w:val="1A5B5483"/>
    <w:rsid w:val="1E3513B6"/>
    <w:rsid w:val="1FFCF50F"/>
    <w:rsid w:val="204CB1A2"/>
    <w:rsid w:val="23B7D778"/>
    <w:rsid w:val="247A78D0"/>
    <w:rsid w:val="2914C483"/>
    <w:rsid w:val="2AA6A957"/>
    <w:rsid w:val="2BA8DFFE"/>
    <w:rsid w:val="2E84B2F1"/>
    <w:rsid w:val="30A4D83E"/>
    <w:rsid w:val="3524101C"/>
    <w:rsid w:val="397EC4DD"/>
    <w:rsid w:val="3D4432C5"/>
    <w:rsid w:val="3E70AB67"/>
    <w:rsid w:val="405D94F7"/>
    <w:rsid w:val="4234FDAF"/>
    <w:rsid w:val="44918E8E"/>
    <w:rsid w:val="49672137"/>
    <w:rsid w:val="496B5917"/>
    <w:rsid w:val="49A03A80"/>
    <w:rsid w:val="4BA77CE9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4DF8215"/>
    <w:rsid w:val="55864619"/>
    <w:rsid w:val="570AB570"/>
    <w:rsid w:val="5862A774"/>
    <w:rsid w:val="58EEDFA5"/>
    <w:rsid w:val="5C085ED3"/>
    <w:rsid w:val="5FE52D3C"/>
    <w:rsid w:val="5FF1AF48"/>
    <w:rsid w:val="608A437F"/>
    <w:rsid w:val="60BB0026"/>
    <w:rsid w:val="61BCBBB3"/>
    <w:rsid w:val="63280A13"/>
    <w:rsid w:val="63310A2A"/>
    <w:rsid w:val="65691FCC"/>
    <w:rsid w:val="67B9A9B4"/>
    <w:rsid w:val="6D9C0DF6"/>
    <w:rsid w:val="6F1CC298"/>
    <w:rsid w:val="70B892F9"/>
    <w:rsid w:val="70D0D4CE"/>
    <w:rsid w:val="7235CC6D"/>
    <w:rsid w:val="72B25F88"/>
    <w:rsid w:val="736A9130"/>
    <w:rsid w:val="7484F147"/>
    <w:rsid w:val="74881B91"/>
    <w:rsid w:val="787E7108"/>
    <w:rsid w:val="795CA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a.mazank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6" ma:contentTypeDescription="Vytvoří nový dokument" ma:contentTypeScope="" ma:versionID="04e03df512a2513df426330df13caf45">
  <xsd:schema xmlns:xsd="http://www.w3.org/2001/XMLSchema" xmlns:xs="http://www.w3.org/2001/XMLSchema" xmlns:p="http://schemas.microsoft.com/office/2006/metadata/properties" xmlns:ns2="6f5a4aca-455c-4012-a902-4d97d6c174df" xmlns:ns3="f28f9d59-8e8c-47b3-82f3-fb176171be54" targetNamespace="http://schemas.microsoft.com/office/2006/metadata/properties" ma:root="true" ma:fieldsID="04e59b4b90537a2e99227a784855d893" ns2:_="" ns3:_="">
    <xsd:import namespace="6f5a4aca-455c-4012-a902-4d97d6c174df"/>
    <xsd:import namespace="f28f9d59-8e8c-47b3-82f3-fb176171b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9d59-8e8c-47b3-82f3-fb176171b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096-1805-4CF1-8140-913A149BE8C2}"/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927d68-6aa3-420b-a02e-a4390ec9f7e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D0599-BD84-4689-AB5A-B61979D5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220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Mazánková Jana</cp:lastModifiedBy>
  <cp:revision>18</cp:revision>
  <cp:lastPrinted>2024-03-01T08:59:00Z</cp:lastPrinted>
  <dcterms:created xsi:type="dcterms:W3CDTF">2024-01-31T13:11:00Z</dcterms:created>
  <dcterms:modified xsi:type="dcterms:W3CDTF">2024-03-07T10:12:00Z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