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28" w:rsidRDefault="00307A94" w:rsidP="00F32E28">
      <w:pPr>
        <w:pStyle w:val="datum0"/>
      </w:pPr>
      <w:r>
        <w:t>9. 2. 2015</w:t>
      </w:r>
    </w:p>
    <w:p w:rsidR="008B3970" w:rsidRPr="002E65A0" w:rsidRDefault="00A667FA" w:rsidP="008B3970">
      <w:pPr>
        <w:pStyle w:val="Nzev"/>
      </w:pPr>
      <w:r w:rsidRPr="002E65A0">
        <w:t>V roce 2014</w:t>
      </w:r>
      <w:r w:rsidR="001E246E" w:rsidRPr="002E65A0">
        <w:t xml:space="preserve"> přijelo</w:t>
      </w:r>
      <w:r w:rsidR="001A7B17" w:rsidRPr="002E65A0">
        <w:t xml:space="preserve"> </w:t>
      </w:r>
      <w:r w:rsidR="00F50559">
        <w:t xml:space="preserve">o 1,5 % </w:t>
      </w:r>
      <w:r w:rsidR="001A7B17" w:rsidRPr="002E65A0">
        <w:t>více hostů,</w:t>
      </w:r>
      <w:r w:rsidR="00581871" w:rsidRPr="002E65A0">
        <w:t xml:space="preserve"> </w:t>
      </w:r>
      <w:r w:rsidR="001E246E" w:rsidRPr="002E65A0">
        <w:t>ale počet přenocování se snížil</w:t>
      </w:r>
      <w:r w:rsidR="008311E3" w:rsidRPr="002E65A0">
        <w:t xml:space="preserve"> </w:t>
      </w:r>
    </w:p>
    <w:p w:rsidR="008B3970" w:rsidRPr="008B3970" w:rsidRDefault="0029060E" w:rsidP="008B3970">
      <w:pPr>
        <w:pStyle w:val="Podtitulek"/>
        <w:rPr>
          <w:color w:val="BD1B21"/>
        </w:rPr>
      </w:pPr>
      <w:r>
        <w:t>Cestovní ruch – 4</w:t>
      </w:r>
      <w:r w:rsidR="00112648">
        <w:t>. čtvrtletí 2014</w:t>
      </w:r>
    </w:p>
    <w:p w:rsidR="00C81A90" w:rsidRDefault="00C81A90" w:rsidP="00C81A9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Počet přenocování hostů se v hromadných ubytovacích zařízeních ve </w:t>
      </w:r>
      <w:r w:rsidR="00386A35">
        <w:rPr>
          <w:rFonts w:cs="Arial"/>
          <w:b/>
          <w:szCs w:val="20"/>
        </w:rPr>
        <w:t>4. čtvrtletí 2014 meziročně zvýšil o 2,8 %, v tom domácích návštěvníků o 5,3 % a zahraničních o 1,2</w:t>
      </w:r>
      <w:r>
        <w:rPr>
          <w:rFonts w:cs="Arial"/>
          <w:b/>
          <w:szCs w:val="20"/>
        </w:rPr>
        <w:t xml:space="preserve"> %. Celk</w:t>
      </w:r>
      <w:r w:rsidR="00386A35">
        <w:rPr>
          <w:rFonts w:cs="Arial"/>
          <w:b/>
          <w:szCs w:val="20"/>
        </w:rPr>
        <w:t>ově v tomto období přijelo o 3,1</w:t>
      </w:r>
      <w:r>
        <w:rPr>
          <w:rFonts w:cs="Arial"/>
          <w:b/>
          <w:szCs w:val="20"/>
        </w:rPr>
        <w:t> </w:t>
      </w:r>
      <w:r w:rsidR="00386A35">
        <w:rPr>
          <w:rFonts w:cs="Arial"/>
          <w:b/>
          <w:szCs w:val="20"/>
        </w:rPr>
        <w:t>% více hostů, zahraničních o 4,9 % a domácích o 0,8</w:t>
      </w:r>
      <w:r>
        <w:rPr>
          <w:rFonts w:cs="Arial"/>
          <w:b/>
          <w:szCs w:val="20"/>
        </w:rPr>
        <w:t> %.</w:t>
      </w:r>
    </w:p>
    <w:p w:rsidR="0029060E" w:rsidRPr="0029060E" w:rsidRDefault="00386A35" w:rsidP="00C81A90">
      <w:pPr>
        <w:pStyle w:val="Perex"/>
      </w:pPr>
      <w:r>
        <w:rPr>
          <w:szCs w:val="20"/>
        </w:rPr>
        <w:t>Za celý rok 2014</w:t>
      </w:r>
      <w:r w:rsidR="0029060E" w:rsidRPr="008B4AC7">
        <w:rPr>
          <w:szCs w:val="20"/>
        </w:rPr>
        <w:t xml:space="preserve"> hromadná u</w:t>
      </w:r>
      <w:r w:rsidR="00C81A90">
        <w:rPr>
          <w:szCs w:val="20"/>
        </w:rPr>
        <w:t>bytovací zařízení vy</w:t>
      </w:r>
      <w:r>
        <w:rPr>
          <w:szCs w:val="20"/>
        </w:rPr>
        <w:t>kázala 0,4</w:t>
      </w:r>
      <w:r w:rsidR="00C81A90">
        <w:rPr>
          <w:szCs w:val="20"/>
        </w:rPr>
        <w:t>% snížení počtu</w:t>
      </w:r>
      <w:r w:rsidR="0029060E" w:rsidRPr="008B4AC7">
        <w:rPr>
          <w:szCs w:val="20"/>
        </w:rPr>
        <w:t xml:space="preserve"> přenocová</w:t>
      </w:r>
      <w:r w:rsidR="00C81A90">
        <w:rPr>
          <w:szCs w:val="20"/>
        </w:rPr>
        <w:t>ní, počet</w:t>
      </w:r>
      <w:r>
        <w:rPr>
          <w:szCs w:val="20"/>
        </w:rPr>
        <w:t xml:space="preserve"> hostů se meziročně zvýšil o 1,5</w:t>
      </w:r>
      <w:r w:rsidR="0029060E" w:rsidRPr="008B4AC7">
        <w:rPr>
          <w:szCs w:val="20"/>
        </w:rPr>
        <w:t xml:space="preserve"> %.</w:t>
      </w:r>
    </w:p>
    <w:p w:rsidR="0093638E" w:rsidRDefault="00F32E28" w:rsidP="00F32E28">
      <w:pPr>
        <w:rPr>
          <w:rFonts w:cs="Arial"/>
          <w:szCs w:val="20"/>
        </w:rPr>
      </w:pPr>
      <w:r w:rsidRPr="002E3D12">
        <w:rPr>
          <w:rFonts w:cs="Arial"/>
          <w:b/>
          <w:szCs w:val="20"/>
        </w:rPr>
        <w:t>Počet přenocování hostů</w:t>
      </w:r>
      <w:r>
        <w:rPr>
          <w:rFonts w:cs="Arial"/>
          <w:szCs w:val="20"/>
        </w:rPr>
        <w:t xml:space="preserve"> v hromadných ub</w:t>
      </w:r>
      <w:r w:rsidR="00625804">
        <w:rPr>
          <w:rFonts w:cs="Arial"/>
          <w:szCs w:val="20"/>
        </w:rPr>
        <w:t>ytovacích zařízeních dosáhl ve 4. čtvrtletí loňského</w:t>
      </w:r>
      <w:r>
        <w:rPr>
          <w:rFonts w:cs="Arial"/>
          <w:szCs w:val="20"/>
        </w:rPr>
        <w:t xml:space="preserve"> roku </w:t>
      </w:r>
      <w:r w:rsidR="0017404F">
        <w:rPr>
          <w:rFonts w:cs="Arial"/>
          <w:b/>
          <w:szCs w:val="20"/>
        </w:rPr>
        <w:t>8,5</w:t>
      </w:r>
      <w:r>
        <w:rPr>
          <w:rFonts w:cs="Arial"/>
          <w:b/>
          <w:szCs w:val="20"/>
        </w:rPr>
        <w:t> milionu</w:t>
      </w:r>
      <w:r w:rsidR="0017404F">
        <w:rPr>
          <w:rFonts w:cs="Arial"/>
          <w:szCs w:val="20"/>
        </w:rPr>
        <w:t>, tedy o 2,8</w:t>
      </w:r>
      <w:r w:rsidR="00625804">
        <w:rPr>
          <w:rFonts w:cs="Arial"/>
          <w:szCs w:val="20"/>
        </w:rPr>
        <w:t> % více</w:t>
      </w:r>
      <w:r>
        <w:rPr>
          <w:rFonts w:cs="Arial"/>
          <w:szCs w:val="20"/>
        </w:rPr>
        <w:t xml:space="preserve"> než ve stejném období předchozího roku. </w:t>
      </w:r>
      <w:r w:rsidR="0017404F">
        <w:rPr>
          <w:rFonts w:cs="Arial"/>
          <w:szCs w:val="20"/>
        </w:rPr>
        <w:t>D</w:t>
      </w:r>
      <w:r w:rsidR="000043A7">
        <w:rPr>
          <w:rFonts w:cs="Arial"/>
          <w:szCs w:val="20"/>
        </w:rPr>
        <w:t>omácí klientela navýšila</w:t>
      </w:r>
      <w:r w:rsidR="0076511B">
        <w:rPr>
          <w:rFonts w:cs="Arial"/>
          <w:szCs w:val="20"/>
        </w:rPr>
        <w:t xml:space="preserve"> </w:t>
      </w:r>
      <w:r w:rsidR="00615099">
        <w:rPr>
          <w:rFonts w:cs="Arial"/>
          <w:szCs w:val="20"/>
        </w:rPr>
        <w:t>v uby</w:t>
      </w:r>
      <w:r w:rsidR="0017404F">
        <w:rPr>
          <w:rFonts w:cs="Arial"/>
          <w:szCs w:val="20"/>
        </w:rPr>
        <w:t>tovacích zařízeních</w:t>
      </w:r>
      <w:r w:rsidR="005A43DF">
        <w:rPr>
          <w:rFonts w:cs="Arial"/>
          <w:szCs w:val="20"/>
        </w:rPr>
        <w:t xml:space="preserve"> poč</w:t>
      </w:r>
      <w:r w:rsidR="00922378">
        <w:rPr>
          <w:rFonts w:cs="Arial"/>
          <w:szCs w:val="20"/>
        </w:rPr>
        <w:t>e</w:t>
      </w:r>
      <w:r w:rsidR="005A43DF">
        <w:rPr>
          <w:rFonts w:cs="Arial"/>
          <w:szCs w:val="20"/>
        </w:rPr>
        <w:t>t nocí</w:t>
      </w:r>
      <w:r w:rsidR="0017404F">
        <w:rPr>
          <w:rFonts w:cs="Arial"/>
          <w:szCs w:val="20"/>
        </w:rPr>
        <w:t xml:space="preserve"> o 5,3 %</w:t>
      </w:r>
      <w:r w:rsidR="005A43DF">
        <w:rPr>
          <w:rFonts w:cs="Arial"/>
          <w:szCs w:val="20"/>
        </w:rPr>
        <w:t>.</w:t>
      </w:r>
      <w:r w:rsidR="0017404F">
        <w:rPr>
          <w:rFonts w:cs="Arial"/>
          <w:szCs w:val="20"/>
        </w:rPr>
        <w:t xml:space="preserve"> Počet přenocování zahraničních hostů se zvýšil o 1,2</w:t>
      </w:r>
      <w:r w:rsidR="00615099">
        <w:rPr>
          <w:rFonts w:cs="Arial"/>
          <w:szCs w:val="20"/>
        </w:rPr>
        <w:t xml:space="preserve"> %</w:t>
      </w:r>
      <w:r w:rsidR="0017404F">
        <w:rPr>
          <w:rFonts w:cs="Arial"/>
          <w:szCs w:val="20"/>
        </w:rPr>
        <w:t>.</w:t>
      </w:r>
      <w:r w:rsidR="00615099">
        <w:rPr>
          <w:rFonts w:cs="Arial"/>
          <w:szCs w:val="20"/>
        </w:rPr>
        <w:t xml:space="preserve"> Počty přenocování v hotelech se meziročně zvýšily </w:t>
      </w:r>
      <w:r w:rsidR="00603749">
        <w:rPr>
          <w:rFonts w:cs="Arial"/>
          <w:szCs w:val="20"/>
        </w:rPr>
        <w:t>o 3,4 %</w:t>
      </w:r>
      <w:r w:rsidR="00615099">
        <w:rPr>
          <w:rFonts w:cs="Arial"/>
          <w:szCs w:val="20"/>
        </w:rPr>
        <w:t>,</w:t>
      </w:r>
      <w:r w:rsidR="00603749">
        <w:rPr>
          <w:rFonts w:cs="Arial"/>
          <w:szCs w:val="20"/>
        </w:rPr>
        <w:t xml:space="preserve"> naopak penziony zaznamenaly 5,0% pokles</w:t>
      </w:r>
      <w:r w:rsidR="000043A7">
        <w:rPr>
          <w:rFonts w:cs="Arial"/>
          <w:szCs w:val="20"/>
        </w:rPr>
        <w:t>.</w:t>
      </w:r>
      <w:r w:rsidR="00615099">
        <w:rPr>
          <w:rFonts w:cs="Arial"/>
          <w:szCs w:val="20"/>
        </w:rPr>
        <w:t xml:space="preserve"> </w:t>
      </w:r>
      <w:r w:rsidR="00603749">
        <w:rPr>
          <w:rFonts w:cs="Arial"/>
          <w:szCs w:val="20"/>
        </w:rPr>
        <w:t>V</w:t>
      </w:r>
      <w:r w:rsidR="00615099">
        <w:rPr>
          <w:rFonts w:cs="Arial"/>
          <w:szCs w:val="20"/>
        </w:rPr>
        <w:t> ostatní</w:t>
      </w:r>
      <w:r w:rsidR="00603749">
        <w:rPr>
          <w:rFonts w:cs="Arial"/>
          <w:szCs w:val="20"/>
        </w:rPr>
        <w:t>ch</w:t>
      </w:r>
      <w:r w:rsidR="00615099">
        <w:rPr>
          <w:rFonts w:cs="Arial"/>
          <w:szCs w:val="20"/>
        </w:rPr>
        <w:t xml:space="preserve"> ubytovací</w:t>
      </w:r>
      <w:r w:rsidR="00603749">
        <w:rPr>
          <w:rFonts w:cs="Arial"/>
          <w:szCs w:val="20"/>
        </w:rPr>
        <w:t>ch</w:t>
      </w:r>
      <w:r w:rsidR="00615099">
        <w:rPr>
          <w:rFonts w:cs="Arial"/>
          <w:szCs w:val="20"/>
        </w:rPr>
        <w:t xml:space="preserve"> zařízení</w:t>
      </w:r>
      <w:r w:rsidR="00603749">
        <w:rPr>
          <w:rFonts w:cs="Arial"/>
          <w:szCs w:val="20"/>
        </w:rPr>
        <w:t xml:space="preserve">ch </w:t>
      </w:r>
      <w:r w:rsidR="00922378">
        <w:rPr>
          <w:rFonts w:cs="Arial"/>
          <w:szCs w:val="20"/>
        </w:rPr>
        <w:t>došlo ke zvýšení</w:t>
      </w:r>
      <w:r w:rsidR="00603749">
        <w:rPr>
          <w:rFonts w:cs="Arial"/>
          <w:szCs w:val="20"/>
        </w:rPr>
        <w:t xml:space="preserve"> o 3,5 %. </w:t>
      </w:r>
      <w:r>
        <w:rPr>
          <w:rFonts w:cs="Arial"/>
          <w:szCs w:val="20"/>
        </w:rPr>
        <w:t>V </w:t>
      </w:r>
      <w:r w:rsidRPr="005F17A2">
        <w:rPr>
          <w:rFonts w:cs="Arial"/>
          <w:b/>
          <w:szCs w:val="20"/>
        </w:rPr>
        <w:t>regionální</w:t>
      </w:r>
      <w:r>
        <w:rPr>
          <w:rFonts w:cs="Arial"/>
          <w:b/>
          <w:szCs w:val="20"/>
        </w:rPr>
        <w:t>m</w:t>
      </w:r>
      <w:r w:rsidRPr="005F17A2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členění</w:t>
      </w:r>
      <w:r>
        <w:rPr>
          <w:rFonts w:cs="Arial"/>
          <w:szCs w:val="20"/>
        </w:rPr>
        <w:t xml:space="preserve"> růst vykázala ubytovací zařízení </w:t>
      </w:r>
      <w:r w:rsidR="004F46BB">
        <w:rPr>
          <w:rFonts w:cs="Arial"/>
          <w:szCs w:val="20"/>
        </w:rPr>
        <w:t>v devíti krajích. Nejvíce ve Zlínském kraji o 11,7 % a na Pardubicku o 11,1 %. Počet přenocování se naopak snížil</w:t>
      </w:r>
      <w:r w:rsidR="009F2BC8">
        <w:rPr>
          <w:rFonts w:cs="Arial"/>
          <w:szCs w:val="20"/>
        </w:rPr>
        <w:t xml:space="preserve"> v</w:t>
      </w:r>
      <w:r w:rsidR="004F46BB">
        <w:rPr>
          <w:rFonts w:cs="Arial"/>
          <w:szCs w:val="20"/>
        </w:rPr>
        <w:t>e Středočeském kraji</w:t>
      </w:r>
      <w:r w:rsidR="009F2BC8">
        <w:rPr>
          <w:rFonts w:cs="Arial"/>
          <w:szCs w:val="20"/>
        </w:rPr>
        <w:t xml:space="preserve"> o </w:t>
      </w:r>
      <w:r w:rsidR="004F46BB">
        <w:rPr>
          <w:rFonts w:cs="Arial"/>
          <w:szCs w:val="20"/>
        </w:rPr>
        <w:t>6,8</w:t>
      </w:r>
      <w:r w:rsidR="00C80BEC">
        <w:rPr>
          <w:rFonts w:cs="Arial"/>
          <w:szCs w:val="20"/>
        </w:rPr>
        <w:t xml:space="preserve"> %</w:t>
      </w:r>
      <w:r w:rsidR="004F46BB">
        <w:rPr>
          <w:rFonts w:cs="Arial"/>
          <w:szCs w:val="20"/>
        </w:rPr>
        <w:t xml:space="preserve"> nebo například na Liberecku o 5,9 %.</w:t>
      </w:r>
    </w:p>
    <w:p w:rsidR="00F32E28" w:rsidRDefault="00F32E28" w:rsidP="00F32E28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3D524F" w:rsidRDefault="00F32E28" w:rsidP="00F32E28">
      <w:pPr>
        <w:rPr>
          <w:rFonts w:cs="Arial"/>
          <w:szCs w:val="20"/>
        </w:rPr>
      </w:pPr>
      <w:r>
        <w:rPr>
          <w:rFonts w:cs="Arial"/>
          <w:szCs w:val="20"/>
        </w:rPr>
        <w:t xml:space="preserve">Do hromadných ubytovacích zařízení </w:t>
      </w:r>
      <w:r w:rsidRPr="00666B88">
        <w:rPr>
          <w:rFonts w:cs="Arial"/>
          <w:b/>
          <w:szCs w:val="20"/>
        </w:rPr>
        <w:t>přijelo</w:t>
      </w:r>
      <w:r>
        <w:rPr>
          <w:rFonts w:cs="Arial"/>
          <w:szCs w:val="20"/>
        </w:rPr>
        <w:t xml:space="preserve"> ve sledovaném období celkem </w:t>
      </w:r>
      <w:r w:rsidR="00EC3E93">
        <w:rPr>
          <w:rFonts w:cs="Arial"/>
          <w:b/>
          <w:szCs w:val="20"/>
        </w:rPr>
        <w:t>3,3</w:t>
      </w:r>
      <w:r>
        <w:rPr>
          <w:rFonts w:cs="Arial"/>
          <w:b/>
          <w:szCs w:val="20"/>
        </w:rPr>
        <w:t xml:space="preserve"> milionu hostů, </w:t>
      </w:r>
      <w:r>
        <w:rPr>
          <w:rFonts w:cs="Arial"/>
          <w:szCs w:val="20"/>
        </w:rPr>
        <w:t xml:space="preserve">což meziročně </w:t>
      </w:r>
      <w:r w:rsidR="00EC3E93">
        <w:rPr>
          <w:rFonts w:cs="Arial"/>
          <w:szCs w:val="20"/>
        </w:rPr>
        <w:t>představovalo zvýšení o 3,1</w:t>
      </w:r>
      <w:r>
        <w:rPr>
          <w:rFonts w:cs="Arial"/>
          <w:szCs w:val="20"/>
        </w:rPr>
        <w:t xml:space="preserve"> %. </w:t>
      </w:r>
      <w:r w:rsidR="00695B33">
        <w:rPr>
          <w:rFonts w:cs="Arial"/>
          <w:szCs w:val="20"/>
        </w:rPr>
        <w:t>P</w:t>
      </w:r>
      <w:r>
        <w:rPr>
          <w:rFonts w:cs="Arial"/>
          <w:szCs w:val="20"/>
        </w:rPr>
        <w:t xml:space="preserve">očet </w:t>
      </w:r>
      <w:r w:rsidR="00D618DF">
        <w:rPr>
          <w:rFonts w:cs="Arial"/>
          <w:szCs w:val="20"/>
        </w:rPr>
        <w:t>ne</w:t>
      </w:r>
      <w:r w:rsidR="00695B33">
        <w:rPr>
          <w:rFonts w:cs="Arial"/>
          <w:szCs w:val="20"/>
        </w:rPr>
        <w:t xml:space="preserve">rezidentů </w:t>
      </w:r>
      <w:r w:rsidR="00EC3E93">
        <w:rPr>
          <w:rFonts w:cs="Arial"/>
          <w:szCs w:val="20"/>
        </w:rPr>
        <w:t>vzrostl o 4,9</w:t>
      </w:r>
      <w:r>
        <w:rPr>
          <w:rFonts w:cs="Arial"/>
          <w:szCs w:val="20"/>
        </w:rPr>
        <w:t xml:space="preserve"> %, </w:t>
      </w:r>
      <w:r w:rsidR="00EC3E93">
        <w:rPr>
          <w:rFonts w:cs="Arial"/>
          <w:szCs w:val="20"/>
        </w:rPr>
        <w:t>rezidentů přijelo o 0,8</w:t>
      </w:r>
      <w:r>
        <w:rPr>
          <w:rFonts w:cs="Arial"/>
          <w:szCs w:val="20"/>
        </w:rPr>
        <w:t xml:space="preserve"> % více. </w:t>
      </w:r>
      <w:r w:rsidR="008763A5">
        <w:rPr>
          <w:rFonts w:cs="Arial"/>
          <w:szCs w:val="20"/>
        </w:rPr>
        <w:t>Nejvíce hostů, více než 1</w:t>
      </w:r>
      <w:r w:rsidR="00EC3E93">
        <w:rPr>
          <w:rFonts w:cs="Arial"/>
          <w:szCs w:val="20"/>
        </w:rPr>
        <w:t>,2</w:t>
      </w:r>
      <w:r w:rsidR="008763A5">
        <w:rPr>
          <w:rFonts w:cs="Arial"/>
          <w:szCs w:val="20"/>
        </w:rPr>
        <w:t xml:space="preserve"> milion</w:t>
      </w:r>
      <w:r w:rsidR="00EC3E93">
        <w:rPr>
          <w:rFonts w:cs="Arial"/>
          <w:szCs w:val="20"/>
        </w:rPr>
        <w:t>u</w:t>
      </w:r>
      <w:r w:rsidR="008763A5">
        <w:rPr>
          <w:rFonts w:cs="Arial"/>
          <w:szCs w:val="20"/>
        </w:rPr>
        <w:t>, se ubytovalo ve čtyřhvězd</w:t>
      </w:r>
      <w:r w:rsidR="00EC3E93">
        <w:rPr>
          <w:rFonts w:cs="Arial"/>
          <w:szCs w:val="20"/>
        </w:rPr>
        <w:t>ičkových hotelech. Bylo to o 6,5</w:t>
      </w:r>
      <w:r w:rsidR="008763A5">
        <w:rPr>
          <w:rFonts w:cs="Arial"/>
          <w:szCs w:val="20"/>
        </w:rPr>
        <w:t xml:space="preserve"> % více než v předchozím roce. </w:t>
      </w:r>
      <w:r w:rsidRPr="004B269A">
        <w:rPr>
          <w:rFonts w:cs="Arial"/>
          <w:b/>
          <w:szCs w:val="20"/>
        </w:rPr>
        <w:t>Regionálně</w:t>
      </w:r>
      <w:r>
        <w:rPr>
          <w:rFonts w:cs="Arial"/>
          <w:szCs w:val="20"/>
        </w:rPr>
        <w:t xml:space="preserve"> př</w:t>
      </w:r>
      <w:r w:rsidR="003D524F">
        <w:rPr>
          <w:rFonts w:cs="Arial"/>
          <w:szCs w:val="20"/>
        </w:rPr>
        <w:t>ibylo hostů v sedmi krajích. N</w:t>
      </w:r>
      <w:r w:rsidR="009E2D64">
        <w:rPr>
          <w:rFonts w:cs="Arial"/>
          <w:szCs w:val="20"/>
        </w:rPr>
        <w:t xml:space="preserve">ejvíce </w:t>
      </w:r>
      <w:r w:rsidR="008763A5">
        <w:rPr>
          <w:rFonts w:cs="Arial"/>
          <w:szCs w:val="20"/>
        </w:rPr>
        <w:t>v</w:t>
      </w:r>
      <w:r w:rsidR="00A930C4">
        <w:rPr>
          <w:rFonts w:cs="Arial"/>
          <w:szCs w:val="20"/>
        </w:rPr>
        <w:t xml:space="preserve"> Jihomoravském kraji (o 7,8 %), v </w:t>
      </w:r>
      <w:r w:rsidR="003D524F">
        <w:rPr>
          <w:rFonts w:cs="Arial"/>
          <w:szCs w:val="20"/>
        </w:rPr>
        <w:t>Moravskoslezském kraji (o 6,6</w:t>
      </w:r>
      <w:r w:rsidR="002E0E12">
        <w:rPr>
          <w:rFonts w:cs="Arial"/>
          <w:szCs w:val="20"/>
        </w:rPr>
        <w:t xml:space="preserve"> %)</w:t>
      </w:r>
      <w:r w:rsidR="00A930C4">
        <w:rPr>
          <w:rFonts w:cs="Arial"/>
          <w:szCs w:val="20"/>
        </w:rPr>
        <w:t xml:space="preserve"> a</w:t>
      </w:r>
      <w:r w:rsidR="003D110B">
        <w:rPr>
          <w:rFonts w:cs="Arial"/>
          <w:szCs w:val="20"/>
        </w:rPr>
        <w:t> </w:t>
      </w:r>
      <w:r w:rsidR="003D524F">
        <w:rPr>
          <w:rFonts w:cs="Arial"/>
          <w:szCs w:val="20"/>
        </w:rPr>
        <w:t>na Plzeňsku (o 5,9</w:t>
      </w:r>
      <w:r w:rsidR="009E2D64">
        <w:rPr>
          <w:rFonts w:cs="Arial"/>
          <w:szCs w:val="20"/>
        </w:rPr>
        <w:t xml:space="preserve"> %)</w:t>
      </w:r>
      <w:r w:rsidR="00A930C4">
        <w:rPr>
          <w:rFonts w:cs="Arial"/>
          <w:szCs w:val="20"/>
        </w:rPr>
        <w:t>.</w:t>
      </w:r>
      <w:r w:rsidR="003D524F">
        <w:rPr>
          <w:rFonts w:cs="Arial"/>
          <w:szCs w:val="20"/>
        </w:rPr>
        <w:t xml:space="preserve"> Menší zájem o ubytování byl například ve Středočeském kraji (o 9,4 %) nebo na Ústecku (o 4,3 %).</w:t>
      </w:r>
    </w:p>
    <w:p w:rsidR="00F32E28" w:rsidRDefault="00F32E28" w:rsidP="00F32E28">
      <w:pPr>
        <w:rPr>
          <w:rFonts w:cs="Arial"/>
          <w:szCs w:val="20"/>
        </w:rPr>
      </w:pPr>
    </w:p>
    <w:p w:rsidR="00F675E3" w:rsidRDefault="00193DF4" w:rsidP="00193DF4">
      <w:pPr>
        <w:rPr>
          <w:rFonts w:cs="Arial"/>
          <w:szCs w:val="20"/>
        </w:rPr>
      </w:pPr>
      <w:r>
        <w:rPr>
          <w:rFonts w:cs="Arial"/>
          <w:szCs w:val="20"/>
        </w:rPr>
        <w:t xml:space="preserve">Nejvíce zahraničních hostů (podle </w:t>
      </w:r>
      <w:r w:rsidRPr="00AF2C50">
        <w:rPr>
          <w:rFonts w:cs="Arial"/>
          <w:b/>
          <w:szCs w:val="20"/>
        </w:rPr>
        <w:t>státního občanství</w:t>
      </w:r>
      <w:r>
        <w:rPr>
          <w:rFonts w:cs="Arial"/>
          <w:szCs w:val="20"/>
        </w:rPr>
        <w:t xml:space="preserve">) přijelo z Německa. Ve sledovaných </w:t>
      </w:r>
      <w:r w:rsidR="00F675E3">
        <w:rPr>
          <w:rFonts w:cs="Arial"/>
          <w:szCs w:val="20"/>
        </w:rPr>
        <w:t>zařízeních se jich ubytovalo 402 tisíc, o 10,2</w:t>
      </w:r>
      <w:r>
        <w:rPr>
          <w:rFonts w:cs="Arial"/>
          <w:szCs w:val="20"/>
        </w:rPr>
        <w:t xml:space="preserve"> % více než loni. Druhou nejpočetnější sk</w:t>
      </w:r>
      <w:r w:rsidR="00F675E3">
        <w:rPr>
          <w:rFonts w:cs="Arial"/>
          <w:szCs w:val="20"/>
        </w:rPr>
        <w:t>upinu tvořili hosté z Ruska s</w:t>
      </w:r>
      <w:r w:rsidR="002A32C6">
        <w:rPr>
          <w:rFonts w:cs="Arial"/>
          <w:szCs w:val="20"/>
        </w:rPr>
        <w:t>e</w:t>
      </w:r>
      <w:r w:rsidR="00F675E3">
        <w:rPr>
          <w:rFonts w:cs="Arial"/>
          <w:szCs w:val="20"/>
        </w:rPr>
        <w:t xml:space="preserve"> 149</w:t>
      </w:r>
      <w:r>
        <w:rPr>
          <w:rFonts w:cs="Arial"/>
          <w:szCs w:val="20"/>
        </w:rPr>
        <w:t xml:space="preserve"> tisíc</w:t>
      </w:r>
      <w:r w:rsidR="00F675E3">
        <w:rPr>
          <w:rFonts w:cs="Arial"/>
          <w:szCs w:val="20"/>
        </w:rPr>
        <w:t>i příjezdy, bylo to ale o 26,3 % méně než na konci roku 2013.</w:t>
      </w:r>
      <w:r>
        <w:rPr>
          <w:rFonts w:cs="Arial"/>
          <w:szCs w:val="20"/>
        </w:rPr>
        <w:t xml:space="preserve"> Na třetím </w:t>
      </w:r>
      <w:r w:rsidR="00F675E3">
        <w:rPr>
          <w:rFonts w:cs="Arial"/>
          <w:szCs w:val="20"/>
        </w:rPr>
        <w:t>místě se umístilo Slovensko (124</w:t>
      </w:r>
      <w:r>
        <w:rPr>
          <w:rFonts w:cs="Arial"/>
          <w:szCs w:val="20"/>
        </w:rPr>
        <w:t xml:space="preserve"> tisíc </w:t>
      </w:r>
      <w:r w:rsidR="00F675E3">
        <w:rPr>
          <w:rFonts w:cs="Arial"/>
          <w:szCs w:val="20"/>
        </w:rPr>
        <w:t>příjezdů, meziroční nárůst o 9,0</w:t>
      </w:r>
      <w:r>
        <w:rPr>
          <w:rFonts w:cs="Arial"/>
          <w:szCs w:val="20"/>
        </w:rPr>
        <w:t xml:space="preserve"> %). </w:t>
      </w:r>
      <w:r w:rsidR="00F50559">
        <w:rPr>
          <w:rFonts w:cs="Arial"/>
          <w:szCs w:val="20"/>
        </w:rPr>
        <w:t>Zvýšený zájem o návštěvu Česka projevili také hosté z Velké B</w:t>
      </w:r>
      <w:r w:rsidR="00F675E3">
        <w:rPr>
          <w:rFonts w:cs="Arial"/>
          <w:szCs w:val="20"/>
        </w:rPr>
        <w:t>ritáni</w:t>
      </w:r>
      <w:r w:rsidR="00F50559">
        <w:rPr>
          <w:rFonts w:cs="Arial"/>
          <w:szCs w:val="20"/>
        </w:rPr>
        <w:t>e (o 10,9 %), Spojených států amerických (</w:t>
      </w:r>
      <w:r w:rsidR="00F675E3">
        <w:rPr>
          <w:rFonts w:cs="Arial"/>
          <w:szCs w:val="20"/>
        </w:rPr>
        <w:t>11,9 %)</w:t>
      </w:r>
      <w:r w:rsidR="00F50559">
        <w:rPr>
          <w:rFonts w:cs="Arial"/>
          <w:szCs w:val="20"/>
        </w:rPr>
        <w:t xml:space="preserve"> nebo Číny</w:t>
      </w:r>
      <w:r w:rsidR="00B90D7B">
        <w:rPr>
          <w:rFonts w:cs="Arial"/>
          <w:szCs w:val="20"/>
        </w:rPr>
        <w:t xml:space="preserve"> (</w:t>
      </w:r>
      <w:r w:rsidR="00F50559">
        <w:rPr>
          <w:rFonts w:cs="Arial"/>
          <w:szCs w:val="20"/>
        </w:rPr>
        <w:t>o</w:t>
      </w:r>
      <w:r w:rsidR="00F675E3">
        <w:rPr>
          <w:rFonts w:cs="Arial"/>
          <w:szCs w:val="20"/>
        </w:rPr>
        <w:t xml:space="preserve"> 21,8 %).</w:t>
      </w:r>
      <w:r w:rsidR="00B90D7B">
        <w:rPr>
          <w:rFonts w:cs="Arial"/>
          <w:szCs w:val="20"/>
        </w:rPr>
        <w:t xml:space="preserve"> Naopak hostů z Francie o 2,8 % ubylo. </w:t>
      </w:r>
    </w:p>
    <w:p w:rsidR="00193DF4" w:rsidRDefault="00F675E3" w:rsidP="00193DF4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212973" w:rsidRDefault="00193DF4" w:rsidP="00F32E28">
      <w:pPr>
        <w:rPr>
          <w:rFonts w:cs="Arial"/>
          <w:szCs w:val="20"/>
        </w:rPr>
      </w:pPr>
      <w:r>
        <w:rPr>
          <w:rFonts w:cs="Arial"/>
          <w:b/>
          <w:szCs w:val="20"/>
        </w:rPr>
        <w:t>Lázeňská zařízení</w:t>
      </w:r>
      <w:r>
        <w:rPr>
          <w:rFonts w:cs="Arial"/>
          <w:szCs w:val="20"/>
        </w:rPr>
        <w:t xml:space="preserve"> navštívilo</w:t>
      </w:r>
      <w:r w:rsidR="005D119F">
        <w:rPr>
          <w:rFonts w:cs="Arial"/>
          <w:szCs w:val="20"/>
        </w:rPr>
        <w:t xml:space="preserve"> ve sledovaném období celkem 176</w:t>
      </w:r>
      <w:r w:rsidR="00B63332">
        <w:rPr>
          <w:rFonts w:cs="Arial"/>
          <w:szCs w:val="20"/>
        </w:rPr>
        <w:t> tisíc hostů</w:t>
      </w:r>
      <w:r w:rsidR="005D119F">
        <w:rPr>
          <w:rFonts w:cs="Arial"/>
          <w:szCs w:val="20"/>
        </w:rPr>
        <w:t>. Bylo to o 3,5 % méně</w:t>
      </w:r>
      <w:r>
        <w:rPr>
          <w:rFonts w:cs="Arial"/>
          <w:szCs w:val="20"/>
        </w:rPr>
        <w:t xml:space="preserve"> než ve stejném období předchozího roku</w:t>
      </w:r>
      <w:r w:rsidR="00477588">
        <w:rPr>
          <w:rFonts w:cs="Arial"/>
          <w:szCs w:val="20"/>
        </w:rPr>
        <w:t>. Počet nocí, které turisté uskutečnili v</w:t>
      </w:r>
      <w:r w:rsidR="00FC1480">
        <w:rPr>
          <w:rFonts w:cs="Arial"/>
          <w:szCs w:val="20"/>
        </w:rPr>
        <w:t> </w:t>
      </w:r>
      <w:r w:rsidR="00477588">
        <w:rPr>
          <w:rFonts w:cs="Arial"/>
          <w:szCs w:val="20"/>
        </w:rPr>
        <w:t>lázních</w:t>
      </w:r>
      <w:r w:rsidR="00FC1480">
        <w:rPr>
          <w:rFonts w:cs="Arial"/>
          <w:szCs w:val="20"/>
        </w:rPr>
        <w:t>,</w:t>
      </w:r>
      <w:r w:rsidR="008570F6">
        <w:rPr>
          <w:rFonts w:cs="Arial"/>
          <w:szCs w:val="20"/>
        </w:rPr>
        <w:t xml:space="preserve"> </w:t>
      </w:r>
      <w:r w:rsidR="005D119F">
        <w:rPr>
          <w:rFonts w:cs="Arial"/>
          <w:szCs w:val="20"/>
        </w:rPr>
        <w:t xml:space="preserve">se </w:t>
      </w:r>
      <w:r w:rsidR="008570F6">
        <w:rPr>
          <w:rFonts w:cs="Arial"/>
          <w:szCs w:val="20"/>
        </w:rPr>
        <w:t xml:space="preserve">však </w:t>
      </w:r>
      <w:r w:rsidR="005D119F">
        <w:rPr>
          <w:rFonts w:cs="Arial"/>
          <w:szCs w:val="20"/>
        </w:rPr>
        <w:t>meziročně zvýšil o 5,1</w:t>
      </w:r>
      <w:r w:rsidR="00477588">
        <w:rPr>
          <w:rFonts w:cs="Arial"/>
          <w:szCs w:val="20"/>
        </w:rPr>
        <w:t xml:space="preserve"> %</w:t>
      </w:r>
      <w:r w:rsidR="005D119F">
        <w:rPr>
          <w:rFonts w:cs="Arial"/>
          <w:szCs w:val="20"/>
        </w:rPr>
        <w:t>. Domácí hosté prodloužili své láze</w:t>
      </w:r>
      <w:r w:rsidR="008206A3">
        <w:rPr>
          <w:rFonts w:cs="Arial"/>
          <w:szCs w:val="20"/>
        </w:rPr>
        <w:t>ňské pobyty a d</w:t>
      </w:r>
      <w:r w:rsidR="003D110B">
        <w:rPr>
          <w:rFonts w:cs="Arial"/>
          <w:szCs w:val="20"/>
        </w:rPr>
        <w:t>ošlo ke </w:t>
      </w:r>
      <w:r w:rsidR="005D119F">
        <w:rPr>
          <w:rFonts w:cs="Arial"/>
          <w:szCs w:val="20"/>
        </w:rPr>
        <w:t xml:space="preserve">zvýšení počtu </w:t>
      </w:r>
      <w:r w:rsidR="00F53FC0">
        <w:rPr>
          <w:rFonts w:cs="Arial"/>
          <w:szCs w:val="20"/>
        </w:rPr>
        <w:t xml:space="preserve">jejich </w:t>
      </w:r>
      <w:r w:rsidR="005D119F">
        <w:rPr>
          <w:rFonts w:cs="Arial"/>
          <w:szCs w:val="20"/>
        </w:rPr>
        <w:t>přenocování o 24,7 %</w:t>
      </w:r>
      <w:r w:rsidR="008206A3">
        <w:rPr>
          <w:rFonts w:cs="Arial"/>
          <w:szCs w:val="20"/>
        </w:rPr>
        <w:t>.</w:t>
      </w:r>
    </w:p>
    <w:p w:rsidR="00212973" w:rsidRDefault="00212973" w:rsidP="00F32E28">
      <w:pPr>
        <w:rPr>
          <w:rFonts w:cs="Arial"/>
          <w:szCs w:val="20"/>
        </w:rPr>
      </w:pPr>
    </w:p>
    <w:p w:rsidR="00732808" w:rsidRDefault="00732808" w:rsidP="00F32E28">
      <w:pPr>
        <w:rPr>
          <w:rFonts w:cs="Arial"/>
          <w:szCs w:val="20"/>
        </w:rPr>
      </w:pPr>
    </w:p>
    <w:p w:rsidR="0029060E" w:rsidRDefault="00F80EDA" w:rsidP="0029060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Vývoj v roce 2014</w:t>
      </w:r>
    </w:p>
    <w:p w:rsidR="0029060E" w:rsidRDefault="0029060E" w:rsidP="0029060E">
      <w:pPr>
        <w:rPr>
          <w:rFonts w:cs="Arial"/>
          <w:szCs w:val="20"/>
        </w:rPr>
      </w:pPr>
    </w:p>
    <w:p w:rsidR="0029060E" w:rsidRDefault="0029060E" w:rsidP="0029060E">
      <w:pPr>
        <w:rPr>
          <w:rFonts w:cs="Arial"/>
          <w:szCs w:val="20"/>
        </w:rPr>
      </w:pPr>
      <w:r>
        <w:rPr>
          <w:rFonts w:cs="Arial"/>
          <w:szCs w:val="20"/>
        </w:rPr>
        <w:t xml:space="preserve">Za </w:t>
      </w:r>
      <w:r>
        <w:rPr>
          <w:rFonts w:cs="Arial"/>
          <w:b/>
          <w:szCs w:val="20"/>
        </w:rPr>
        <w:t xml:space="preserve">celý rok </w:t>
      </w:r>
      <w:r>
        <w:rPr>
          <w:rFonts w:cs="Arial"/>
          <w:szCs w:val="20"/>
        </w:rPr>
        <w:t>201</w:t>
      </w:r>
      <w:r w:rsidR="00164464">
        <w:rPr>
          <w:rFonts w:cs="Arial"/>
          <w:szCs w:val="20"/>
        </w:rPr>
        <w:t>4</w:t>
      </w:r>
      <w:r w:rsidR="00222DB7">
        <w:rPr>
          <w:rFonts w:cs="Arial"/>
          <w:szCs w:val="20"/>
        </w:rPr>
        <w:t xml:space="preserve"> se</w:t>
      </w:r>
      <w:r>
        <w:rPr>
          <w:rFonts w:cs="Arial"/>
          <w:szCs w:val="20"/>
        </w:rPr>
        <w:t xml:space="preserve"> zvýšil celkový </w:t>
      </w:r>
      <w:r>
        <w:rPr>
          <w:rFonts w:cs="Arial"/>
          <w:b/>
          <w:szCs w:val="20"/>
        </w:rPr>
        <w:t>počet ubytovaných hostů</w:t>
      </w:r>
      <w:r w:rsidR="0078660C">
        <w:rPr>
          <w:rFonts w:cs="Arial"/>
          <w:szCs w:val="20"/>
        </w:rPr>
        <w:t xml:space="preserve"> o 1,5</w:t>
      </w:r>
      <w:r>
        <w:rPr>
          <w:rFonts w:cs="Arial"/>
          <w:szCs w:val="20"/>
        </w:rPr>
        <w:t> %</w:t>
      </w:r>
      <w:r w:rsidR="005837B3">
        <w:rPr>
          <w:rFonts w:cs="Arial"/>
          <w:szCs w:val="20"/>
        </w:rPr>
        <w:t>,</w:t>
      </w:r>
      <w:r w:rsidR="00952A1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 </w:t>
      </w:r>
      <w:r>
        <w:rPr>
          <w:rFonts w:cs="Arial"/>
          <w:b/>
          <w:szCs w:val="20"/>
        </w:rPr>
        <w:t>počet přenocování</w:t>
      </w:r>
      <w:r w:rsidR="003D110B">
        <w:rPr>
          <w:rFonts w:cs="Arial"/>
          <w:szCs w:val="20"/>
        </w:rPr>
        <w:t xml:space="preserve"> se </w:t>
      </w:r>
      <w:r w:rsidR="0078660C">
        <w:rPr>
          <w:rFonts w:cs="Arial"/>
          <w:szCs w:val="20"/>
        </w:rPr>
        <w:t>snížil o 0,4</w:t>
      </w:r>
      <w:r>
        <w:rPr>
          <w:rFonts w:cs="Arial"/>
          <w:szCs w:val="20"/>
        </w:rPr>
        <w:t> %. Zahraničníc</w:t>
      </w:r>
      <w:r w:rsidR="005837B3">
        <w:rPr>
          <w:rFonts w:cs="Arial"/>
          <w:szCs w:val="20"/>
        </w:rPr>
        <w:t xml:space="preserve">h návštěvníků přijelo </w:t>
      </w:r>
      <w:r w:rsidR="0078660C">
        <w:rPr>
          <w:rFonts w:cs="Arial"/>
          <w:szCs w:val="20"/>
        </w:rPr>
        <w:t>o 3,5</w:t>
      </w:r>
      <w:r w:rsidR="00952A1F">
        <w:rPr>
          <w:rFonts w:cs="Arial"/>
          <w:szCs w:val="20"/>
        </w:rPr>
        <w:t xml:space="preserve"> % </w:t>
      </w:r>
      <w:r w:rsidR="005837B3">
        <w:rPr>
          <w:rFonts w:cs="Arial"/>
          <w:szCs w:val="20"/>
        </w:rPr>
        <w:t xml:space="preserve">více </w:t>
      </w:r>
      <w:r>
        <w:rPr>
          <w:rFonts w:cs="Arial"/>
          <w:szCs w:val="20"/>
        </w:rPr>
        <w:t>a jejich p</w:t>
      </w:r>
      <w:r w:rsidR="005837B3">
        <w:rPr>
          <w:rFonts w:cs="Arial"/>
          <w:szCs w:val="20"/>
        </w:rPr>
        <w:t>očet přenocování se</w:t>
      </w:r>
      <w:r w:rsidR="0078660C">
        <w:rPr>
          <w:rFonts w:cs="Arial"/>
          <w:szCs w:val="20"/>
        </w:rPr>
        <w:t xml:space="preserve"> zvýšil o 0,3 %. D</w:t>
      </w:r>
      <w:r>
        <w:rPr>
          <w:rFonts w:cs="Arial"/>
          <w:szCs w:val="20"/>
        </w:rPr>
        <w:t xml:space="preserve">omácích hostů </w:t>
      </w:r>
      <w:r w:rsidR="0078660C">
        <w:rPr>
          <w:rFonts w:cs="Arial"/>
          <w:szCs w:val="20"/>
        </w:rPr>
        <w:t xml:space="preserve">v hromadných ubytovacích zařízeních </w:t>
      </w:r>
      <w:r w:rsidR="00552ED2">
        <w:rPr>
          <w:rFonts w:cs="Arial"/>
          <w:szCs w:val="20"/>
        </w:rPr>
        <w:t>u</w:t>
      </w:r>
      <w:r w:rsidR="0078660C">
        <w:rPr>
          <w:rFonts w:cs="Arial"/>
          <w:szCs w:val="20"/>
        </w:rPr>
        <w:t xml:space="preserve">bylo o 0,5 % a také </w:t>
      </w:r>
      <w:r w:rsidR="005837B3">
        <w:rPr>
          <w:rFonts w:cs="Arial"/>
          <w:szCs w:val="20"/>
        </w:rPr>
        <w:t xml:space="preserve">počet </w:t>
      </w:r>
      <w:r w:rsidR="008570F6">
        <w:rPr>
          <w:rFonts w:cs="Arial"/>
          <w:szCs w:val="20"/>
        </w:rPr>
        <w:t>jejich přenocování</w:t>
      </w:r>
      <w:r w:rsidR="0078660C">
        <w:rPr>
          <w:rFonts w:cs="Arial"/>
          <w:szCs w:val="20"/>
        </w:rPr>
        <w:t xml:space="preserve"> </w:t>
      </w:r>
      <w:r w:rsidR="001156EB">
        <w:rPr>
          <w:rFonts w:cs="Arial"/>
          <w:szCs w:val="20"/>
        </w:rPr>
        <w:t>klesl</w:t>
      </w:r>
      <w:r w:rsidR="00552ED2">
        <w:rPr>
          <w:rFonts w:cs="Arial"/>
          <w:szCs w:val="20"/>
        </w:rPr>
        <w:t xml:space="preserve"> o</w:t>
      </w:r>
      <w:r w:rsidR="0078660C">
        <w:rPr>
          <w:rFonts w:cs="Arial"/>
          <w:szCs w:val="20"/>
        </w:rPr>
        <w:t xml:space="preserve"> 1,1</w:t>
      </w:r>
      <w:r>
        <w:rPr>
          <w:rFonts w:cs="Arial"/>
          <w:szCs w:val="20"/>
        </w:rPr>
        <w:t xml:space="preserve"> %</w:t>
      </w:r>
      <w:r w:rsidR="005837B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0056E4" w:rsidRDefault="000056E4" w:rsidP="0029060E">
      <w:pPr>
        <w:rPr>
          <w:rFonts w:cs="Arial"/>
          <w:szCs w:val="20"/>
        </w:rPr>
      </w:pPr>
    </w:p>
    <w:p w:rsidR="0029060E" w:rsidRDefault="0029060E" w:rsidP="00F32E28">
      <w:pPr>
        <w:rPr>
          <w:rFonts w:cs="Arial"/>
          <w:szCs w:val="20"/>
        </w:rPr>
      </w:pPr>
      <w:r>
        <w:rPr>
          <w:rFonts w:cs="Arial"/>
          <w:szCs w:val="20"/>
        </w:rPr>
        <w:t>Regionálně se nejvíce zvýšil</w:t>
      </w:r>
      <w:r>
        <w:rPr>
          <w:rFonts w:cs="Arial"/>
          <w:b/>
          <w:szCs w:val="20"/>
        </w:rPr>
        <w:t xml:space="preserve"> počet ubytovaných hostů</w:t>
      </w:r>
      <w:r w:rsidR="000056E4">
        <w:rPr>
          <w:rFonts w:cs="Arial"/>
          <w:szCs w:val="20"/>
        </w:rPr>
        <w:t xml:space="preserve"> v Jihomoravském kraji (o 5,9</w:t>
      </w:r>
      <w:r>
        <w:rPr>
          <w:rFonts w:cs="Arial"/>
          <w:szCs w:val="20"/>
        </w:rPr>
        <w:t xml:space="preserve"> %)</w:t>
      </w:r>
      <w:r w:rsidR="000056E4">
        <w:rPr>
          <w:rFonts w:cs="Arial"/>
          <w:szCs w:val="20"/>
        </w:rPr>
        <w:t xml:space="preserve"> a také v Praze</w:t>
      </w:r>
      <w:r w:rsidR="008A60C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(o </w:t>
      </w:r>
      <w:r w:rsidR="000056E4">
        <w:rPr>
          <w:rFonts w:cs="Arial"/>
          <w:szCs w:val="20"/>
        </w:rPr>
        <w:t>3,7</w:t>
      </w:r>
      <w:r>
        <w:rPr>
          <w:rFonts w:cs="Arial"/>
          <w:szCs w:val="20"/>
        </w:rPr>
        <w:t xml:space="preserve"> %)</w:t>
      </w:r>
      <w:r w:rsidR="000056E4">
        <w:rPr>
          <w:rFonts w:cs="Arial"/>
          <w:szCs w:val="20"/>
        </w:rPr>
        <w:t xml:space="preserve"> či v Jihočeském kraji (o 2,9</w:t>
      </w:r>
      <w:r w:rsidR="008A60C8">
        <w:rPr>
          <w:rFonts w:cs="Arial"/>
          <w:szCs w:val="20"/>
        </w:rPr>
        <w:t xml:space="preserve"> %)</w:t>
      </w:r>
      <w:r>
        <w:rPr>
          <w:rFonts w:cs="Arial"/>
          <w:szCs w:val="20"/>
        </w:rPr>
        <w:t xml:space="preserve">. </w:t>
      </w:r>
      <w:r w:rsidR="00CA36C6">
        <w:rPr>
          <w:rFonts w:cs="Arial"/>
          <w:szCs w:val="20"/>
        </w:rPr>
        <w:t>Nejvíce h</w:t>
      </w:r>
      <w:r w:rsidR="000056E4">
        <w:rPr>
          <w:rFonts w:cs="Arial"/>
          <w:szCs w:val="20"/>
        </w:rPr>
        <w:t>ostů meziročně ubylo na Liberecku (o 4,6</w:t>
      </w:r>
      <w:r>
        <w:rPr>
          <w:rFonts w:cs="Arial"/>
          <w:szCs w:val="20"/>
        </w:rPr>
        <w:t xml:space="preserve"> %). V celkovém </w:t>
      </w:r>
      <w:r>
        <w:rPr>
          <w:rFonts w:cs="Arial"/>
          <w:b/>
          <w:szCs w:val="20"/>
        </w:rPr>
        <w:t>počtu přenocování</w:t>
      </w:r>
      <w:r>
        <w:rPr>
          <w:rFonts w:cs="Arial"/>
          <w:szCs w:val="20"/>
        </w:rPr>
        <w:t xml:space="preserve"> </w:t>
      </w:r>
      <w:r w:rsidR="004009E2">
        <w:rPr>
          <w:rFonts w:cs="Arial"/>
          <w:szCs w:val="20"/>
        </w:rPr>
        <w:t xml:space="preserve">byl </w:t>
      </w:r>
      <w:r>
        <w:rPr>
          <w:rFonts w:cs="Arial"/>
          <w:szCs w:val="20"/>
        </w:rPr>
        <w:t>nejvyšší nár</w:t>
      </w:r>
      <w:r w:rsidR="004009E2">
        <w:rPr>
          <w:rFonts w:cs="Arial"/>
          <w:szCs w:val="20"/>
        </w:rPr>
        <w:t>ůst</w:t>
      </w:r>
      <w:r w:rsidR="00414750">
        <w:rPr>
          <w:rFonts w:cs="Arial"/>
          <w:szCs w:val="20"/>
        </w:rPr>
        <w:t xml:space="preserve"> zaznamenán u </w:t>
      </w:r>
      <w:r w:rsidR="000056E4">
        <w:rPr>
          <w:rFonts w:cs="Arial"/>
          <w:szCs w:val="20"/>
        </w:rPr>
        <w:t>Jihomoravského kraje (o 6,3 %). V šesti</w:t>
      </w:r>
      <w:r>
        <w:rPr>
          <w:rFonts w:cs="Arial"/>
          <w:szCs w:val="20"/>
        </w:rPr>
        <w:t xml:space="preserve"> ze čtrnácti krajů meziročně hosté strá</w:t>
      </w:r>
      <w:r w:rsidR="000056E4">
        <w:rPr>
          <w:rFonts w:cs="Arial"/>
          <w:szCs w:val="20"/>
        </w:rPr>
        <w:t>vili více nocí než v roce 2013</w:t>
      </w:r>
      <w:r w:rsidR="008931E6">
        <w:rPr>
          <w:rFonts w:cs="Arial"/>
          <w:szCs w:val="20"/>
        </w:rPr>
        <w:t>.</w:t>
      </w:r>
    </w:p>
    <w:p w:rsidR="008931E6" w:rsidRDefault="008931E6" w:rsidP="00F32E28">
      <w:pPr>
        <w:rPr>
          <w:rFonts w:cs="Arial"/>
          <w:szCs w:val="20"/>
        </w:rPr>
      </w:pPr>
    </w:p>
    <w:p w:rsidR="00ED1EA8" w:rsidRDefault="00EA3E12" w:rsidP="00F32E28">
      <w:pPr>
        <w:rPr>
          <w:rFonts w:cs="Arial"/>
          <w:szCs w:val="20"/>
        </w:rPr>
      </w:pPr>
      <w:r w:rsidRPr="00EA3E12">
        <w:rPr>
          <w:rFonts w:cs="Arial"/>
          <w:b/>
          <w:szCs w:val="20"/>
        </w:rPr>
        <w:t>Zahraničních návštěvníků</w:t>
      </w:r>
      <w:r>
        <w:rPr>
          <w:rFonts w:cs="Arial"/>
          <w:szCs w:val="20"/>
        </w:rPr>
        <w:t xml:space="preserve"> přijelo v roce 2014 do Česka více než v</w:t>
      </w:r>
      <w:r w:rsidR="00F37B2F">
        <w:rPr>
          <w:rFonts w:cs="Arial"/>
          <w:szCs w:val="20"/>
        </w:rPr>
        <w:t xml:space="preserve"> roce </w:t>
      </w:r>
      <w:r>
        <w:rPr>
          <w:rFonts w:cs="Arial"/>
          <w:szCs w:val="20"/>
        </w:rPr>
        <w:t>předchozím. Pokles zájmu o ubytování ze strany hostů z Ruska (o 13,4 %, úbytek 1</w:t>
      </w:r>
      <w:r w:rsidR="001156EB">
        <w:rPr>
          <w:rFonts w:cs="Arial"/>
          <w:szCs w:val="20"/>
        </w:rPr>
        <w:t>08 tisíc hostů) a z Ukrajiny (o </w:t>
      </w:r>
      <w:r>
        <w:rPr>
          <w:rFonts w:cs="Arial"/>
          <w:szCs w:val="20"/>
        </w:rPr>
        <w:t xml:space="preserve">19,3 %, </w:t>
      </w:r>
      <w:r w:rsidR="00971C99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>28 tisíc příjezdů</w:t>
      </w:r>
      <w:r w:rsidR="00F50857">
        <w:rPr>
          <w:rFonts w:cs="Arial"/>
          <w:szCs w:val="20"/>
        </w:rPr>
        <w:t xml:space="preserve"> méně</w:t>
      </w:r>
      <w:r>
        <w:rPr>
          <w:rFonts w:cs="Arial"/>
          <w:szCs w:val="20"/>
        </w:rPr>
        <w:t>)</w:t>
      </w:r>
      <w:r w:rsidR="00430243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byl kompenzován vyšší návštěvnosti z okolních zemí. Němců se ubytovalo o </w:t>
      </w:r>
      <w:r w:rsidR="002E4543">
        <w:rPr>
          <w:rFonts w:cs="Arial"/>
          <w:szCs w:val="20"/>
        </w:rPr>
        <w:t>5,1 %</w:t>
      </w:r>
      <w:r w:rsidR="00971C99">
        <w:rPr>
          <w:rFonts w:cs="Arial"/>
          <w:szCs w:val="20"/>
        </w:rPr>
        <w:t xml:space="preserve">, tedy </w:t>
      </w:r>
      <w:r w:rsidR="00623459">
        <w:rPr>
          <w:rFonts w:cs="Arial"/>
          <w:szCs w:val="20"/>
        </w:rPr>
        <w:t>o 76 tisíc hostů</w:t>
      </w:r>
      <w:r w:rsidR="00971C99">
        <w:rPr>
          <w:rFonts w:cs="Arial"/>
          <w:szCs w:val="20"/>
        </w:rPr>
        <w:t xml:space="preserve"> více než v roce 2013. </w:t>
      </w:r>
      <w:r w:rsidR="00623459">
        <w:rPr>
          <w:rFonts w:cs="Arial"/>
          <w:szCs w:val="20"/>
        </w:rPr>
        <w:t xml:space="preserve">Slováků </w:t>
      </w:r>
      <w:r w:rsidR="00971C99">
        <w:rPr>
          <w:rFonts w:cs="Arial"/>
          <w:szCs w:val="20"/>
        </w:rPr>
        <w:t xml:space="preserve">přijelo </w:t>
      </w:r>
      <w:r w:rsidR="00623459">
        <w:rPr>
          <w:rFonts w:cs="Arial"/>
          <w:szCs w:val="20"/>
        </w:rPr>
        <w:t xml:space="preserve">o 9,7 % </w:t>
      </w:r>
      <w:r w:rsidR="00971C99">
        <w:rPr>
          <w:rFonts w:cs="Arial"/>
          <w:szCs w:val="20"/>
        </w:rPr>
        <w:t>více (plus</w:t>
      </w:r>
      <w:r w:rsidR="00623459">
        <w:rPr>
          <w:rFonts w:cs="Arial"/>
          <w:szCs w:val="20"/>
        </w:rPr>
        <w:t xml:space="preserve"> 44 </w:t>
      </w:r>
      <w:r w:rsidR="00971C99">
        <w:rPr>
          <w:rFonts w:cs="Arial"/>
          <w:szCs w:val="20"/>
        </w:rPr>
        <w:t>tisíc hostů)</w:t>
      </w:r>
      <w:r>
        <w:rPr>
          <w:rFonts w:cs="Arial"/>
          <w:szCs w:val="20"/>
        </w:rPr>
        <w:t xml:space="preserve"> </w:t>
      </w:r>
      <w:r w:rsidR="00F50857">
        <w:rPr>
          <w:rFonts w:cs="Arial"/>
          <w:szCs w:val="20"/>
        </w:rPr>
        <w:t xml:space="preserve">a </w:t>
      </w:r>
      <w:r w:rsidR="00971C99">
        <w:rPr>
          <w:rFonts w:cs="Arial"/>
          <w:szCs w:val="20"/>
        </w:rPr>
        <w:t xml:space="preserve">příjezdů z Polska bylo </w:t>
      </w:r>
      <w:r w:rsidR="00F50857">
        <w:rPr>
          <w:rFonts w:cs="Arial"/>
          <w:szCs w:val="20"/>
        </w:rPr>
        <w:t xml:space="preserve">o 6,4 %, tedy </w:t>
      </w:r>
      <w:r w:rsidR="00971C99">
        <w:rPr>
          <w:rFonts w:cs="Arial"/>
          <w:szCs w:val="20"/>
        </w:rPr>
        <w:t xml:space="preserve">nárůst </w:t>
      </w:r>
      <w:r w:rsidR="00F50857">
        <w:rPr>
          <w:rFonts w:cs="Arial"/>
          <w:szCs w:val="20"/>
        </w:rPr>
        <w:t xml:space="preserve">o </w:t>
      </w:r>
      <w:r w:rsidR="00971C99">
        <w:rPr>
          <w:rFonts w:cs="Arial"/>
          <w:szCs w:val="20"/>
        </w:rPr>
        <w:t>27 tisíc</w:t>
      </w:r>
      <w:r w:rsidR="00F50857">
        <w:rPr>
          <w:rFonts w:cs="Arial"/>
          <w:szCs w:val="20"/>
        </w:rPr>
        <w:t>. Rovněž</w:t>
      </w:r>
      <w:r w:rsidR="00777811">
        <w:rPr>
          <w:rFonts w:cs="Arial"/>
          <w:szCs w:val="20"/>
        </w:rPr>
        <w:t xml:space="preserve"> zvyšující </w:t>
      </w:r>
      <w:r w:rsidR="001156EB">
        <w:rPr>
          <w:rFonts w:cs="Arial"/>
          <w:szCs w:val="20"/>
        </w:rPr>
        <w:t xml:space="preserve">se </w:t>
      </w:r>
      <w:r w:rsidR="00777811">
        <w:rPr>
          <w:rFonts w:cs="Arial"/>
          <w:szCs w:val="20"/>
        </w:rPr>
        <w:t>zájem návštěvníků z a</w:t>
      </w:r>
      <w:r w:rsidR="00F50857">
        <w:rPr>
          <w:rFonts w:cs="Arial"/>
          <w:szCs w:val="20"/>
        </w:rPr>
        <w:t xml:space="preserve">sijských </w:t>
      </w:r>
      <w:r w:rsidR="00971C99">
        <w:rPr>
          <w:rFonts w:cs="Arial"/>
          <w:szCs w:val="20"/>
        </w:rPr>
        <w:t>zemí není zanedbatelný. Čínských turistů se ubytovalo o 21,6 %</w:t>
      </w:r>
      <w:r w:rsidR="00B64810">
        <w:rPr>
          <w:rFonts w:cs="Arial"/>
          <w:szCs w:val="20"/>
        </w:rPr>
        <w:t xml:space="preserve"> více</w:t>
      </w:r>
      <w:r w:rsidR="00971C99">
        <w:rPr>
          <w:rFonts w:cs="Arial"/>
          <w:szCs w:val="20"/>
        </w:rPr>
        <w:t xml:space="preserve"> a podobně na tom byli i hosté z Jižní Koreje</w:t>
      </w:r>
      <w:r w:rsidR="00F37B2F">
        <w:rPr>
          <w:rFonts w:cs="Arial"/>
          <w:szCs w:val="20"/>
        </w:rPr>
        <w:t>, kteří zaznamenali mezi</w:t>
      </w:r>
      <w:r w:rsidR="00971C99">
        <w:rPr>
          <w:rFonts w:cs="Arial"/>
          <w:szCs w:val="20"/>
        </w:rPr>
        <w:t xml:space="preserve">roční zvýšení svých cest o 21,9 %. </w:t>
      </w:r>
      <w:r w:rsidR="00F50857">
        <w:rPr>
          <w:rFonts w:cs="Arial"/>
          <w:szCs w:val="20"/>
        </w:rPr>
        <w:t xml:space="preserve"> </w:t>
      </w:r>
    </w:p>
    <w:p w:rsidR="00421245" w:rsidRDefault="00421245" w:rsidP="00F32E28">
      <w:pPr>
        <w:rPr>
          <w:rFonts w:cs="Arial"/>
          <w:szCs w:val="20"/>
        </w:rPr>
      </w:pPr>
      <w:bookmarkStart w:id="0" w:name="_GoBack"/>
      <w:bookmarkEnd w:id="0"/>
    </w:p>
    <w:p w:rsidR="00E8713D" w:rsidRDefault="00E8713D" w:rsidP="00F32E28">
      <w:pPr>
        <w:rPr>
          <w:rFonts w:cs="Arial"/>
          <w:szCs w:val="20"/>
        </w:rPr>
      </w:pPr>
    </w:p>
    <w:p w:rsidR="00D209A7" w:rsidRDefault="00D209A7" w:rsidP="00D209A7">
      <w:pPr>
        <w:pStyle w:val="Poznmky0"/>
      </w:pPr>
      <w:r>
        <w:t>Poznámky</w:t>
      </w:r>
    </w:p>
    <w:p w:rsidR="00F32E28" w:rsidRPr="00F32E28" w:rsidRDefault="00F32E28" w:rsidP="00F32E28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tel. 274 052 935,                                   e-mail: </w:t>
      </w:r>
      <w:r w:rsidRPr="00F32E28">
        <w:rPr>
          <w:i/>
          <w:iCs/>
        </w:rPr>
        <w:t>marie.bouskova@czso.cz</w:t>
      </w:r>
    </w:p>
    <w:p w:rsidR="00F32E28" w:rsidRPr="00F32E28" w:rsidRDefault="00F32E28" w:rsidP="00F32E28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>Ing. Pavel Vančura, tel. 274 052 096,                                    e-mail: pavel.vancura@czso.cz</w:t>
      </w:r>
    </w:p>
    <w:p w:rsidR="00F32E28" w:rsidRPr="00F32E28" w:rsidRDefault="00F32E28" w:rsidP="00F32E28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F32E28" w:rsidRPr="00F32E28" w:rsidRDefault="0098054B" w:rsidP="00F32E28">
      <w:pPr>
        <w:pStyle w:val="Poznamkytexty"/>
        <w:ind w:left="3600" w:hanging="3600"/>
      </w:pPr>
      <w:r>
        <w:t>Termín ukončení sběru dat:</w:t>
      </w:r>
      <w:r>
        <w:tab/>
        <w:t>26. 1. 2015</w:t>
      </w:r>
    </w:p>
    <w:p w:rsidR="00F32E28" w:rsidRPr="00F32E28" w:rsidRDefault="00F32E28" w:rsidP="00F32E28">
      <w:pPr>
        <w:pStyle w:val="Poznamkytexty"/>
        <w:ind w:left="3600" w:hanging="3600"/>
      </w:pPr>
      <w:r w:rsidRPr="00F32E28">
        <w:t>Te</w:t>
      </w:r>
      <w:r w:rsidR="004D58A3">
        <w:t xml:space="preserve">rmín </w:t>
      </w:r>
      <w:r w:rsidR="0098054B">
        <w:t>ukončení zpracování:</w:t>
      </w:r>
      <w:r w:rsidR="0098054B">
        <w:tab/>
        <w:t>30. 1. 2015</w:t>
      </w:r>
    </w:p>
    <w:p w:rsidR="00F32E28" w:rsidRPr="00F32E28" w:rsidRDefault="00F32E28" w:rsidP="00F32E28">
      <w:pPr>
        <w:pStyle w:val="Poznamkytexty"/>
        <w:ind w:left="3600" w:hanging="3600"/>
      </w:pPr>
      <w:r w:rsidRPr="00F32E28">
        <w:t>Navazující datová sada:</w:t>
      </w:r>
      <w:r w:rsidRPr="00F32E28">
        <w:tab/>
      </w:r>
      <w:r w:rsidRPr="00F32E28">
        <w:rPr>
          <w:iCs/>
        </w:rPr>
        <w:t>Údaje za jednotlivá čtvrtletí od roku 2000 jsou k dispozici v časových řadách na:</w:t>
      </w:r>
    </w:p>
    <w:p w:rsidR="00F32E28" w:rsidRPr="00F32E28" w:rsidRDefault="00F32E28" w:rsidP="00F32E28">
      <w:pPr>
        <w:pStyle w:val="Poznamkytexty"/>
        <w:ind w:left="3600" w:hanging="3600"/>
      </w:pPr>
      <w:r w:rsidRPr="00F32E28">
        <w:tab/>
        <w:t>http://www.czso.cz/csu/redakce.nsf/i/cru_cr</w:t>
      </w:r>
    </w:p>
    <w:p w:rsidR="00F32E28" w:rsidRDefault="00E34CB9" w:rsidP="008578E4">
      <w:pPr>
        <w:pStyle w:val="Poznamkytexty"/>
        <w:ind w:left="3600" w:hanging="3600"/>
      </w:pPr>
      <w:r>
        <w:t>Termín zveřejnění další RI:</w:t>
      </w:r>
      <w:r>
        <w:tab/>
        <w:t>11</w:t>
      </w:r>
      <w:r w:rsidR="004D58A3">
        <w:t>. 5</w:t>
      </w:r>
      <w:r>
        <w:t>. 2015</w:t>
      </w:r>
    </w:p>
    <w:p w:rsidR="008C54F4" w:rsidRPr="008C54F4" w:rsidRDefault="008C54F4" w:rsidP="00F32E28">
      <w:pPr>
        <w:pStyle w:val="Poznamkytexty"/>
        <w:rPr>
          <w:b/>
        </w:rPr>
      </w:pPr>
    </w:p>
    <w:p w:rsidR="008578E4" w:rsidRDefault="008578E4" w:rsidP="00F32E28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C04391" w:rsidRDefault="00C04391" w:rsidP="00C04391">
      <w:r>
        <w:t>Přílohy</w:t>
      </w:r>
    </w:p>
    <w:p w:rsidR="00C04391" w:rsidRPr="00790761" w:rsidRDefault="00C04391" w:rsidP="00C04391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C04391" w:rsidRPr="00790761" w:rsidRDefault="00C04391" w:rsidP="00C04391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C04391" w:rsidRPr="00790761" w:rsidRDefault="00C04391" w:rsidP="00C04391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C04391" w:rsidRPr="00790761" w:rsidRDefault="00C04391" w:rsidP="00C04391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C04391" w:rsidRPr="00C04391" w:rsidRDefault="00C04391" w:rsidP="00E8713D">
      <w:pPr>
        <w:pStyle w:val="Zkladntext3"/>
        <w:spacing w:after="0" w:line="276" w:lineRule="auto"/>
        <w:rPr>
          <w:rFonts w:ascii="Arial" w:hAnsi="Arial" w:cs="Arial"/>
          <w:sz w:val="18"/>
          <w:szCs w:val="18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sectPr w:rsidR="00C04391" w:rsidRPr="00C04391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B0" w:rsidRDefault="00CD5BB0" w:rsidP="00BA6370">
      <w:r>
        <w:separator/>
      </w:r>
    </w:p>
  </w:endnote>
  <w:endnote w:type="continuationSeparator" w:id="0">
    <w:p w:rsidR="00CD5BB0" w:rsidRDefault="00CD5BB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67" w:rsidRDefault="00B6481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952567" w:rsidRPr="001404AB" w:rsidRDefault="00952567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952567" w:rsidRPr="00A81EB3" w:rsidRDefault="00952567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1699E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1699E" w:rsidRPr="004E479E">
                  <w:rPr>
                    <w:rFonts w:cs="Arial"/>
                    <w:szCs w:val="15"/>
                  </w:rPr>
                  <w:fldChar w:fldCharType="separate"/>
                </w:r>
                <w:r w:rsidR="00B64810">
                  <w:rPr>
                    <w:rFonts w:cs="Arial"/>
                    <w:noProof/>
                    <w:szCs w:val="15"/>
                  </w:rPr>
                  <w:t>2</w:t>
                </w:r>
                <w:r w:rsidR="00D1699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B0" w:rsidRDefault="00CD5BB0" w:rsidP="00BA6370">
      <w:r>
        <w:separator/>
      </w:r>
    </w:p>
  </w:footnote>
  <w:footnote w:type="continuationSeparator" w:id="0">
    <w:p w:rsidR="00CD5BB0" w:rsidRDefault="00CD5BB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67" w:rsidRDefault="00B64810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FAD"/>
    <w:rsid w:val="000043A7"/>
    <w:rsid w:val="000056E4"/>
    <w:rsid w:val="00032F2E"/>
    <w:rsid w:val="0003658E"/>
    <w:rsid w:val="00043BF4"/>
    <w:rsid w:val="00057321"/>
    <w:rsid w:val="00064705"/>
    <w:rsid w:val="00066856"/>
    <w:rsid w:val="000843A5"/>
    <w:rsid w:val="00096D6C"/>
    <w:rsid w:val="000A25CD"/>
    <w:rsid w:val="000B6F63"/>
    <w:rsid w:val="000D0390"/>
    <w:rsid w:val="000D093F"/>
    <w:rsid w:val="000D7E81"/>
    <w:rsid w:val="00102AC1"/>
    <w:rsid w:val="00112648"/>
    <w:rsid w:val="001156EB"/>
    <w:rsid w:val="00123750"/>
    <w:rsid w:val="00127FAD"/>
    <w:rsid w:val="001404AB"/>
    <w:rsid w:val="00164464"/>
    <w:rsid w:val="00165AB7"/>
    <w:rsid w:val="00166C8F"/>
    <w:rsid w:val="0017231D"/>
    <w:rsid w:val="0017404F"/>
    <w:rsid w:val="001810DC"/>
    <w:rsid w:val="00190496"/>
    <w:rsid w:val="00193DF4"/>
    <w:rsid w:val="001944D8"/>
    <w:rsid w:val="001A7B17"/>
    <w:rsid w:val="001B607F"/>
    <w:rsid w:val="001C1636"/>
    <w:rsid w:val="001D369A"/>
    <w:rsid w:val="001E246E"/>
    <w:rsid w:val="001E4376"/>
    <w:rsid w:val="001F08B3"/>
    <w:rsid w:val="001F2FE0"/>
    <w:rsid w:val="001F3082"/>
    <w:rsid w:val="002070FB"/>
    <w:rsid w:val="00212973"/>
    <w:rsid w:val="00213729"/>
    <w:rsid w:val="00222DB7"/>
    <w:rsid w:val="00225A02"/>
    <w:rsid w:val="002406FA"/>
    <w:rsid w:val="0025135A"/>
    <w:rsid w:val="00255313"/>
    <w:rsid w:val="00271F0E"/>
    <w:rsid w:val="0029060E"/>
    <w:rsid w:val="002A32C6"/>
    <w:rsid w:val="002B2E47"/>
    <w:rsid w:val="002B3F21"/>
    <w:rsid w:val="002C1D8E"/>
    <w:rsid w:val="002D328C"/>
    <w:rsid w:val="002E0E12"/>
    <w:rsid w:val="002E4543"/>
    <w:rsid w:val="002E65A0"/>
    <w:rsid w:val="002F15B9"/>
    <w:rsid w:val="002F25AF"/>
    <w:rsid w:val="002F3E32"/>
    <w:rsid w:val="00307A94"/>
    <w:rsid w:val="003301A3"/>
    <w:rsid w:val="0034000D"/>
    <w:rsid w:val="00356F79"/>
    <w:rsid w:val="00364F38"/>
    <w:rsid w:val="0036777B"/>
    <w:rsid w:val="0038282A"/>
    <w:rsid w:val="00386A35"/>
    <w:rsid w:val="00397580"/>
    <w:rsid w:val="003A0FD1"/>
    <w:rsid w:val="003A324B"/>
    <w:rsid w:val="003A45C8"/>
    <w:rsid w:val="003C2DCF"/>
    <w:rsid w:val="003C6AA8"/>
    <w:rsid w:val="003C7FE7"/>
    <w:rsid w:val="003D0499"/>
    <w:rsid w:val="003D110B"/>
    <w:rsid w:val="003D3576"/>
    <w:rsid w:val="003D524F"/>
    <w:rsid w:val="003F526A"/>
    <w:rsid w:val="004009E2"/>
    <w:rsid w:val="00400BEF"/>
    <w:rsid w:val="00405244"/>
    <w:rsid w:val="00410251"/>
    <w:rsid w:val="00414750"/>
    <w:rsid w:val="00421245"/>
    <w:rsid w:val="00425F67"/>
    <w:rsid w:val="00430243"/>
    <w:rsid w:val="00430309"/>
    <w:rsid w:val="004436EE"/>
    <w:rsid w:val="004449E4"/>
    <w:rsid w:val="00444F2D"/>
    <w:rsid w:val="0045547F"/>
    <w:rsid w:val="00461366"/>
    <w:rsid w:val="00477588"/>
    <w:rsid w:val="004800A7"/>
    <w:rsid w:val="004920AD"/>
    <w:rsid w:val="004D05B3"/>
    <w:rsid w:val="004D58A3"/>
    <w:rsid w:val="004E479E"/>
    <w:rsid w:val="004F1714"/>
    <w:rsid w:val="004F46BB"/>
    <w:rsid w:val="004F78E6"/>
    <w:rsid w:val="0050420E"/>
    <w:rsid w:val="00512D99"/>
    <w:rsid w:val="00531DBB"/>
    <w:rsid w:val="00536713"/>
    <w:rsid w:val="00552ED2"/>
    <w:rsid w:val="00572C3E"/>
    <w:rsid w:val="00581871"/>
    <w:rsid w:val="00582577"/>
    <w:rsid w:val="005837B3"/>
    <w:rsid w:val="00587B02"/>
    <w:rsid w:val="005A43DF"/>
    <w:rsid w:val="005D119F"/>
    <w:rsid w:val="005D6EC9"/>
    <w:rsid w:val="005F79FB"/>
    <w:rsid w:val="00603749"/>
    <w:rsid w:val="00604406"/>
    <w:rsid w:val="00605F4A"/>
    <w:rsid w:val="00607822"/>
    <w:rsid w:val="006103AA"/>
    <w:rsid w:val="00613BBF"/>
    <w:rsid w:val="00615099"/>
    <w:rsid w:val="00622B80"/>
    <w:rsid w:val="00623459"/>
    <w:rsid w:val="00625804"/>
    <w:rsid w:val="0064139A"/>
    <w:rsid w:val="006516FF"/>
    <w:rsid w:val="00653391"/>
    <w:rsid w:val="00664DB4"/>
    <w:rsid w:val="00665D06"/>
    <w:rsid w:val="006931CF"/>
    <w:rsid w:val="00695B33"/>
    <w:rsid w:val="006E024F"/>
    <w:rsid w:val="006E4E81"/>
    <w:rsid w:val="006F1BAA"/>
    <w:rsid w:val="00707F7D"/>
    <w:rsid w:val="00717EC5"/>
    <w:rsid w:val="0072359B"/>
    <w:rsid w:val="00732808"/>
    <w:rsid w:val="007447CD"/>
    <w:rsid w:val="00754C20"/>
    <w:rsid w:val="00763FF2"/>
    <w:rsid w:val="0076511B"/>
    <w:rsid w:val="00777811"/>
    <w:rsid w:val="0078660C"/>
    <w:rsid w:val="00796CDA"/>
    <w:rsid w:val="00797C9A"/>
    <w:rsid w:val="007A162B"/>
    <w:rsid w:val="007A57F2"/>
    <w:rsid w:val="007B1333"/>
    <w:rsid w:val="007B323A"/>
    <w:rsid w:val="007E1007"/>
    <w:rsid w:val="007F1674"/>
    <w:rsid w:val="007F4AEB"/>
    <w:rsid w:val="007F75B2"/>
    <w:rsid w:val="00803993"/>
    <w:rsid w:val="008043C4"/>
    <w:rsid w:val="008206A3"/>
    <w:rsid w:val="00825A09"/>
    <w:rsid w:val="008311E3"/>
    <w:rsid w:val="00831B1B"/>
    <w:rsid w:val="00855FB3"/>
    <w:rsid w:val="008570F6"/>
    <w:rsid w:val="008578E4"/>
    <w:rsid w:val="00857ABD"/>
    <w:rsid w:val="00861D0E"/>
    <w:rsid w:val="008662BB"/>
    <w:rsid w:val="00867569"/>
    <w:rsid w:val="008763A5"/>
    <w:rsid w:val="008815D2"/>
    <w:rsid w:val="00881BE6"/>
    <w:rsid w:val="00890186"/>
    <w:rsid w:val="008931E6"/>
    <w:rsid w:val="008A0C62"/>
    <w:rsid w:val="008A60C8"/>
    <w:rsid w:val="008A750A"/>
    <w:rsid w:val="008B3970"/>
    <w:rsid w:val="008B4AC7"/>
    <w:rsid w:val="008C384C"/>
    <w:rsid w:val="008C54F4"/>
    <w:rsid w:val="008D0F11"/>
    <w:rsid w:val="008D5CE4"/>
    <w:rsid w:val="008E4BEC"/>
    <w:rsid w:val="008F73B4"/>
    <w:rsid w:val="00902919"/>
    <w:rsid w:val="00922378"/>
    <w:rsid w:val="009263F2"/>
    <w:rsid w:val="009323A9"/>
    <w:rsid w:val="0093342C"/>
    <w:rsid w:val="0093638E"/>
    <w:rsid w:val="00952567"/>
    <w:rsid w:val="00952A1F"/>
    <w:rsid w:val="00953682"/>
    <w:rsid w:val="009708F0"/>
    <w:rsid w:val="00971C99"/>
    <w:rsid w:val="0098054B"/>
    <w:rsid w:val="009837CF"/>
    <w:rsid w:val="009B524E"/>
    <w:rsid w:val="009B55B1"/>
    <w:rsid w:val="009E2541"/>
    <w:rsid w:val="009E2D64"/>
    <w:rsid w:val="009F2BC8"/>
    <w:rsid w:val="00A4343D"/>
    <w:rsid w:val="00A502F1"/>
    <w:rsid w:val="00A62C17"/>
    <w:rsid w:val="00A667FA"/>
    <w:rsid w:val="00A70A83"/>
    <w:rsid w:val="00A72589"/>
    <w:rsid w:val="00A81DF5"/>
    <w:rsid w:val="00A81EB3"/>
    <w:rsid w:val="00A930C4"/>
    <w:rsid w:val="00AA238C"/>
    <w:rsid w:val="00AB3410"/>
    <w:rsid w:val="00AE45A1"/>
    <w:rsid w:val="00B00C1D"/>
    <w:rsid w:val="00B55375"/>
    <w:rsid w:val="00B6167A"/>
    <w:rsid w:val="00B632CC"/>
    <w:rsid w:val="00B63332"/>
    <w:rsid w:val="00B64810"/>
    <w:rsid w:val="00B6700F"/>
    <w:rsid w:val="00B71A5D"/>
    <w:rsid w:val="00B75864"/>
    <w:rsid w:val="00B90D7B"/>
    <w:rsid w:val="00B94A4F"/>
    <w:rsid w:val="00BA12F1"/>
    <w:rsid w:val="00BA245F"/>
    <w:rsid w:val="00BA439F"/>
    <w:rsid w:val="00BA6370"/>
    <w:rsid w:val="00C03434"/>
    <w:rsid w:val="00C04391"/>
    <w:rsid w:val="00C13408"/>
    <w:rsid w:val="00C24180"/>
    <w:rsid w:val="00C269D4"/>
    <w:rsid w:val="00C4160D"/>
    <w:rsid w:val="00C63737"/>
    <w:rsid w:val="00C80BEC"/>
    <w:rsid w:val="00C81A90"/>
    <w:rsid w:val="00C8406E"/>
    <w:rsid w:val="00C906A9"/>
    <w:rsid w:val="00CA36C6"/>
    <w:rsid w:val="00CA76EC"/>
    <w:rsid w:val="00CB2709"/>
    <w:rsid w:val="00CB6F89"/>
    <w:rsid w:val="00CD5BB0"/>
    <w:rsid w:val="00CE228C"/>
    <w:rsid w:val="00CE71D9"/>
    <w:rsid w:val="00CF545B"/>
    <w:rsid w:val="00D04739"/>
    <w:rsid w:val="00D1699E"/>
    <w:rsid w:val="00D209A7"/>
    <w:rsid w:val="00D26FD6"/>
    <w:rsid w:val="00D27D69"/>
    <w:rsid w:val="00D448C2"/>
    <w:rsid w:val="00D45650"/>
    <w:rsid w:val="00D6065C"/>
    <w:rsid w:val="00D618DF"/>
    <w:rsid w:val="00D666C3"/>
    <w:rsid w:val="00D9189F"/>
    <w:rsid w:val="00D9354E"/>
    <w:rsid w:val="00D9488B"/>
    <w:rsid w:val="00DB1D09"/>
    <w:rsid w:val="00DF47FE"/>
    <w:rsid w:val="00E0156A"/>
    <w:rsid w:val="00E070C9"/>
    <w:rsid w:val="00E12678"/>
    <w:rsid w:val="00E210FC"/>
    <w:rsid w:val="00E26704"/>
    <w:rsid w:val="00E31980"/>
    <w:rsid w:val="00E34CB9"/>
    <w:rsid w:val="00E61C31"/>
    <w:rsid w:val="00E6423C"/>
    <w:rsid w:val="00E648BA"/>
    <w:rsid w:val="00E761B5"/>
    <w:rsid w:val="00E768AA"/>
    <w:rsid w:val="00E76DBA"/>
    <w:rsid w:val="00E8448C"/>
    <w:rsid w:val="00E87068"/>
    <w:rsid w:val="00E8713D"/>
    <w:rsid w:val="00E93830"/>
    <w:rsid w:val="00E93E0E"/>
    <w:rsid w:val="00EA3E12"/>
    <w:rsid w:val="00EB1ED3"/>
    <w:rsid w:val="00EC3E93"/>
    <w:rsid w:val="00EC79F8"/>
    <w:rsid w:val="00ED1EA8"/>
    <w:rsid w:val="00ED5D97"/>
    <w:rsid w:val="00EF43C1"/>
    <w:rsid w:val="00EF7121"/>
    <w:rsid w:val="00F32E28"/>
    <w:rsid w:val="00F330A2"/>
    <w:rsid w:val="00F37B2F"/>
    <w:rsid w:val="00F405A1"/>
    <w:rsid w:val="00F50559"/>
    <w:rsid w:val="00F50857"/>
    <w:rsid w:val="00F50E65"/>
    <w:rsid w:val="00F53FC0"/>
    <w:rsid w:val="00F64649"/>
    <w:rsid w:val="00F675E3"/>
    <w:rsid w:val="00F75F2A"/>
    <w:rsid w:val="00F768CE"/>
    <w:rsid w:val="00F80EDA"/>
    <w:rsid w:val="00FA4F46"/>
    <w:rsid w:val="00FA6E43"/>
    <w:rsid w:val="00FB20F5"/>
    <w:rsid w:val="00FB687C"/>
    <w:rsid w:val="00FC1480"/>
    <w:rsid w:val="00FC4936"/>
    <w:rsid w:val="00FD29FA"/>
    <w:rsid w:val="00FF1CB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32E28"/>
    <w:pPr>
      <w:suppressAutoHyphens/>
      <w:autoSpaceDN w:val="0"/>
      <w:spacing w:line="300" w:lineRule="exact"/>
      <w:textAlignment w:val="baseline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rsid w:val="00F32E28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link w:val="Zkladntext2"/>
    <w:rsid w:val="00F32E28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F32E28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link w:val="Zkladntext3"/>
    <w:rsid w:val="00F32E28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F32E28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paragraph" w:customStyle="1" w:styleId="Default">
    <w:name w:val="Default"/>
    <w:rsid w:val="008C54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I_RUCH\ZPRACOV&#193;N&#205;\3_Q_20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E47F-DEA6-4283-A2F4-92F5400E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425</TotalTime>
  <Pages>2</Pages>
  <Words>714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Mikula</dc:creator>
  <cp:keywords/>
  <cp:lastModifiedBy>Roman Mikula</cp:lastModifiedBy>
  <cp:revision>94</cp:revision>
  <dcterms:created xsi:type="dcterms:W3CDTF">2014-02-05T06:56:00Z</dcterms:created>
  <dcterms:modified xsi:type="dcterms:W3CDTF">2015-02-06T08:52:00Z</dcterms:modified>
</cp:coreProperties>
</file>