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02" w:rsidRPr="00D22B98" w:rsidRDefault="00FE0F17" w:rsidP="00F54502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bookmarkStart w:id="0" w:name="_GoBack"/>
      <w:bookmarkEnd w:id="0"/>
      <w:r w:rsidRPr="00D22B98">
        <w:rPr>
          <w:rFonts w:eastAsia="Calibri" w:cs="Arial"/>
          <w:bCs w:val="0"/>
          <w:color w:val="auto"/>
          <w:sz w:val="18"/>
          <w:szCs w:val="22"/>
        </w:rPr>
        <w:t>4 March 2016</w:t>
      </w:r>
    </w:p>
    <w:p w:rsidR="00F54502" w:rsidRPr="00D22B98" w:rsidRDefault="00F54502" w:rsidP="00F54502">
      <w:pPr>
        <w:pStyle w:val="Nzev"/>
      </w:pPr>
      <w:r w:rsidRPr="00181F8F">
        <w:t xml:space="preserve">GDP in </w:t>
      </w:r>
      <w:r w:rsidR="00FE796F" w:rsidRPr="00181F8F">
        <w:t>2015</w:t>
      </w:r>
      <w:r w:rsidR="00FE0F17" w:rsidRPr="00181F8F">
        <w:t xml:space="preserve"> increased by 4.</w:t>
      </w:r>
      <w:r w:rsidR="00FE796F" w:rsidRPr="00181F8F">
        <w:t>3</w:t>
      </w:r>
      <w:r w:rsidR="00FE0F17" w:rsidRPr="00181F8F">
        <w:t>%</w:t>
      </w:r>
      <w:r w:rsidRPr="00D22B98">
        <w:t xml:space="preserve"> </w:t>
      </w:r>
    </w:p>
    <w:p w:rsidR="00F54502" w:rsidRPr="00D22B98" w:rsidRDefault="00F54502" w:rsidP="00F54502">
      <w:pPr>
        <w:pStyle w:val="Nadpis2"/>
        <w:tabs>
          <w:tab w:val="left" w:pos="6237"/>
        </w:tabs>
        <w:rPr>
          <w:lang w:val="en-GB"/>
        </w:rPr>
      </w:pPr>
      <w:r w:rsidRPr="00D22B98">
        <w:rPr>
          <w:lang w:val="en-GB"/>
        </w:rPr>
        <w:t>GDP resources and uses</w:t>
      </w:r>
      <w:r w:rsidR="00FE0F17" w:rsidRPr="00D22B98">
        <w:rPr>
          <w:lang w:val="en-GB"/>
        </w:rPr>
        <w:t xml:space="preserve"> – the fourth quarter of 2015</w:t>
      </w:r>
    </w:p>
    <w:p w:rsidR="00F54502" w:rsidRPr="00D22B98" w:rsidRDefault="00F54502" w:rsidP="00F54502">
      <w:pPr>
        <w:rPr>
          <w:rFonts w:cs="Arial"/>
          <w:b/>
          <w:szCs w:val="18"/>
          <w:lang w:val="en-GB"/>
        </w:rPr>
      </w:pPr>
    </w:p>
    <w:p w:rsidR="00F54502" w:rsidRPr="00D22B98" w:rsidRDefault="00F54502" w:rsidP="00F54502">
      <w:pPr>
        <w:rPr>
          <w:rFonts w:cs="Arial"/>
          <w:b/>
          <w:szCs w:val="18"/>
          <w:lang w:val="en-GB"/>
        </w:rPr>
      </w:pPr>
    </w:p>
    <w:p w:rsidR="00AE0922" w:rsidRPr="00D22B98" w:rsidRDefault="00AE0922" w:rsidP="00F54502">
      <w:pPr>
        <w:rPr>
          <w:rFonts w:cs="Arial"/>
          <w:b/>
          <w:szCs w:val="18"/>
          <w:lang w:val="en-GB"/>
        </w:rPr>
      </w:pPr>
      <w:r w:rsidRPr="00D22B98">
        <w:rPr>
          <w:b/>
          <w:bCs/>
          <w:lang w:val="en-GB"/>
        </w:rPr>
        <w:t>According to the refined estimate, t</w:t>
      </w:r>
      <w:r w:rsidR="00F54502" w:rsidRPr="00D22B98">
        <w:rPr>
          <w:rFonts w:cs="Arial"/>
          <w:b/>
          <w:szCs w:val="18"/>
          <w:lang w:val="en-GB"/>
        </w:rPr>
        <w:t>he gross domestic product</w:t>
      </w:r>
      <w:r w:rsidRPr="00D22B98">
        <w:rPr>
          <w:rFonts w:cs="Arial"/>
          <w:b/>
          <w:szCs w:val="18"/>
          <w:lang w:val="en-GB"/>
        </w:rPr>
        <w:t xml:space="preserve"> in the Q4 2015 increased by 4.0%, y-o-y. In the quarter-on-quarter comparison it remained unchanged. The gross value added increased by 3.8%, y-o-y, and by 0.5%, q-o-q. The GDP growth for the entire year 2015 was 4.3%. </w:t>
      </w:r>
    </w:p>
    <w:p w:rsidR="00F54502" w:rsidRPr="00D22B98" w:rsidRDefault="00F54502" w:rsidP="00F54502">
      <w:pPr>
        <w:rPr>
          <w:rFonts w:cs="Arial"/>
          <w:b/>
          <w:szCs w:val="18"/>
          <w:lang w:val="en-GB"/>
        </w:rPr>
      </w:pPr>
    </w:p>
    <w:p w:rsidR="00FA26FE" w:rsidRPr="00D22B98" w:rsidRDefault="00FA26FE" w:rsidP="00FA26FE">
      <w:pPr>
        <w:rPr>
          <w:bCs/>
          <w:lang w:val="en-GB"/>
        </w:rPr>
      </w:pPr>
      <w:r w:rsidRPr="008834BC">
        <w:rPr>
          <w:bCs/>
          <w:lang w:val="en-GB"/>
        </w:rPr>
        <w:t xml:space="preserve">The Czech economy continued to grow in the end of 2015, however, with </w:t>
      </w:r>
      <w:r w:rsidR="008834BC" w:rsidRPr="008834BC">
        <w:rPr>
          <w:bCs/>
          <w:lang w:val="en-GB"/>
        </w:rPr>
        <w:t xml:space="preserve">a </w:t>
      </w:r>
      <w:r w:rsidRPr="008834BC">
        <w:rPr>
          <w:bCs/>
          <w:lang w:val="en-GB"/>
        </w:rPr>
        <w:t>lower growth rate</w:t>
      </w:r>
      <w:r w:rsidRPr="00D22B98">
        <w:rPr>
          <w:bCs/>
          <w:lang w:val="en-GB"/>
        </w:rPr>
        <w:t xml:space="preserve"> than in the preceding quarters. T</w:t>
      </w:r>
      <w:r w:rsidRPr="00D22B98">
        <w:rPr>
          <w:lang w:val="en-GB"/>
        </w:rPr>
        <w:t xml:space="preserve">he </w:t>
      </w:r>
      <w:r w:rsidRPr="00D22B98">
        <w:rPr>
          <w:b/>
          <w:bCs/>
          <w:lang w:val="en-GB"/>
        </w:rPr>
        <w:t>gross domestic product (GDP)</w:t>
      </w:r>
      <w:r w:rsidRPr="00D22B98">
        <w:rPr>
          <w:rFonts w:cs="Arial"/>
          <w:bCs/>
          <w:szCs w:val="20"/>
          <w:lang w:val="en-GB"/>
        </w:rPr>
        <w:t xml:space="preserve"> adjusted for price effects and </w:t>
      </w:r>
      <w:r w:rsidRPr="0091124B">
        <w:rPr>
          <w:rFonts w:cs="Arial"/>
          <w:bCs/>
          <w:szCs w:val="20"/>
          <w:lang w:val="en-GB"/>
        </w:rPr>
        <w:t>seasonally adjusted</w:t>
      </w:r>
      <w:r w:rsidRPr="0091124B">
        <w:rPr>
          <w:rStyle w:val="Znakapoznpodarou"/>
          <w:rFonts w:cs="Arial"/>
          <w:szCs w:val="18"/>
          <w:lang w:val="en-GB"/>
        </w:rPr>
        <w:footnoteReference w:id="1"/>
      </w:r>
      <w:r w:rsidRPr="0091124B">
        <w:rPr>
          <w:rFonts w:cs="Arial"/>
          <w:szCs w:val="18"/>
          <w:lang w:val="en-GB"/>
        </w:rPr>
        <w:t xml:space="preserve"> </w:t>
      </w:r>
      <w:r w:rsidRPr="0091124B">
        <w:rPr>
          <w:b/>
          <w:bCs/>
          <w:lang w:val="en-GB"/>
        </w:rPr>
        <w:t>was by 4.0% higher</w:t>
      </w:r>
      <w:r w:rsidRPr="0091124B">
        <w:rPr>
          <w:bCs/>
          <w:lang w:val="en-GB"/>
        </w:rPr>
        <w:t xml:space="preserve"> </w:t>
      </w:r>
      <w:r w:rsidRPr="0091124B">
        <w:rPr>
          <w:b/>
          <w:bCs/>
          <w:lang w:val="en-GB"/>
        </w:rPr>
        <w:t xml:space="preserve">in the Q4 2015 than a year </w:t>
      </w:r>
      <w:r w:rsidR="00675A0E">
        <w:rPr>
          <w:b/>
          <w:bCs/>
          <w:lang w:val="en-GB"/>
        </w:rPr>
        <w:t>ago</w:t>
      </w:r>
      <w:r w:rsidRPr="0091124B">
        <w:rPr>
          <w:b/>
          <w:bCs/>
          <w:lang w:val="en-GB"/>
        </w:rPr>
        <w:t>.</w:t>
      </w:r>
      <w:r w:rsidRPr="0091124B">
        <w:rPr>
          <w:b/>
          <w:lang w:val="en-GB"/>
        </w:rPr>
        <w:t xml:space="preserve"> </w:t>
      </w:r>
      <w:r w:rsidR="002A5A9F">
        <w:rPr>
          <w:lang w:val="en-GB"/>
        </w:rPr>
        <w:t xml:space="preserve">Compared </w:t>
      </w:r>
      <w:r w:rsidR="002A5A9F" w:rsidRPr="002A5A9F">
        <w:t>to</w:t>
      </w:r>
      <w:r w:rsidR="002A5A9F">
        <w:t> </w:t>
      </w:r>
      <w:r w:rsidRPr="002A5A9F">
        <w:t>the</w:t>
      </w:r>
      <w:r w:rsidRPr="0091124B">
        <w:rPr>
          <w:lang w:val="en-GB"/>
        </w:rPr>
        <w:t xml:space="preserve"> previous quarter the GDP remained unchanged</w:t>
      </w:r>
      <w:r w:rsidRPr="0091124B">
        <w:rPr>
          <w:rStyle w:val="Znakapoznpodarou"/>
          <w:rFonts w:cs="Arial"/>
          <w:szCs w:val="18"/>
          <w:lang w:val="en-GB"/>
        </w:rPr>
        <w:footnoteReference w:id="2"/>
      </w:r>
      <w:r w:rsidRPr="0091124B">
        <w:rPr>
          <w:lang w:val="en-GB"/>
        </w:rPr>
        <w:t>.</w:t>
      </w:r>
      <w:r w:rsidRPr="00D22B98">
        <w:rPr>
          <w:lang w:val="en-GB"/>
        </w:rPr>
        <w:t xml:space="preserve"> </w:t>
      </w:r>
    </w:p>
    <w:p w:rsidR="00FA26FE" w:rsidRPr="00D22B98" w:rsidRDefault="00FA26FE" w:rsidP="00FA26FE">
      <w:pPr>
        <w:rPr>
          <w:lang w:val="en-GB"/>
        </w:rPr>
      </w:pPr>
    </w:p>
    <w:p w:rsidR="005C7A10" w:rsidRPr="00D22B98" w:rsidRDefault="005C7A10" w:rsidP="00FA26FE">
      <w:pPr>
        <w:rPr>
          <w:rFonts w:cs="Arial"/>
          <w:szCs w:val="20"/>
          <w:lang w:val="en-GB"/>
        </w:rPr>
      </w:pPr>
      <w:r w:rsidRPr="00D22B98">
        <w:rPr>
          <w:rFonts w:cs="Arial"/>
          <w:szCs w:val="20"/>
          <w:lang w:val="en-GB"/>
        </w:rPr>
        <w:t xml:space="preserve">Growth of the Czech economy continued, which can be seen also from </w:t>
      </w:r>
      <w:r w:rsidR="00914FCB" w:rsidRPr="00D22B98">
        <w:rPr>
          <w:rFonts w:cs="Arial"/>
          <w:szCs w:val="20"/>
          <w:lang w:val="en-GB"/>
        </w:rPr>
        <w:t>the</w:t>
      </w:r>
      <w:r w:rsidRPr="00D22B98">
        <w:rPr>
          <w:rFonts w:cs="Arial"/>
          <w:szCs w:val="20"/>
          <w:lang w:val="en-GB"/>
        </w:rPr>
        <w:t xml:space="preserve"> positive q-o-q development of the gross value added. </w:t>
      </w:r>
      <w:r w:rsidR="00914FCB" w:rsidRPr="00D22B98">
        <w:rPr>
          <w:rFonts w:cs="Arial"/>
          <w:b/>
          <w:szCs w:val="20"/>
          <w:lang w:val="en-GB"/>
        </w:rPr>
        <w:t>Compared to the Q3 2015, the</w:t>
      </w:r>
      <w:r w:rsidR="00914FCB" w:rsidRPr="00D22B98">
        <w:rPr>
          <w:rFonts w:cs="Arial"/>
          <w:szCs w:val="20"/>
          <w:lang w:val="en-GB"/>
        </w:rPr>
        <w:t xml:space="preserve"> </w:t>
      </w:r>
      <w:r w:rsidR="00181F8F">
        <w:rPr>
          <w:rFonts w:cs="Arial"/>
          <w:b/>
          <w:szCs w:val="20"/>
          <w:lang w:val="en-GB"/>
        </w:rPr>
        <w:t>gross value added </w:t>
      </w:r>
      <w:r w:rsidR="00914FCB" w:rsidRPr="00D22B98">
        <w:rPr>
          <w:rFonts w:cs="Arial"/>
          <w:b/>
          <w:szCs w:val="20"/>
          <w:lang w:val="en-GB"/>
        </w:rPr>
        <w:t>(GVA) was by 0.5% higher</w:t>
      </w:r>
      <w:r w:rsidR="00914FCB" w:rsidRPr="00D22B98">
        <w:rPr>
          <w:rFonts w:cs="Arial"/>
          <w:szCs w:val="20"/>
          <w:lang w:val="en-GB"/>
        </w:rPr>
        <w:t xml:space="preserve">; in the y-o-y comparison it increased by 3.8%. </w:t>
      </w:r>
    </w:p>
    <w:p w:rsidR="00F32262" w:rsidRPr="00D22B98" w:rsidRDefault="00F32262" w:rsidP="00F32262">
      <w:pPr>
        <w:spacing w:before="240"/>
        <w:rPr>
          <w:b/>
          <w:lang w:val="en-GB"/>
        </w:rPr>
      </w:pPr>
      <w:r w:rsidRPr="00D22B98">
        <w:rPr>
          <w:b/>
          <w:lang w:val="en-GB"/>
        </w:rPr>
        <w:t>G</w:t>
      </w:r>
      <w:r w:rsidR="009A7C5C" w:rsidRPr="00D22B98">
        <w:rPr>
          <w:b/>
          <w:lang w:val="en-GB"/>
        </w:rPr>
        <w:t>ross domestic product</w:t>
      </w:r>
      <w:r w:rsidRPr="00D22B98">
        <w:rPr>
          <w:b/>
          <w:lang w:val="en-GB"/>
        </w:rPr>
        <w:t xml:space="preserve"> development </w:t>
      </w:r>
      <w:r w:rsidR="009A7C5C" w:rsidRPr="00D22B98">
        <w:rPr>
          <w:b/>
          <w:lang w:val="en-GB"/>
        </w:rPr>
        <w:t>(</w:t>
      </w:r>
      <w:r w:rsidRPr="00D22B98">
        <w:rPr>
          <w:b/>
          <w:lang w:val="en-GB"/>
        </w:rPr>
        <w:t>%</w:t>
      </w:r>
      <w:r w:rsidR="009A7C5C" w:rsidRPr="00D22B98">
        <w:rPr>
          <w:b/>
          <w:lang w:val="en-GB"/>
        </w:rPr>
        <w:t>)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164"/>
        <w:gridCol w:w="1164"/>
        <w:gridCol w:w="1164"/>
        <w:gridCol w:w="1165"/>
        <w:gridCol w:w="1154"/>
      </w:tblGrid>
      <w:tr w:rsidR="00F32262" w:rsidRPr="00D22B98" w:rsidTr="0046740A">
        <w:tc>
          <w:tcPr>
            <w:tcW w:w="2694" w:type="dxa"/>
            <w:shd w:val="clear" w:color="auto" w:fill="DBE5F1" w:themeFill="accent1" w:themeFillTint="33"/>
            <w:vAlign w:val="center"/>
          </w:tcPr>
          <w:p w:rsidR="00F32262" w:rsidRPr="00D22B98" w:rsidRDefault="00F32262" w:rsidP="00224D8B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:rsidR="00F32262" w:rsidRPr="00D22B98" w:rsidRDefault="009A7C5C" w:rsidP="00224D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Q1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:rsidR="00F32262" w:rsidRPr="00D22B98" w:rsidRDefault="009A7C5C" w:rsidP="00224D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Q2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:rsidR="00F32262" w:rsidRPr="00D22B98" w:rsidRDefault="009A7C5C" w:rsidP="009A7C5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Q3</w:t>
            </w:r>
          </w:p>
        </w:tc>
        <w:tc>
          <w:tcPr>
            <w:tcW w:w="1165" w:type="dxa"/>
            <w:shd w:val="clear" w:color="auto" w:fill="DBE5F1" w:themeFill="accent1" w:themeFillTint="33"/>
            <w:vAlign w:val="center"/>
          </w:tcPr>
          <w:p w:rsidR="00F32262" w:rsidRPr="00D22B98" w:rsidRDefault="009A7C5C" w:rsidP="00224D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b/>
                <w:sz w:val="18"/>
                <w:szCs w:val="18"/>
                <w:lang w:val="en-GB"/>
              </w:rPr>
              <w:t>Q4</w:t>
            </w:r>
          </w:p>
        </w:tc>
        <w:tc>
          <w:tcPr>
            <w:tcW w:w="1154" w:type="dxa"/>
            <w:shd w:val="clear" w:color="auto" w:fill="DBE5F1" w:themeFill="accent1" w:themeFillTint="33"/>
            <w:vAlign w:val="center"/>
          </w:tcPr>
          <w:p w:rsidR="00F32262" w:rsidRPr="00D22B98" w:rsidRDefault="00F32262" w:rsidP="00224D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b/>
                <w:sz w:val="18"/>
                <w:szCs w:val="18"/>
                <w:lang w:val="en-GB"/>
              </w:rPr>
              <w:t>2015</w:t>
            </w:r>
          </w:p>
        </w:tc>
      </w:tr>
      <w:tr w:rsidR="00F32262" w:rsidRPr="00D22B98" w:rsidTr="0046740A">
        <w:tc>
          <w:tcPr>
            <w:tcW w:w="2694" w:type="dxa"/>
            <w:shd w:val="clear" w:color="auto" w:fill="auto"/>
            <w:vAlign w:val="center"/>
          </w:tcPr>
          <w:p w:rsidR="00F32262" w:rsidRPr="00D22B98" w:rsidRDefault="009A7C5C" w:rsidP="009A7C5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Compared to the corresponding quarter of</w:t>
            </w:r>
            <w:r w:rsidR="00F32262" w:rsidRPr="00D22B98">
              <w:rPr>
                <w:rFonts w:cs="Arial"/>
                <w:sz w:val="18"/>
                <w:szCs w:val="18"/>
                <w:lang w:val="en-GB"/>
              </w:rPr>
              <w:t xml:space="preserve"> 2014</w:t>
            </w:r>
          </w:p>
        </w:tc>
        <w:tc>
          <w:tcPr>
            <w:tcW w:w="1164" w:type="dxa"/>
            <w:vAlign w:val="center"/>
          </w:tcPr>
          <w:p w:rsidR="00F32262" w:rsidRPr="00D22B98" w:rsidRDefault="009D1085" w:rsidP="0022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4.</w:t>
            </w:r>
            <w:r w:rsidR="00F32262" w:rsidRPr="00D22B98">
              <w:rPr>
                <w:rFonts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1164" w:type="dxa"/>
            <w:vAlign w:val="center"/>
          </w:tcPr>
          <w:p w:rsidR="00F32262" w:rsidRPr="00D22B98" w:rsidRDefault="009D1085" w:rsidP="0022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4.</w:t>
            </w:r>
            <w:r w:rsidR="00F32262" w:rsidRPr="00D22B98">
              <w:rPr>
                <w:rFonts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1164" w:type="dxa"/>
            <w:vAlign w:val="center"/>
          </w:tcPr>
          <w:p w:rsidR="00F32262" w:rsidRPr="00D22B98" w:rsidRDefault="009D1085" w:rsidP="0022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4.</w:t>
            </w:r>
            <w:r w:rsidR="00F32262" w:rsidRPr="00D22B98">
              <w:rPr>
                <w:rFonts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1165" w:type="dxa"/>
            <w:vAlign w:val="center"/>
          </w:tcPr>
          <w:p w:rsidR="00F32262" w:rsidRPr="00D22B98" w:rsidRDefault="009D1085" w:rsidP="0022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b/>
                <w:sz w:val="18"/>
                <w:szCs w:val="18"/>
                <w:lang w:val="en-GB"/>
              </w:rPr>
              <w:t>4.</w:t>
            </w:r>
            <w:r w:rsidR="00F32262" w:rsidRPr="00D22B98">
              <w:rPr>
                <w:rFonts w:cs="Arial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1154" w:type="dxa"/>
            <w:vMerge w:val="restart"/>
            <w:shd w:val="clear" w:color="auto" w:fill="DBE5F1" w:themeFill="accent1" w:themeFillTint="33"/>
            <w:vAlign w:val="center"/>
          </w:tcPr>
          <w:p w:rsidR="00F32262" w:rsidRPr="00D22B98" w:rsidRDefault="009D1085" w:rsidP="0022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b/>
                <w:sz w:val="18"/>
                <w:szCs w:val="18"/>
                <w:lang w:val="en-GB"/>
              </w:rPr>
              <w:t>4.</w:t>
            </w:r>
            <w:r w:rsidR="00F32262" w:rsidRPr="00D22B98">
              <w:rPr>
                <w:rFonts w:cs="Arial"/>
                <w:b/>
                <w:sz w:val="18"/>
                <w:szCs w:val="18"/>
                <w:lang w:val="en-GB"/>
              </w:rPr>
              <w:t>3</w:t>
            </w:r>
          </w:p>
        </w:tc>
      </w:tr>
      <w:tr w:rsidR="00F32262" w:rsidRPr="00D22B98" w:rsidTr="0046740A">
        <w:tc>
          <w:tcPr>
            <w:tcW w:w="2694" w:type="dxa"/>
            <w:shd w:val="clear" w:color="auto" w:fill="auto"/>
            <w:vAlign w:val="center"/>
          </w:tcPr>
          <w:p w:rsidR="00F32262" w:rsidRPr="00D22B98" w:rsidRDefault="009A7C5C" w:rsidP="009A7C5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Compared to the previous quarter</w:t>
            </w:r>
          </w:p>
        </w:tc>
        <w:tc>
          <w:tcPr>
            <w:tcW w:w="1164" w:type="dxa"/>
            <w:vAlign w:val="center"/>
          </w:tcPr>
          <w:p w:rsidR="00F32262" w:rsidRPr="00D22B98" w:rsidRDefault="009D1085" w:rsidP="0022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2.</w:t>
            </w:r>
            <w:r w:rsidR="00F32262" w:rsidRPr="00D22B98"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164" w:type="dxa"/>
            <w:vAlign w:val="center"/>
          </w:tcPr>
          <w:p w:rsidR="00F32262" w:rsidRPr="00D22B98" w:rsidRDefault="009D1085" w:rsidP="0022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1.</w:t>
            </w:r>
            <w:r w:rsidR="00F32262" w:rsidRPr="00D22B98">
              <w:rPr>
                <w:rFonts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1164" w:type="dxa"/>
            <w:vAlign w:val="center"/>
          </w:tcPr>
          <w:p w:rsidR="00F32262" w:rsidRPr="00D22B98" w:rsidRDefault="009D1085" w:rsidP="0022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0.</w:t>
            </w:r>
            <w:r w:rsidR="00F32262" w:rsidRPr="00D22B98">
              <w:rPr>
                <w:rFonts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1165" w:type="dxa"/>
            <w:vAlign w:val="center"/>
          </w:tcPr>
          <w:p w:rsidR="00F32262" w:rsidRPr="00D22B98" w:rsidRDefault="009D1085" w:rsidP="0022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b/>
                <w:sz w:val="18"/>
                <w:szCs w:val="18"/>
                <w:lang w:val="en-GB"/>
              </w:rPr>
              <w:t>0.</w:t>
            </w:r>
            <w:r w:rsidR="00F32262" w:rsidRPr="00D22B98">
              <w:rPr>
                <w:rFonts w:cs="Arial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1154" w:type="dxa"/>
            <w:vMerge/>
            <w:shd w:val="clear" w:color="auto" w:fill="DBE5F1" w:themeFill="accent1" w:themeFillTint="33"/>
            <w:vAlign w:val="center"/>
          </w:tcPr>
          <w:p w:rsidR="00F32262" w:rsidRPr="00D22B98" w:rsidRDefault="00F32262" w:rsidP="0022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:rsidR="00F32262" w:rsidRPr="00D22B98" w:rsidRDefault="009A7C5C" w:rsidP="00F32262">
      <w:pPr>
        <w:spacing w:before="240"/>
        <w:rPr>
          <w:lang w:val="en-GB"/>
        </w:rPr>
      </w:pPr>
      <w:r w:rsidRPr="00D22B98">
        <w:rPr>
          <w:b/>
          <w:lang w:val="en-GB"/>
        </w:rPr>
        <w:t>Gross value added development</w:t>
      </w:r>
      <w:r w:rsidR="00F32262" w:rsidRPr="00D22B98">
        <w:rPr>
          <w:b/>
          <w:lang w:val="en-GB"/>
        </w:rPr>
        <w:t xml:space="preserve"> </w:t>
      </w:r>
      <w:r w:rsidRPr="00D22B98">
        <w:rPr>
          <w:b/>
          <w:lang w:val="en-GB"/>
        </w:rPr>
        <w:t>(%)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164"/>
        <w:gridCol w:w="1164"/>
        <w:gridCol w:w="1164"/>
        <w:gridCol w:w="1165"/>
        <w:gridCol w:w="1154"/>
      </w:tblGrid>
      <w:tr w:rsidR="009A7C5C" w:rsidRPr="00D22B98" w:rsidTr="0046740A">
        <w:tc>
          <w:tcPr>
            <w:tcW w:w="2694" w:type="dxa"/>
            <w:shd w:val="clear" w:color="auto" w:fill="DBE5F1" w:themeFill="accent1" w:themeFillTint="33"/>
            <w:vAlign w:val="center"/>
          </w:tcPr>
          <w:p w:rsidR="009A7C5C" w:rsidRPr="00D22B98" w:rsidRDefault="009A7C5C" w:rsidP="00224D8B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:rsidR="009A7C5C" w:rsidRPr="00D22B98" w:rsidRDefault="009A7C5C" w:rsidP="00224D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Q1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:rsidR="009A7C5C" w:rsidRPr="00D22B98" w:rsidRDefault="009A7C5C" w:rsidP="00224D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Q2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:rsidR="009A7C5C" w:rsidRPr="00D22B98" w:rsidRDefault="009A7C5C" w:rsidP="00224D8B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Q3</w:t>
            </w:r>
          </w:p>
        </w:tc>
        <w:tc>
          <w:tcPr>
            <w:tcW w:w="1165" w:type="dxa"/>
            <w:shd w:val="clear" w:color="auto" w:fill="DBE5F1" w:themeFill="accent1" w:themeFillTint="33"/>
            <w:vAlign w:val="center"/>
          </w:tcPr>
          <w:p w:rsidR="009A7C5C" w:rsidRPr="00D22B98" w:rsidRDefault="009A7C5C" w:rsidP="00224D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b/>
                <w:sz w:val="18"/>
                <w:szCs w:val="18"/>
                <w:lang w:val="en-GB"/>
              </w:rPr>
              <w:t>Q4</w:t>
            </w:r>
          </w:p>
        </w:tc>
        <w:tc>
          <w:tcPr>
            <w:tcW w:w="1154" w:type="dxa"/>
            <w:shd w:val="clear" w:color="auto" w:fill="DBE5F1" w:themeFill="accent1" w:themeFillTint="33"/>
            <w:vAlign w:val="center"/>
          </w:tcPr>
          <w:p w:rsidR="009A7C5C" w:rsidRPr="00D22B98" w:rsidRDefault="009A7C5C" w:rsidP="00224D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b/>
                <w:sz w:val="18"/>
                <w:szCs w:val="18"/>
                <w:lang w:val="en-GB"/>
              </w:rPr>
              <w:t>2015</w:t>
            </w:r>
          </w:p>
        </w:tc>
      </w:tr>
      <w:tr w:rsidR="009A7C5C" w:rsidRPr="00D22B98" w:rsidTr="0046740A">
        <w:tc>
          <w:tcPr>
            <w:tcW w:w="2694" w:type="dxa"/>
            <w:shd w:val="clear" w:color="auto" w:fill="auto"/>
            <w:vAlign w:val="center"/>
          </w:tcPr>
          <w:p w:rsidR="009A7C5C" w:rsidRPr="00D22B98" w:rsidRDefault="009A7C5C" w:rsidP="00224D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Compared to the corresponding quarter of 2014</w:t>
            </w:r>
          </w:p>
        </w:tc>
        <w:tc>
          <w:tcPr>
            <w:tcW w:w="1164" w:type="dxa"/>
            <w:vAlign w:val="center"/>
          </w:tcPr>
          <w:p w:rsidR="009A7C5C" w:rsidRPr="00D22B98" w:rsidRDefault="009A7C5C" w:rsidP="009D10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3</w:t>
            </w:r>
            <w:r w:rsidR="009D1085" w:rsidRPr="00D22B98">
              <w:rPr>
                <w:rFonts w:cs="Arial"/>
                <w:sz w:val="18"/>
                <w:szCs w:val="18"/>
                <w:lang w:val="en-GB"/>
              </w:rPr>
              <w:t>.</w:t>
            </w:r>
            <w:r w:rsidRPr="00D22B98"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164" w:type="dxa"/>
            <w:vAlign w:val="center"/>
          </w:tcPr>
          <w:p w:rsidR="009A7C5C" w:rsidRPr="00D22B98" w:rsidRDefault="009D1085" w:rsidP="0022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3.</w:t>
            </w:r>
            <w:r w:rsidR="009A7C5C" w:rsidRPr="00D22B98">
              <w:rPr>
                <w:rFonts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1164" w:type="dxa"/>
            <w:vAlign w:val="center"/>
          </w:tcPr>
          <w:p w:rsidR="009A7C5C" w:rsidRPr="00D22B98" w:rsidRDefault="009D1085" w:rsidP="0022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4.</w:t>
            </w:r>
            <w:r w:rsidR="009A7C5C" w:rsidRPr="00D22B98"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65" w:type="dxa"/>
            <w:vAlign w:val="center"/>
          </w:tcPr>
          <w:p w:rsidR="009A7C5C" w:rsidRPr="00D22B98" w:rsidRDefault="009D1085" w:rsidP="0022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b/>
                <w:sz w:val="18"/>
                <w:szCs w:val="18"/>
                <w:lang w:val="en-GB"/>
              </w:rPr>
              <w:t>3.</w:t>
            </w:r>
            <w:r w:rsidR="009A7C5C" w:rsidRPr="00D22B98">
              <w:rPr>
                <w:rFonts w:cs="Arial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1154" w:type="dxa"/>
            <w:vMerge w:val="restart"/>
            <w:shd w:val="clear" w:color="auto" w:fill="DBE5F1" w:themeFill="accent1" w:themeFillTint="33"/>
            <w:vAlign w:val="center"/>
          </w:tcPr>
          <w:p w:rsidR="009A7C5C" w:rsidRPr="00D22B98" w:rsidRDefault="009D1085" w:rsidP="00224D8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b/>
                <w:sz w:val="18"/>
                <w:szCs w:val="18"/>
                <w:lang w:val="en-GB"/>
              </w:rPr>
              <w:t>3.</w:t>
            </w:r>
            <w:r w:rsidR="009A7C5C" w:rsidRPr="00D22B98">
              <w:rPr>
                <w:rFonts w:cs="Arial"/>
                <w:b/>
                <w:sz w:val="18"/>
                <w:szCs w:val="18"/>
                <w:lang w:val="en-GB"/>
              </w:rPr>
              <w:t>8</w:t>
            </w:r>
          </w:p>
        </w:tc>
      </w:tr>
      <w:tr w:rsidR="009A7C5C" w:rsidRPr="00D22B98" w:rsidTr="0046740A">
        <w:tc>
          <w:tcPr>
            <w:tcW w:w="2694" w:type="dxa"/>
            <w:shd w:val="clear" w:color="auto" w:fill="auto"/>
            <w:vAlign w:val="center"/>
          </w:tcPr>
          <w:p w:rsidR="009A7C5C" w:rsidRPr="00D22B98" w:rsidRDefault="009A7C5C" w:rsidP="00224D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Compared to the previous quarter</w:t>
            </w:r>
          </w:p>
        </w:tc>
        <w:tc>
          <w:tcPr>
            <w:tcW w:w="1164" w:type="dxa"/>
            <w:vAlign w:val="center"/>
          </w:tcPr>
          <w:p w:rsidR="009A7C5C" w:rsidRPr="00D22B98" w:rsidRDefault="009D1085" w:rsidP="0022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1.</w:t>
            </w:r>
            <w:r w:rsidR="009A7C5C" w:rsidRPr="00D22B98"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64" w:type="dxa"/>
            <w:vAlign w:val="center"/>
          </w:tcPr>
          <w:p w:rsidR="009A7C5C" w:rsidRPr="00D22B98" w:rsidRDefault="009D1085" w:rsidP="0022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1.</w:t>
            </w:r>
            <w:r w:rsidR="009A7C5C" w:rsidRPr="00D22B98">
              <w:rPr>
                <w:rFonts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1164" w:type="dxa"/>
            <w:vAlign w:val="center"/>
          </w:tcPr>
          <w:p w:rsidR="009A7C5C" w:rsidRPr="00D22B98" w:rsidRDefault="009D1085" w:rsidP="0022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sz w:val="18"/>
                <w:szCs w:val="18"/>
                <w:lang w:val="en-GB"/>
              </w:rPr>
              <w:t>1.</w:t>
            </w:r>
            <w:r w:rsidR="009A7C5C" w:rsidRPr="00D22B98"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165" w:type="dxa"/>
            <w:vAlign w:val="center"/>
          </w:tcPr>
          <w:p w:rsidR="009A7C5C" w:rsidRPr="00D22B98" w:rsidRDefault="009D1085" w:rsidP="0022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D22B98">
              <w:rPr>
                <w:rFonts w:cs="Arial"/>
                <w:b/>
                <w:sz w:val="18"/>
                <w:szCs w:val="18"/>
                <w:lang w:val="en-GB"/>
              </w:rPr>
              <w:t>0.</w:t>
            </w:r>
            <w:r w:rsidR="009A7C5C" w:rsidRPr="00D22B98">
              <w:rPr>
                <w:rFonts w:cs="Arial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1154" w:type="dxa"/>
            <w:vMerge/>
            <w:shd w:val="clear" w:color="auto" w:fill="DBE5F1" w:themeFill="accent1" w:themeFillTint="33"/>
            <w:vAlign w:val="center"/>
          </w:tcPr>
          <w:p w:rsidR="009A7C5C" w:rsidRPr="00D22B98" w:rsidRDefault="009A7C5C" w:rsidP="0022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:rsidR="00F54502" w:rsidRPr="00D22B98" w:rsidRDefault="00F54502" w:rsidP="00F54502">
      <w:pPr>
        <w:rPr>
          <w:lang w:val="en-GB"/>
        </w:rPr>
      </w:pPr>
    </w:p>
    <w:p w:rsidR="004903C0" w:rsidRPr="00D22B98" w:rsidRDefault="004903C0" w:rsidP="00F54502">
      <w:pPr>
        <w:rPr>
          <w:rFonts w:cs="Arial"/>
          <w:szCs w:val="20"/>
          <w:lang w:val="en-GB"/>
        </w:rPr>
      </w:pPr>
      <w:r w:rsidRPr="000D0C29">
        <w:rPr>
          <w:rFonts w:cs="Arial"/>
          <w:szCs w:val="20"/>
          <w:lang w:val="en-GB"/>
        </w:rPr>
        <w:t xml:space="preserve">On the </w:t>
      </w:r>
      <w:r w:rsidRPr="000D0C29">
        <w:rPr>
          <w:rFonts w:cs="Arial"/>
          <w:b/>
          <w:szCs w:val="20"/>
          <w:lang w:val="en-GB"/>
        </w:rPr>
        <w:t>supply side</w:t>
      </w:r>
      <w:r w:rsidRPr="000D0C29">
        <w:rPr>
          <w:rFonts w:cs="Arial"/>
          <w:szCs w:val="20"/>
          <w:lang w:val="en-GB"/>
        </w:rPr>
        <w:t xml:space="preserve">, </w:t>
      </w:r>
      <w:r w:rsidR="005713FF" w:rsidRPr="000D0C29">
        <w:rPr>
          <w:rFonts w:cs="Arial"/>
          <w:szCs w:val="20"/>
          <w:lang w:val="en-GB"/>
        </w:rPr>
        <w:t>it was manufacturing which contributed the most to the economy</w:t>
      </w:r>
      <w:r w:rsidR="000D0C29" w:rsidRPr="000D0C29">
        <w:rPr>
          <w:rFonts w:cs="Arial"/>
          <w:szCs w:val="20"/>
          <w:lang w:val="en-GB"/>
        </w:rPr>
        <w:t>’s</w:t>
      </w:r>
      <w:r w:rsidR="005713FF" w:rsidRPr="000D0C29">
        <w:rPr>
          <w:rFonts w:cs="Arial"/>
          <w:szCs w:val="20"/>
          <w:lang w:val="en-GB"/>
        </w:rPr>
        <w:t xml:space="preserve"> growth</w:t>
      </w:r>
      <w:r w:rsidR="005713FF" w:rsidRPr="00D22B98">
        <w:rPr>
          <w:rFonts w:cs="Arial"/>
          <w:szCs w:val="20"/>
          <w:lang w:val="en-GB"/>
        </w:rPr>
        <w:t xml:space="preserve"> (1.8 p.p.) despite its slight growth rate deceleration in the end of the year. Especially the </w:t>
      </w:r>
      <w:r w:rsidR="005713FF" w:rsidRPr="00DC0BDF">
        <w:rPr>
          <w:rFonts w:cs="Arial"/>
          <w:szCs w:val="20"/>
          <w:lang w:val="en-GB"/>
        </w:rPr>
        <w:t xml:space="preserve">following were successful: </w:t>
      </w:r>
      <w:r w:rsidR="00796AF1" w:rsidRPr="00DC0BDF">
        <w:rPr>
          <w:rFonts w:cs="Arial"/>
          <w:szCs w:val="20"/>
          <w:lang w:val="en-GB"/>
        </w:rPr>
        <w:t xml:space="preserve">manufacture of transport equipment, metals, </w:t>
      </w:r>
      <w:r w:rsidR="00E45F3A" w:rsidRPr="00DC0BDF">
        <w:rPr>
          <w:rFonts w:cs="Arial"/>
          <w:szCs w:val="20"/>
          <w:lang w:val="en-GB"/>
        </w:rPr>
        <w:t xml:space="preserve">plastic products, and </w:t>
      </w:r>
      <w:r w:rsidR="00E45F3A" w:rsidRPr="001A6E78">
        <w:rPr>
          <w:rFonts w:cs="Arial"/>
          <w:szCs w:val="20"/>
          <w:lang w:val="en-GB"/>
        </w:rPr>
        <w:lastRenderedPageBreak/>
        <w:t xml:space="preserve">food. </w:t>
      </w:r>
      <w:r w:rsidR="000A5992" w:rsidRPr="001A6E78">
        <w:rPr>
          <w:rFonts w:cs="Arial"/>
          <w:szCs w:val="20"/>
          <w:lang w:val="en-GB"/>
        </w:rPr>
        <w:t xml:space="preserve">Also most of industries of services contributed to the economic growth. </w:t>
      </w:r>
      <w:r w:rsidR="001E6ED5" w:rsidRPr="001A6E78">
        <w:rPr>
          <w:rFonts w:cs="Arial"/>
          <w:szCs w:val="20"/>
          <w:lang w:val="en-GB"/>
        </w:rPr>
        <w:t>For example,</w:t>
      </w:r>
      <w:r w:rsidR="001E6ED5" w:rsidRPr="00D22B98">
        <w:rPr>
          <w:rFonts w:cs="Arial"/>
          <w:szCs w:val="20"/>
          <w:lang w:val="en-GB"/>
        </w:rPr>
        <w:t xml:space="preserve"> contribution of </w:t>
      </w:r>
      <w:r w:rsidR="00F56886" w:rsidRPr="00D22B98">
        <w:rPr>
          <w:rFonts w:cs="Arial"/>
          <w:szCs w:val="20"/>
          <w:lang w:val="en-GB"/>
        </w:rPr>
        <w:t>trade, transport, accommodation</w:t>
      </w:r>
      <w:r w:rsidR="001E6ED5" w:rsidRPr="00D22B98">
        <w:rPr>
          <w:rFonts w:cs="Arial"/>
          <w:szCs w:val="20"/>
          <w:lang w:val="en-GB"/>
        </w:rPr>
        <w:t xml:space="preserve"> and </w:t>
      </w:r>
      <w:r w:rsidR="00F56886" w:rsidRPr="00D22B98">
        <w:rPr>
          <w:rFonts w:cs="Arial"/>
          <w:szCs w:val="20"/>
          <w:lang w:val="en-GB"/>
        </w:rPr>
        <w:t>food service activities was 0.5 p.p., information and communication contributed with 0.4 p.p., and public administration 0.5 p.p.</w:t>
      </w:r>
      <w:r w:rsidR="000C1DA7">
        <w:rPr>
          <w:rFonts w:cs="Arial"/>
          <w:szCs w:val="20"/>
          <w:lang w:val="en-GB"/>
        </w:rPr>
        <w:t>.</w:t>
      </w:r>
      <w:r w:rsidR="00F56886" w:rsidRPr="00D22B98">
        <w:rPr>
          <w:rFonts w:cs="Arial"/>
          <w:szCs w:val="20"/>
          <w:lang w:val="en-GB"/>
        </w:rPr>
        <w:t xml:space="preserve"> Contribution of construction was 0.3 p.p.</w:t>
      </w:r>
      <w:r w:rsidR="000C1DA7">
        <w:rPr>
          <w:rFonts w:cs="Arial"/>
          <w:szCs w:val="20"/>
          <w:lang w:val="en-GB"/>
        </w:rPr>
        <w:t>.</w:t>
      </w:r>
      <w:r w:rsidR="00F56886" w:rsidRPr="00D22B98">
        <w:rPr>
          <w:rFonts w:cs="Arial"/>
          <w:szCs w:val="20"/>
          <w:lang w:val="en-GB"/>
        </w:rPr>
        <w:t xml:space="preserve"> </w:t>
      </w:r>
    </w:p>
    <w:p w:rsidR="004903C0" w:rsidRPr="00D22B98" w:rsidRDefault="004903C0" w:rsidP="00F54502">
      <w:pPr>
        <w:rPr>
          <w:rFonts w:cs="Arial"/>
          <w:szCs w:val="20"/>
          <w:lang w:val="en-GB"/>
        </w:rPr>
      </w:pPr>
    </w:p>
    <w:p w:rsidR="007F0B04" w:rsidRPr="00D22B98" w:rsidRDefault="004903C0" w:rsidP="004E3EF4">
      <w:pPr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4414C4">
        <w:rPr>
          <w:rFonts w:cs="Arial"/>
          <w:szCs w:val="20"/>
          <w:lang w:val="en-GB"/>
        </w:rPr>
        <w:t xml:space="preserve">On the </w:t>
      </w:r>
      <w:r w:rsidRPr="00840D49">
        <w:rPr>
          <w:rFonts w:cs="Arial"/>
          <w:b/>
          <w:szCs w:val="20"/>
          <w:lang w:val="en-GB"/>
        </w:rPr>
        <w:t>demand side</w:t>
      </w:r>
      <w:r w:rsidRPr="004414C4">
        <w:rPr>
          <w:rFonts w:cs="Arial"/>
          <w:szCs w:val="20"/>
          <w:lang w:val="en-GB"/>
        </w:rPr>
        <w:t xml:space="preserve">, </w:t>
      </w:r>
      <w:r w:rsidR="007F0B04" w:rsidRPr="004414C4">
        <w:rPr>
          <w:rFonts w:cs="Arial"/>
          <w:szCs w:val="20"/>
          <w:lang w:val="en-GB"/>
        </w:rPr>
        <w:t xml:space="preserve">the economic growth in the Q4 2015 was pulled by both domestic and foreign demand. </w:t>
      </w:r>
      <w:r w:rsidR="00FD4927" w:rsidRPr="004414C4">
        <w:rPr>
          <w:rFonts w:cs="Arial"/>
          <w:szCs w:val="20"/>
          <w:lang w:val="en-GB"/>
        </w:rPr>
        <w:t>The GDP growth was contributed to by household consumption by 0.9 p.</w:t>
      </w:r>
      <w:r w:rsidR="00FD4927" w:rsidRPr="00840D49">
        <w:rPr>
          <w:rFonts w:cs="Arial"/>
          <w:szCs w:val="20"/>
          <w:lang w:val="en-GB"/>
        </w:rPr>
        <w:t>p.</w:t>
      </w:r>
      <w:r w:rsidR="00FD4927" w:rsidRPr="00423263">
        <w:rPr>
          <w:rFonts w:cs="Arial"/>
          <w:szCs w:val="20"/>
          <w:vertAlign w:val="superscript"/>
        </w:rPr>
        <w:footnoteReference w:id="3"/>
      </w:r>
      <w:r w:rsidR="00FD4927" w:rsidRPr="004414C4">
        <w:rPr>
          <w:rFonts w:cs="Arial"/>
          <w:szCs w:val="20"/>
          <w:lang w:val="en-GB"/>
        </w:rPr>
        <w:t xml:space="preserve"> and by investment activity in the same way as external trade by 1.6 p.p.</w:t>
      </w:r>
      <w:r w:rsidR="000C1DA7">
        <w:rPr>
          <w:rFonts w:cs="Arial"/>
          <w:szCs w:val="20"/>
          <w:lang w:val="en-GB"/>
        </w:rPr>
        <w:t>.</w:t>
      </w:r>
      <w:r w:rsidR="00FD4927" w:rsidRPr="004414C4">
        <w:rPr>
          <w:rFonts w:cs="Arial"/>
          <w:szCs w:val="20"/>
          <w:lang w:val="en-GB"/>
        </w:rPr>
        <w:t xml:space="preserve"> </w:t>
      </w:r>
      <w:r w:rsidR="000554A2" w:rsidRPr="00840D49">
        <w:rPr>
          <w:rFonts w:cs="Arial"/>
          <w:b/>
          <w:szCs w:val="20"/>
          <w:lang w:val="en-GB"/>
        </w:rPr>
        <w:t>Final consumption expenditure of households</w:t>
      </w:r>
      <w:r w:rsidR="00BC060E" w:rsidRPr="00840D49">
        <w:rPr>
          <w:rFonts w:cs="Arial"/>
          <w:szCs w:val="20"/>
          <w:lang w:val="en-GB"/>
        </w:rPr>
        <w:t xml:space="preserve"> </w:t>
      </w:r>
      <w:r w:rsidR="00436ECC" w:rsidRPr="00840D49">
        <w:rPr>
          <w:rFonts w:cs="Arial"/>
          <w:szCs w:val="20"/>
          <w:lang w:val="en-GB"/>
        </w:rPr>
        <w:t>maintained rather high q-o-q growth rate (0.9%) and increased by</w:t>
      </w:r>
      <w:r w:rsidR="002A0457">
        <w:rPr>
          <w:rFonts w:cs="Arial"/>
          <w:szCs w:val="20"/>
          <w:lang w:val="en-GB"/>
        </w:rPr>
        <w:t> </w:t>
      </w:r>
      <w:r w:rsidR="00436ECC" w:rsidRPr="00840D49">
        <w:rPr>
          <w:rFonts w:cs="Arial"/>
          <w:szCs w:val="20"/>
          <w:lang w:val="en-GB"/>
        </w:rPr>
        <w:t xml:space="preserve">2.9%, y-o-y. Compared to very high investment activity in the Q3 supported </w:t>
      </w:r>
      <w:r w:rsidR="002529DB" w:rsidRPr="00840D49">
        <w:rPr>
          <w:rFonts w:cs="Arial"/>
          <w:szCs w:val="20"/>
          <w:lang w:val="en-GB"/>
        </w:rPr>
        <w:t>mainly by</w:t>
      </w:r>
      <w:r w:rsidR="002A0457">
        <w:rPr>
          <w:rFonts w:cs="Arial"/>
          <w:szCs w:val="20"/>
          <w:lang w:val="en-GB"/>
        </w:rPr>
        <w:t> </w:t>
      </w:r>
      <w:r w:rsidR="002529DB" w:rsidRPr="00840D49">
        <w:rPr>
          <w:rFonts w:cs="Arial"/>
          <w:szCs w:val="20"/>
          <w:lang w:val="en-GB"/>
        </w:rPr>
        <w:t xml:space="preserve">government investments, in the end of the year there was a slight drop in the </w:t>
      </w:r>
      <w:r w:rsidR="002529DB" w:rsidRPr="00840D49">
        <w:rPr>
          <w:rFonts w:cs="Arial"/>
          <w:b/>
          <w:szCs w:val="20"/>
          <w:lang w:val="en-GB"/>
        </w:rPr>
        <w:t>fixed capital formation</w:t>
      </w:r>
      <w:r w:rsidR="002529DB" w:rsidRPr="00840D49">
        <w:rPr>
          <w:rFonts w:cs="Arial"/>
          <w:szCs w:val="20"/>
          <w:lang w:val="en-GB"/>
        </w:rPr>
        <w:t xml:space="preserve">, namely by 0.9%. In the comparison with the corresponding period of the previous year, however, the fixed capital formation remained still very high (by 7.9%). </w:t>
      </w:r>
    </w:p>
    <w:p w:rsidR="007F0B04" w:rsidRPr="00D22B98" w:rsidRDefault="007F0B04" w:rsidP="00F54502">
      <w:pPr>
        <w:rPr>
          <w:rFonts w:cs="Arial"/>
          <w:szCs w:val="20"/>
          <w:lang w:val="en-GB"/>
        </w:rPr>
      </w:pPr>
    </w:p>
    <w:p w:rsidR="003C36DD" w:rsidRPr="00D22B98" w:rsidRDefault="003C36DD" w:rsidP="004E3EF4">
      <w:pPr>
        <w:rPr>
          <w:rFonts w:cs="Arial"/>
          <w:szCs w:val="20"/>
          <w:lang w:val="en-GB"/>
        </w:rPr>
      </w:pPr>
      <w:r w:rsidRPr="00D22B98">
        <w:rPr>
          <w:rFonts w:cs="Arial"/>
          <w:szCs w:val="20"/>
          <w:lang w:val="en-GB"/>
        </w:rPr>
        <w:t xml:space="preserve">Also external trade was successful in the end of the year. </w:t>
      </w:r>
      <w:r w:rsidRPr="00B41342">
        <w:rPr>
          <w:rFonts w:cs="Arial"/>
          <w:b/>
          <w:szCs w:val="20"/>
          <w:lang w:val="en-GB"/>
        </w:rPr>
        <w:t>Balance of goods and services</w:t>
      </w:r>
      <w:r w:rsidRPr="00D22B98">
        <w:rPr>
          <w:rFonts w:cs="Arial"/>
          <w:szCs w:val="20"/>
          <w:lang w:val="en-GB"/>
        </w:rPr>
        <w:t xml:space="preserve"> reached </w:t>
      </w:r>
      <w:r w:rsidR="00F34654" w:rsidRPr="00D22B98">
        <w:rPr>
          <w:rFonts w:cs="Arial"/>
          <w:szCs w:val="20"/>
          <w:lang w:val="en-GB"/>
        </w:rPr>
        <w:t>CZK 79.3 bn at current prices</w:t>
      </w:r>
      <w:r w:rsidR="0022724E" w:rsidRPr="00D22B98">
        <w:rPr>
          <w:rFonts w:cs="Arial"/>
          <w:szCs w:val="20"/>
          <w:lang w:val="en-GB"/>
        </w:rPr>
        <w:t xml:space="preserve"> and </w:t>
      </w:r>
      <w:r w:rsidR="00F34654" w:rsidRPr="00D22B98">
        <w:rPr>
          <w:rFonts w:cs="Arial"/>
          <w:szCs w:val="20"/>
          <w:lang w:val="en-GB"/>
        </w:rPr>
        <w:t>was</w:t>
      </w:r>
      <w:r w:rsidR="0022724E" w:rsidRPr="00D22B98">
        <w:rPr>
          <w:rFonts w:cs="Arial"/>
          <w:szCs w:val="20"/>
          <w:lang w:val="en-GB"/>
        </w:rPr>
        <w:t xml:space="preserve"> thus</w:t>
      </w:r>
      <w:r w:rsidR="00F34654" w:rsidRPr="00D22B98">
        <w:rPr>
          <w:rFonts w:cs="Arial"/>
          <w:szCs w:val="20"/>
          <w:lang w:val="en-GB"/>
        </w:rPr>
        <w:t xml:space="preserve"> </w:t>
      </w:r>
      <w:r w:rsidR="0022724E" w:rsidRPr="00D22B98">
        <w:rPr>
          <w:rFonts w:cs="Arial"/>
          <w:szCs w:val="20"/>
          <w:lang w:val="en-GB"/>
        </w:rPr>
        <w:t>(</w:t>
      </w:r>
      <w:r w:rsidR="00F34654" w:rsidRPr="00D22B98">
        <w:rPr>
          <w:rFonts w:cs="Arial"/>
          <w:szCs w:val="20"/>
          <w:lang w:val="en-GB"/>
        </w:rPr>
        <w:t>mainly owing to the balance of services</w:t>
      </w:r>
      <w:r w:rsidR="0022724E" w:rsidRPr="00D22B98">
        <w:rPr>
          <w:rFonts w:cs="Arial"/>
          <w:szCs w:val="20"/>
          <w:lang w:val="en-GB"/>
        </w:rPr>
        <w:t>)</w:t>
      </w:r>
      <w:r w:rsidR="00F34654" w:rsidRPr="00D22B98">
        <w:rPr>
          <w:rFonts w:cs="Arial"/>
          <w:szCs w:val="20"/>
          <w:lang w:val="en-GB"/>
        </w:rPr>
        <w:t xml:space="preserve"> by more than CZK 11 bn higher</w:t>
      </w:r>
      <w:r w:rsidR="00F34654" w:rsidRPr="00D22B98">
        <w:rPr>
          <w:rStyle w:val="Znakapoznpodarou"/>
          <w:lang w:val="en-GB"/>
        </w:rPr>
        <w:footnoteReference w:id="4"/>
      </w:r>
      <w:r w:rsidR="00F34654" w:rsidRPr="00D22B98">
        <w:rPr>
          <w:rFonts w:cs="Arial"/>
          <w:szCs w:val="20"/>
          <w:lang w:val="en-GB"/>
        </w:rPr>
        <w:t xml:space="preserve"> than in the Q4 of the pre</w:t>
      </w:r>
      <w:r w:rsidR="00F37C29">
        <w:rPr>
          <w:rFonts w:cs="Arial"/>
          <w:szCs w:val="20"/>
          <w:lang w:val="en-GB"/>
        </w:rPr>
        <w:t>vious</w:t>
      </w:r>
      <w:r w:rsidR="00F34654" w:rsidRPr="00D22B98">
        <w:rPr>
          <w:rFonts w:cs="Arial"/>
          <w:szCs w:val="20"/>
          <w:lang w:val="en-GB"/>
        </w:rPr>
        <w:t xml:space="preserve"> year. </w:t>
      </w:r>
    </w:p>
    <w:p w:rsidR="004903C0" w:rsidRPr="00D22B98" w:rsidRDefault="004903C0" w:rsidP="00F54502">
      <w:pPr>
        <w:rPr>
          <w:lang w:val="en-GB"/>
        </w:rPr>
      </w:pPr>
    </w:p>
    <w:p w:rsidR="00A300A7" w:rsidRPr="00D22B98" w:rsidRDefault="00BB297A" w:rsidP="00F54502">
      <w:pPr>
        <w:rPr>
          <w:lang w:val="en-GB"/>
        </w:rPr>
      </w:pPr>
      <w:r w:rsidRPr="00D22B98">
        <w:rPr>
          <w:b/>
          <w:lang w:val="en-GB"/>
        </w:rPr>
        <w:t>E</w:t>
      </w:r>
      <w:r w:rsidR="001126F3" w:rsidRPr="00D22B98">
        <w:rPr>
          <w:b/>
          <w:lang w:val="en-GB"/>
        </w:rPr>
        <w:t xml:space="preserve">mployment </w:t>
      </w:r>
      <w:r w:rsidR="001126F3" w:rsidRPr="00D22B98">
        <w:rPr>
          <w:lang w:val="en-GB"/>
        </w:rPr>
        <w:t>in terms of national accounts</w:t>
      </w:r>
      <w:r w:rsidR="00A300A7" w:rsidRPr="00D22B98">
        <w:rPr>
          <w:lang w:val="en-GB"/>
        </w:rPr>
        <w:t xml:space="preserve"> increased in the Q4</w:t>
      </w:r>
      <w:r w:rsidRPr="00D22B98">
        <w:rPr>
          <w:lang w:val="en-GB"/>
        </w:rPr>
        <w:t xml:space="preserve"> 2015</w:t>
      </w:r>
      <w:r w:rsidR="00423263">
        <w:rPr>
          <w:lang w:val="en-GB"/>
        </w:rPr>
        <w:t xml:space="preserve"> by 0.2%, q-o-q, and by </w:t>
      </w:r>
      <w:r w:rsidR="00A300A7" w:rsidRPr="00D22B98">
        <w:rPr>
          <w:lang w:val="en-GB"/>
        </w:rPr>
        <w:t xml:space="preserve">1.1%, y-o-y. </w:t>
      </w:r>
    </w:p>
    <w:p w:rsidR="00A300A7" w:rsidRPr="00D22B98" w:rsidRDefault="00A300A7" w:rsidP="00F54502">
      <w:pPr>
        <w:rPr>
          <w:lang w:val="en-GB"/>
        </w:rPr>
      </w:pPr>
    </w:p>
    <w:p w:rsidR="00704581" w:rsidRPr="00D22B98" w:rsidRDefault="00704581" w:rsidP="00F54502">
      <w:pPr>
        <w:rPr>
          <w:b/>
          <w:sz w:val="28"/>
          <w:szCs w:val="28"/>
          <w:lang w:val="en-GB"/>
        </w:rPr>
      </w:pPr>
      <w:r w:rsidRPr="00D22B98">
        <w:rPr>
          <w:b/>
          <w:sz w:val="28"/>
          <w:szCs w:val="28"/>
          <w:lang w:val="en-GB"/>
        </w:rPr>
        <w:t>GDP resources and uses in 2015</w:t>
      </w:r>
    </w:p>
    <w:p w:rsidR="00F54502" w:rsidRPr="00D22B98" w:rsidRDefault="00F54502" w:rsidP="00F54502">
      <w:pPr>
        <w:rPr>
          <w:lang w:val="en-GB"/>
        </w:rPr>
      </w:pPr>
    </w:p>
    <w:p w:rsidR="00704581" w:rsidRPr="00D22B98" w:rsidRDefault="00704581" w:rsidP="00F54502">
      <w:pPr>
        <w:rPr>
          <w:lang w:val="en-GB"/>
        </w:rPr>
      </w:pPr>
      <w:r w:rsidRPr="00D22B98">
        <w:rPr>
          <w:lang w:val="en-GB"/>
        </w:rPr>
        <w:t xml:space="preserve">The </w:t>
      </w:r>
      <w:r w:rsidRPr="00D22B98">
        <w:rPr>
          <w:b/>
          <w:lang w:val="en-GB"/>
        </w:rPr>
        <w:t>GDP for 2015</w:t>
      </w:r>
      <w:r w:rsidRPr="00D22B98">
        <w:rPr>
          <w:lang w:val="en-GB"/>
        </w:rPr>
        <w:t xml:space="preserve"> was </w:t>
      </w:r>
      <w:r w:rsidRPr="00D22B98">
        <w:rPr>
          <w:b/>
          <w:lang w:val="en-GB"/>
        </w:rPr>
        <w:t>by 4.3% higher</w:t>
      </w:r>
      <w:r w:rsidRPr="00D22B98">
        <w:rPr>
          <w:lang w:val="en-GB"/>
        </w:rPr>
        <w:t xml:space="preserve"> than in the previous year. </w:t>
      </w:r>
      <w:r w:rsidR="006D1030" w:rsidRPr="00D22B98">
        <w:rPr>
          <w:lang w:val="en-GB"/>
        </w:rPr>
        <w:t xml:space="preserve">It was the highest </w:t>
      </w:r>
      <w:r w:rsidR="00423263">
        <w:rPr>
          <w:lang w:val="en-GB"/>
        </w:rPr>
        <w:t xml:space="preserve">annual </w:t>
      </w:r>
      <w:r w:rsidR="006D1030" w:rsidRPr="00D22B98">
        <w:rPr>
          <w:lang w:val="en-GB"/>
        </w:rPr>
        <w:t xml:space="preserve">growth during the last eight years. Growing household consumption (by 2.9%) together with higher </w:t>
      </w:r>
      <w:r w:rsidR="006D1030" w:rsidRPr="00181F8F">
        <w:rPr>
          <w:lang w:val="en-GB"/>
        </w:rPr>
        <w:t xml:space="preserve">investment activity (9.6%) </w:t>
      </w:r>
      <w:r w:rsidR="001D4C4C" w:rsidRPr="00181F8F">
        <w:rPr>
          <w:lang w:val="en-GB"/>
        </w:rPr>
        <w:t>helped accelerate the growth of the economy which started in</w:t>
      </w:r>
      <w:r w:rsidR="002A0457">
        <w:rPr>
          <w:lang w:val="en-GB"/>
        </w:rPr>
        <w:t> </w:t>
      </w:r>
      <w:r w:rsidR="001D4C4C" w:rsidRPr="00181F8F">
        <w:rPr>
          <w:lang w:val="en-GB"/>
        </w:rPr>
        <w:t>2013.</w:t>
      </w:r>
      <w:r w:rsidR="001D4C4C" w:rsidRPr="00D22B98">
        <w:rPr>
          <w:lang w:val="en-GB"/>
        </w:rPr>
        <w:t xml:space="preserve"> </w:t>
      </w:r>
    </w:p>
    <w:p w:rsidR="00704581" w:rsidRPr="00D22B98" w:rsidRDefault="00704581" w:rsidP="00F54502">
      <w:pPr>
        <w:rPr>
          <w:lang w:val="en-GB"/>
        </w:rPr>
      </w:pPr>
    </w:p>
    <w:p w:rsidR="002C73D9" w:rsidRPr="00D22B98" w:rsidRDefault="002C73D9" w:rsidP="00F54502">
      <w:pPr>
        <w:rPr>
          <w:lang w:val="en-GB"/>
        </w:rPr>
      </w:pPr>
      <w:r w:rsidRPr="00D22B98">
        <w:rPr>
          <w:lang w:val="en-GB"/>
        </w:rPr>
        <w:t>Both of these most important</w:t>
      </w:r>
      <w:r w:rsidR="00F54502" w:rsidRPr="00D22B98">
        <w:rPr>
          <w:lang w:val="en-GB"/>
        </w:rPr>
        <w:t xml:space="preserve"> </w:t>
      </w:r>
      <w:r w:rsidRPr="000F2CFB">
        <w:rPr>
          <w:b/>
          <w:lang w:val="en-GB"/>
        </w:rPr>
        <w:t>domestic demand</w:t>
      </w:r>
      <w:r w:rsidR="00467BC9">
        <w:rPr>
          <w:b/>
          <w:lang w:val="en-GB"/>
        </w:rPr>
        <w:t xml:space="preserve"> components</w:t>
      </w:r>
      <w:r w:rsidRPr="00D22B98">
        <w:rPr>
          <w:lang w:val="en-GB"/>
        </w:rPr>
        <w:t xml:space="preserve"> were growing the fastest since 2007. Therefore, it was rather the domestic demand than external trade on which the </w:t>
      </w:r>
      <w:r w:rsidRPr="00D404BB">
        <w:rPr>
          <w:lang w:val="en-GB"/>
        </w:rPr>
        <w:t xml:space="preserve">economic growth was based. </w:t>
      </w:r>
      <w:r w:rsidR="00394072" w:rsidRPr="00D404BB">
        <w:rPr>
          <w:lang w:val="en-GB"/>
        </w:rPr>
        <w:t>Investments including inventories contributed to the GDP growth</w:t>
      </w:r>
      <w:r w:rsidR="00394072" w:rsidRPr="00D22B98">
        <w:rPr>
          <w:lang w:val="en-GB"/>
        </w:rPr>
        <w:t xml:space="preserve"> by 1.9 p.p., household consumption by 0.8 p.p., and general government consumption by 0.6 p.p.</w:t>
      </w:r>
      <w:r w:rsidR="000C1DA7">
        <w:rPr>
          <w:lang w:val="en-GB"/>
        </w:rPr>
        <w:t>.</w:t>
      </w:r>
      <w:r w:rsidR="00394072" w:rsidRPr="00D22B98">
        <w:rPr>
          <w:lang w:val="en-GB"/>
        </w:rPr>
        <w:t xml:space="preserve"> </w:t>
      </w:r>
      <w:r w:rsidR="00394072" w:rsidRPr="00D22B98">
        <w:rPr>
          <w:b/>
          <w:lang w:val="en-GB"/>
        </w:rPr>
        <w:t xml:space="preserve">Contribution of external trade </w:t>
      </w:r>
      <w:r w:rsidR="009C7986" w:rsidRPr="00D22B98">
        <w:rPr>
          <w:lang w:val="en-GB"/>
        </w:rPr>
        <w:t>was 1.0 p.p., namely thanks to improvement in the end of</w:t>
      </w:r>
      <w:r w:rsidR="002A0457">
        <w:rPr>
          <w:lang w:val="en-GB"/>
        </w:rPr>
        <w:t> </w:t>
      </w:r>
      <w:r w:rsidR="009C7986" w:rsidRPr="00D22B98">
        <w:rPr>
          <w:lang w:val="en-GB"/>
        </w:rPr>
        <w:t>the</w:t>
      </w:r>
      <w:r w:rsidR="002A0457">
        <w:rPr>
          <w:lang w:val="en-GB"/>
        </w:rPr>
        <w:t> </w:t>
      </w:r>
      <w:r w:rsidR="009C7986" w:rsidRPr="00CF14ED">
        <w:rPr>
          <w:lang w:val="en-GB"/>
        </w:rPr>
        <w:t>year. The same as in 2014, imports grew faster than exports.</w:t>
      </w:r>
      <w:r w:rsidR="009C7986" w:rsidRPr="00D22B98">
        <w:rPr>
          <w:lang w:val="en-GB"/>
        </w:rPr>
        <w:t xml:space="preserve"> </w:t>
      </w:r>
    </w:p>
    <w:p w:rsidR="002C73D9" w:rsidRPr="00D22B98" w:rsidRDefault="002C73D9" w:rsidP="00F54502">
      <w:pPr>
        <w:rPr>
          <w:lang w:val="en-GB"/>
        </w:rPr>
      </w:pPr>
    </w:p>
    <w:p w:rsidR="00B4260E" w:rsidRPr="00D22B98" w:rsidRDefault="00F54502" w:rsidP="00F54502">
      <w:pPr>
        <w:rPr>
          <w:lang w:val="en-GB"/>
        </w:rPr>
      </w:pPr>
      <w:r w:rsidRPr="00D22B98">
        <w:rPr>
          <w:b/>
          <w:lang w:val="en-GB"/>
        </w:rPr>
        <w:t>Gross value added</w:t>
      </w:r>
      <w:r w:rsidR="00666DA3" w:rsidRPr="00D22B98">
        <w:rPr>
          <w:b/>
          <w:lang w:val="en-GB"/>
        </w:rPr>
        <w:t xml:space="preserve"> in 2015</w:t>
      </w:r>
      <w:r w:rsidR="00B4260E" w:rsidRPr="00D22B98">
        <w:rPr>
          <w:lang w:val="en-GB"/>
        </w:rPr>
        <w:t xml:space="preserve"> in</w:t>
      </w:r>
      <w:r w:rsidRPr="00D22B98">
        <w:rPr>
          <w:lang w:val="en-GB"/>
        </w:rPr>
        <w:t>creased</w:t>
      </w:r>
      <w:r w:rsidR="00B4260E" w:rsidRPr="00D22B98">
        <w:rPr>
          <w:lang w:val="en-GB"/>
        </w:rPr>
        <w:t xml:space="preserve"> </w:t>
      </w:r>
      <w:r w:rsidR="00B4260E" w:rsidRPr="00D22B98">
        <w:rPr>
          <w:b/>
          <w:lang w:val="en-GB"/>
        </w:rPr>
        <w:t>by 3.8%</w:t>
      </w:r>
      <w:r w:rsidR="00B4260E" w:rsidRPr="00D22B98">
        <w:rPr>
          <w:lang w:val="en-GB"/>
        </w:rPr>
        <w:t xml:space="preserve"> compared to the previous year. </w:t>
      </w:r>
      <w:r w:rsidR="00477308" w:rsidRPr="00D22B98">
        <w:rPr>
          <w:lang w:val="en-GB"/>
        </w:rPr>
        <w:t xml:space="preserve">The growth </w:t>
      </w:r>
      <w:r w:rsidR="0085343F" w:rsidRPr="00D22B98">
        <w:rPr>
          <w:lang w:val="en-GB"/>
        </w:rPr>
        <w:t>was shown</w:t>
      </w:r>
      <w:r w:rsidR="00477308" w:rsidRPr="00D22B98">
        <w:rPr>
          <w:lang w:val="en-GB"/>
        </w:rPr>
        <w:t xml:space="preserve"> </w:t>
      </w:r>
      <w:r w:rsidR="0085343F" w:rsidRPr="00D22B98">
        <w:rPr>
          <w:lang w:val="en-GB"/>
        </w:rPr>
        <w:t>across all areas of the national economy. Similarly as in 2014, contribution of</w:t>
      </w:r>
      <w:r w:rsidR="002A0457">
        <w:rPr>
          <w:lang w:val="en-GB"/>
        </w:rPr>
        <w:t> </w:t>
      </w:r>
      <w:r w:rsidR="0085343F" w:rsidRPr="00D22B98">
        <w:rPr>
          <w:lang w:val="en-GB"/>
        </w:rPr>
        <w:t xml:space="preserve">manufacturing was about a half of the GVA growth (1.9 p.p.). Unlike in 2014, however, </w:t>
      </w:r>
      <w:r w:rsidR="003A7CF2" w:rsidRPr="00D22B98">
        <w:rPr>
          <w:lang w:val="en-GB"/>
        </w:rPr>
        <w:t xml:space="preserve">there </w:t>
      </w:r>
      <w:r w:rsidR="003A7CF2" w:rsidRPr="00E15B12">
        <w:rPr>
          <w:lang w:val="en-GB"/>
        </w:rPr>
        <w:t>was a more equal contribution of all of the other industries</w:t>
      </w:r>
      <w:r w:rsidR="00FA192C" w:rsidRPr="00E15B12">
        <w:rPr>
          <w:lang w:val="en-GB"/>
        </w:rPr>
        <w:t xml:space="preserve"> </w:t>
      </w:r>
      <w:r w:rsidR="003A7CF2" w:rsidRPr="00E15B12">
        <w:rPr>
          <w:lang w:val="en-GB"/>
        </w:rPr>
        <w:t>of the national economy to the GVA</w:t>
      </w:r>
      <w:r w:rsidR="003A7CF2" w:rsidRPr="00D22B98">
        <w:rPr>
          <w:lang w:val="en-GB"/>
        </w:rPr>
        <w:t xml:space="preserve"> growth. </w:t>
      </w:r>
    </w:p>
    <w:p w:rsidR="00B4260E" w:rsidRPr="00D22B98" w:rsidRDefault="00B4260E" w:rsidP="00F54502">
      <w:pPr>
        <w:rPr>
          <w:lang w:val="en-GB"/>
        </w:rPr>
      </w:pPr>
    </w:p>
    <w:p w:rsidR="00D4783B" w:rsidRPr="00D22B98" w:rsidRDefault="00D4783B" w:rsidP="00F54502">
      <w:pPr>
        <w:rPr>
          <w:lang w:val="en-GB"/>
        </w:rPr>
      </w:pPr>
      <w:r w:rsidRPr="00D22B98">
        <w:rPr>
          <w:lang w:val="en-GB"/>
        </w:rPr>
        <w:t xml:space="preserve">Higher </w:t>
      </w:r>
      <w:r w:rsidRPr="00D22B98">
        <w:rPr>
          <w:b/>
          <w:lang w:val="en-GB"/>
        </w:rPr>
        <w:t>growth rate of t</w:t>
      </w:r>
      <w:r w:rsidR="00F54502" w:rsidRPr="00D22B98">
        <w:rPr>
          <w:b/>
          <w:lang w:val="en-GB"/>
        </w:rPr>
        <w:t xml:space="preserve">axes on products </w:t>
      </w:r>
      <w:r w:rsidRPr="00D22B98">
        <w:rPr>
          <w:lang w:val="en-GB"/>
        </w:rPr>
        <w:t xml:space="preserve">in 2015 </w:t>
      </w:r>
      <w:r w:rsidR="00245882" w:rsidRPr="00D22B98">
        <w:rPr>
          <w:lang w:val="en-GB"/>
        </w:rPr>
        <w:t xml:space="preserve">was significantly influenced by a lower </w:t>
      </w:r>
      <w:r w:rsidR="00245882" w:rsidRPr="00047DB1">
        <w:rPr>
          <w:lang w:val="en-GB"/>
        </w:rPr>
        <w:t xml:space="preserve">comparison basis in 2014. </w:t>
      </w:r>
      <w:r w:rsidR="0043150F" w:rsidRPr="00047DB1">
        <w:rPr>
          <w:lang w:val="en-GB"/>
        </w:rPr>
        <w:t>It was in the first half year of 2014 influenced by low collection of</w:t>
      </w:r>
      <w:r w:rsidR="002A0457">
        <w:rPr>
          <w:lang w:val="en-GB"/>
        </w:rPr>
        <w:t> </w:t>
      </w:r>
      <w:r w:rsidR="0043150F" w:rsidRPr="00047DB1">
        <w:rPr>
          <w:lang w:val="en-GB"/>
        </w:rPr>
        <w:t>the</w:t>
      </w:r>
      <w:r w:rsidR="002A0457">
        <w:rPr>
          <w:lang w:val="en-GB"/>
        </w:rPr>
        <w:t> </w:t>
      </w:r>
      <w:r w:rsidR="0043150F" w:rsidRPr="00D22B98">
        <w:rPr>
          <w:lang w:val="en-GB"/>
        </w:rPr>
        <w:t>excise tax on tobacco products. This phenomenon influenced the GDP growth rate for the</w:t>
      </w:r>
      <w:r w:rsidR="002A0457">
        <w:rPr>
          <w:lang w:val="en-GB"/>
        </w:rPr>
        <w:t> </w:t>
      </w:r>
      <w:r w:rsidR="0043150F" w:rsidRPr="00D22B98">
        <w:rPr>
          <w:lang w:val="en-GB"/>
        </w:rPr>
        <w:t>entire year 2015 approximately by 0.4 p.p.</w:t>
      </w:r>
      <w:r w:rsidR="007F45BD" w:rsidRPr="00D22B98">
        <w:rPr>
          <w:lang w:val="en-GB"/>
        </w:rPr>
        <w:t xml:space="preserve">. </w:t>
      </w:r>
    </w:p>
    <w:p w:rsidR="00F54502" w:rsidRPr="00D22B98" w:rsidRDefault="00F54502" w:rsidP="00F54502">
      <w:pPr>
        <w:rPr>
          <w:lang w:val="en-GB"/>
        </w:rPr>
      </w:pPr>
    </w:p>
    <w:p w:rsidR="00BB297A" w:rsidRPr="00D22B98" w:rsidRDefault="00BB297A" w:rsidP="00BB297A">
      <w:pPr>
        <w:rPr>
          <w:lang w:val="en-GB"/>
        </w:rPr>
      </w:pPr>
      <w:r w:rsidRPr="00D22B98">
        <w:rPr>
          <w:b/>
          <w:lang w:val="en-GB"/>
        </w:rPr>
        <w:t>Total employment</w:t>
      </w:r>
      <w:r w:rsidR="00F54502" w:rsidRPr="00D22B98">
        <w:rPr>
          <w:lang w:val="en-GB"/>
        </w:rPr>
        <w:t xml:space="preserve"> </w:t>
      </w:r>
      <w:r w:rsidR="0064057D" w:rsidRPr="00D22B98">
        <w:rPr>
          <w:lang w:val="en-GB"/>
        </w:rPr>
        <w:t xml:space="preserve">in terms of national accounts </w:t>
      </w:r>
      <w:r w:rsidR="004E1969" w:rsidRPr="00D22B98">
        <w:rPr>
          <w:lang w:val="en-GB"/>
        </w:rPr>
        <w:t>increased (compared to the previous year) in</w:t>
      </w:r>
      <w:r w:rsidR="002A0457">
        <w:rPr>
          <w:lang w:val="en-GB"/>
        </w:rPr>
        <w:t> </w:t>
      </w:r>
      <w:r w:rsidR="004E1969" w:rsidRPr="00D22B98">
        <w:rPr>
          <w:lang w:val="en-GB"/>
        </w:rPr>
        <w:t xml:space="preserve">average by 1.2% </w:t>
      </w:r>
      <w:r w:rsidR="003571C3" w:rsidRPr="00D22B98">
        <w:rPr>
          <w:lang w:val="en-GB"/>
        </w:rPr>
        <w:t xml:space="preserve">to 5 170 </w:t>
      </w:r>
      <w:r w:rsidRPr="00D22B98">
        <w:rPr>
          <w:lang w:val="en-GB"/>
        </w:rPr>
        <w:t xml:space="preserve">thousand persons. </w:t>
      </w:r>
      <w:r w:rsidR="003571C3" w:rsidRPr="00D22B98">
        <w:rPr>
          <w:lang w:val="en-GB"/>
        </w:rPr>
        <w:t>They worked by 1</w:t>
      </w:r>
      <w:r w:rsidRPr="00D22B98">
        <w:rPr>
          <w:lang w:val="en-GB"/>
        </w:rPr>
        <w:t>.8% hours</w:t>
      </w:r>
      <w:r w:rsidR="003571C3" w:rsidRPr="00D22B98">
        <w:rPr>
          <w:lang w:val="en-GB"/>
        </w:rPr>
        <w:t xml:space="preserve"> more than in 2014. </w:t>
      </w:r>
      <w:r w:rsidRPr="00D22B98">
        <w:rPr>
          <w:lang w:val="en-GB"/>
        </w:rPr>
        <w:t xml:space="preserve"> </w:t>
      </w:r>
    </w:p>
    <w:p w:rsidR="00F54502" w:rsidRPr="00D22B98" w:rsidRDefault="00F54502" w:rsidP="00F54502">
      <w:pPr>
        <w:rPr>
          <w:lang w:val="en-GB"/>
        </w:rPr>
      </w:pPr>
    </w:p>
    <w:p w:rsidR="0055794F" w:rsidRPr="00D22B98" w:rsidRDefault="0055794F" w:rsidP="0055794F">
      <w:pPr>
        <w:pStyle w:val="Poznmky"/>
        <w:ind w:left="3600" w:hanging="3600"/>
        <w:rPr>
          <w:i/>
          <w:lang w:val="en-GB"/>
        </w:rPr>
      </w:pPr>
      <w:r w:rsidRPr="00D22B98">
        <w:rPr>
          <w:i/>
          <w:lang w:val="en-GB"/>
        </w:rPr>
        <w:t>Responsible head at the CZSO:</w:t>
      </w:r>
      <w:r w:rsidRPr="00D22B98">
        <w:rPr>
          <w:i/>
          <w:lang w:val="en-GB"/>
        </w:rPr>
        <w:tab/>
        <w:t>Vladimír Kermiet, Director of the National Accounts Department, phone number (+420) 274 054 247, e</w:t>
      </w:r>
      <w:r w:rsidRPr="00D22B98">
        <w:rPr>
          <w:i/>
          <w:lang w:val="en-GB"/>
        </w:rPr>
        <w:noBreakHyphen/>
        <w:t>mail: </w:t>
      </w:r>
      <w:hyperlink r:id="rId8" w:history="1">
        <w:r w:rsidRPr="00D22B98">
          <w:rPr>
            <w:rStyle w:val="Hypertextovodkaz"/>
            <w:i/>
            <w:lang w:val="en-GB"/>
          </w:rPr>
          <w:t>vladimir.kermiet@czso.cz</w:t>
        </w:r>
      </w:hyperlink>
    </w:p>
    <w:p w:rsidR="0055794F" w:rsidRPr="00D22B98" w:rsidRDefault="0055794F" w:rsidP="0055794F">
      <w:pPr>
        <w:pStyle w:val="Poznmky0"/>
      </w:pPr>
      <w:r w:rsidRPr="00D22B98">
        <w:t xml:space="preserve">Contact person: </w:t>
      </w:r>
      <w:r w:rsidRPr="00D22B98">
        <w:tab/>
      </w:r>
      <w:r w:rsidRPr="00D22B98">
        <w:tab/>
      </w:r>
      <w:r w:rsidRPr="00D22B98">
        <w:tab/>
      </w:r>
      <w:r w:rsidRPr="00D22B98">
        <w:tab/>
        <w:t>Tereza Košťáková, phone number (+420) 274 052 750,</w:t>
      </w:r>
    </w:p>
    <w:p w:rsidR="0055794F" w:rsidRPr="00D22B98" w:rsidRDefault="0055794F" w:rsidP="0055794F">
      <w:pPr>
        <w:rPr>
          <w:i/>
          <w:sz w:val="18"/>
          <w:szCs w:val="18"/>
          <w:lang w:val="en-GB"/>
        </w:rPr>
      </w:pPr>
      <w:r w:rsidRPr="00D22B98">
        <w:rPr>
          <w:i/>
          <w:sz w:val="18"/>
          <w:szCs w:val="18"/>
          <w:lang w:val="en-GB"/>
        </w:rPr>
        <w:tab/>
      </w:r>
      <w:r w:rsidRPr="00D22B98">
        <w:rPr>
          <w:i/>
          <w:sz w:val="18"/>
          <w:szCs w:val="18"/>
          <w:lang w:val="en-GB"/>
        </w:rPr>
        <w:tab/>
      </w:r>
      <w:r w:rsidRPr="00D22B98">
        <w:rPr>
          <w:i/>
          <w:sz w:val="18"/>
          <w:szCs w:val="18"/>
          <w:lang w:val="en-GB"/>
        </w:rPr>
        <w:tab/>
      </w:r>
      <w:r w:rsidRPr="00D22B98">
        <w:rPr>
          <w:i/>
          <w:sz w:val="18"/>
          <w:szCs w:val="18"/>
          <w:lang w:val="en-GB"/>
        </w:rPr>
        <w:tab/>
      </w:r>
      <w:r w:rsidRPr="00D22B98">
        <w:rPr>
          <w:i/>
          <w:sz w:val="18"/>
          <w:szCs w:val="18"/>
          <w:lang w:val="en-GB"/>
        </w:rPr>
        <w:tab/>
        <w:t xml:space="preserve">e-mail: </w:t>
      </w:r>
      <w:hyperlink r:id="rId9" w:history="1">
        <w:r w:rsidRPr="00D22B98">
          <w:rPr>
            <w:rStyle w:val="Hypertextovodkaz"/>
            <w:i/>
            <w:sz w:val="18"/>
            <w:szCs w:val="18"/>
            <w:lang w:val="en-GB"/>
          </w:rPr>
          <w:t>tereza.kostakova@czso.cz</w:t>
        </w:r>
      </w:hyperlink>
    </w:p>
    <w:p w:rsidR="0055794F" w:rsidRPr="00D22B98" w:rsidRDefault="0055794F" w:rsidP="0055794F">
      <w:pPr>
        <w:pStyle w:val="Poznamkytexty"/>
        <w:ind w:left="3600" w:hanging="3600"/>
        <w:rPr>
          <w:lang w:val="en-GB"/>
        </w:rPr>
      </w:pPr>
      <w:r w:rsidRPr="00D22B98">
        <w:rPr>
          <w:lang w:val="en-GB"/>
        </w:rPr>
        <w:t>Used data sources updated as at:</w:t>
      </w:r>
      <w:r w:rsidRPr="00D22B98">
        <w:rPr>
          <w:lang w:val="en-GB"/>
        </w:rPr>
        <w:tab/>
        <w:t>2</w:t>
      </w:r>
      <w:r w:rsidR="001D3D88" w:rsidRPr="00D22B98">
        <w:rPr>
          <w:lang w:val="en-GB"/>
        </w:rPr>
        <w:t>6</w:t>
      </w:r>
      <w:r w:rsidRPr="00D22B98">
        <w:rPr>
          <w:lang w:val="en-GB"/>
        </w:rPr>
        <w:t xml:space="preserve"> </w:t>
      </w:r>
      <w:r w:rsidR="001D3D88" w:rsidRPr="00D22B98">
        <w:rPr>
          <w:lang w:val="en-GB"/>
        </w:rPr>
        <w:t>February 2016</w:t>
      </w:r>
    </w:p>
    <w:p w:rsidR="0032306D" w:rsidRPr="008B5B55" w:rsidRDefault="001D3D88" w:rsidP="0032306D">
      <w:pPr>
        <w:pStyle w:val="Poznamkytexty"/>
        <w:ind w:left="3600" w:hanging="3600"/>
        <w:rPr>
          <w:lang w:val="en-GB"/>
        </w:rPr>
      </w:pPr>
      <w:r w:rsidRPr="008B5B55">
        <w:rPr>
          <w:lang w:val="en-GB"/>
        </w:rPr>
        <w:t>Time series:</w:t>
      </w:r>
      <w:r w:rsidRPr="008B5B55">
        <w:rPr>
          <w:lang w:val="en-GB"/>
        </w:rPr>
        <w:tab/>
      </w:r>
      <w:hyperlink r:id="rId10" w:history="1">
        <w:r w:rsidR="0032306D" w:rsidRPr="00565D5A">
          <w:rPr>
            <w:rStyle w:val="Hypertextovodkaz"/>
            <w:lang w:val="en-GB"/>
          </w:rPr>
          <w:t>https://www.czso.cz/csu/czso/hdp_ts</w:t>
        </w:r>
      </w:hyperlink>
    </w:p>
    <w:p w:rsidR="0032306D" w:rsidRPr="0032306D" w:rsidRDefault="00D22B98" w:rsidP="0032306D">
      <w:pPr>
        <w:pStyle w:val="Poznamkytexty"/>
        <w:ind w:left="3600" w:hanging="3600"/>
      </w:pPr>
      <w:r w:rsidRPr="007A2445">
        <w:rPr>
          <w:lang w:val="en-GB"/>
        </w:rPr>
        <w:t>News Releases web page:</w:t>
      </w:r>
      <w:r w:rsidRPr="007A2445">
        <w:rPr>
          <w:lang w:val="en-GB"/>
        </w:rPr>
        <w:tab/>
      </w:r>
      <w:hyperlink r:id="rId11" w:history="1">
        <w:r w:rsidR="0032306D" w:rsidRPr="00565D5A">
          <w:rPr>
            <w:rStyle w:val="Hypertextovodkaz"/>
          </w:rPr>
          <w:t>https://www.czso.cz/csu/czso/quarterly-national-accounts-gdp-resources-and-uses-and-gdp-preliminary-estimate</w:t>
        </w:r>
      </w:hyperlink>
    </w:p>
    <w:p w:rsidR="0055794F" w:rsidRPr="00D22B98" w:rsidRDefault="0055794F" w:rsidP="0055794F">
      <w:pPr>
        <w:pStyle w:val="Poznamkytexty"/>
        <w:ind w:left="3600" w:hanging="3600"/>
        <w:rPr>
          <w:lang w:val="en-GB"/>
        </w:rPr>
      </w:pPr>
      <w:r w:rsidRPr="00D22B98">
        <w:rPr>
          <w:lang w:val="en-GB"/>
        </w:rPr>
        <w:t>Related CZSO web page:</w:t>
      </w:r>
      <w:r w:rsidRPr="00D22B98">
        <w:rPr>
          <w:lang w:val="en-GB"/>
        </w:rPr>
        <w:tab/>
      </w:r>
      <w:hyperlink r:id="rId12" w:history="1">
        <w:r w:rsidRPr="00D22B98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55794F" w:rsidRPr="00D22B98" w:rsidRDefault="0055794F" w:rsidP="0055794F">
      <w:pPr>
        <w:pStyle w:val="Poznamkytexty"/>
        <w:ind w:left="3600" w:hanging="3600"/>
        <w:rPr>
          <w:lang w:val="en-GB"/>
        </w:rPr>
      </w:pPr>
      <w:r w:rsidRPr="00D22B98">
        <w:rPr>
          <w:lang w:val="en-GB"/>
        </w:rPr>
        <w:t xml:space="preserve">Next </w:t>
      </w:r>
      <w:r w:rsidR="00F54502" w:rsidRPr="00D22B98">
        <w:rPr>
          <w:lang w:val="en-GB"/>
        </w:rPr>
        <w:t xml:space="preserve">News </w:t>
      </w:r>
      <w:r w:rsidRPr="00D22B98">
        <w:rPr>
          <w:lang w:val="en-GB"/>
        </w:rPr>
        <w:t>Release will be published on:</w:t>
      </w:r>
      <w:r w:rsidRPr="00D22B98">
        <w:rPr>
          <w:lang w:val="en-GB"/>
        </w:rPr>
        <w:tab/>
      </w:r>
      <w:r w:rsidR="00D26C63">
        <w:rPr>
          <w:lang w:val="en-GB"/>
        </w:rPr>
        <w:t>17</w:t>
      </w:r>
      <w:r w:rsidRPr="00D22B98">
        <w:rPr>
          <w:lang w:val="en-GB"/>
        </w:rPr>
        <w:t xml:space="preserve"> </w:t>
      </w:r>
      <w:r w:rsidR="00D26C63">
        <w:rPr>
          <w:lang w:val="en-GB"/>
        </w:rPr>
        <w:t>May 2016</w:t>
      </w:r>
    </w:p>
    <w:p w:rsidR="00D209A7" w:rsidRPr="00D22B98" w:rsidRDefault="00E94E08" w:rsidP="00E94E08">
      <w:pPr>
        <w:tabs>
          <w:tab w:val="left" w:pos="3544"/>
          <w:tab w:val="left" w:pos="3686"/>
        </w:tabs>
        <w:rPr>
          <w:i/>
          <w:sz w:val="18"/>
          <w:szCs w:val="18"/>
          <w:lang w:val="en-GB"/>
        </w:rPr>
      </w:pPr>
      <w:r w:rsidRPr="00D22B98">
        <w:rPr>
          <w:i/>
          <w:sz w:val="18"/>
          <w:szCs w:val="18"/>
          <w:lang w:val="en-GB"/>
        </w:rPr>
        <w:tab/>
      </w:r>
      <w:r w:rsidR="0055794F" w:rsidRPr="00F1591F">
        <w:rPr>
          <w:i/>
          <w:sz w:val="18"/>
          <w:szCs w:val="18"/>
          <w:lang w:val="en-GB"/>
        </w:rPr>
        <w:t>(</w:t>
      </w:r>
      <w:r w:rsidR="00F1591F" w:rsidRPr="00F1591F">
        <w:rPr>
          <w:i/>
          <w:sz w:val="18"/>
          <w:szCs w:val="18"/>
          <w:lang w:val="en-GB"/>
        </w:rPr>
        <w:t>GDP p</w:t>
      </w:r>
      <w:r w:rsidR="00D26C63" w:rsidRPr="00F1591F">
        <w:rPr>
          <w:i/>
          <w:sz w:val="18"/>
          <w:szCs w:val="18"/>
          <w:lang w:val="en-GB"/>
        </w:rPr>
        <w:t>reliminary estimate</w:t>
      </w:r>
      <w:r w:rsidR="0055794F" w:rsidRPr="00F1591F">
        <w:rPr>
          <w:i/>
          <w:sz w:val="18"/>
          <w:szCs w:val="18"/>
          <w:lang w:val="en-GB"/>
        </w:rPr>
        <w:t xml:space="preserve"> for the</w:t>
      </w:r>
      <w:r w:rsidR="00D26C63" w:rsidRPr="00F1591F">
        <w:rPr>
          <w:i/>
          <w:sz w:val="18"/>
          <w:szCs w:val="18"/>
          <w:lang w:val="en-GB"/>
        </w:rPr>
        <w:t xml:space="preserve"> first</w:t>
      </w:r>
      <w:r w:rsidR="0055794F" w:rsidRPr="00F1591F">
        <w:rPr>
          <w:i/>
          <w:sz w:val="18"/>
          <w:szCs w:val="18"/>
          <w:lang w:val="en-GB"/>
        </w:rPr>
        <w:t xml:space="preserve"> </w:t>
      </w:r>
      <w:r w:rsidR="00D26C63" w:rsidRPr="00F1591F">
        <w:rPr>
          <w:i/>
          <w:sz w:val="18"/>
          <w:szCs w:val="18"/>
          <w:lang w:val="en-GB"/>
        </w:rPr>
        <w:t>quarter of 2016</w:t>
      </w:r>
      <w:r w:rsidR="0055794F" w:rsidRPr="00F1591F">
        <w:rPr>
          <w:i/>
          <w:sz w:val="18"/>
          <w:szCs w:val="18"/>
          <w:lang w:val="en-GB"/>
        </w:rPr>
        <w:t>)</w:t>
      </w:r>
    </w:p>
    <w:sectPr w:rsidR="00D209A7" w:rsidRPr="00D22B98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20" w:rsidRDefault="00DB4220" w:rsidP="00BA6370">
      <w:r>
        <w:separator/>
      </w:r>
    </w:p>
  </w:endnote>
  <w:endnote w:type="continuationSeparator" w:id="0">
    <w:p w:rsidR="00DB4220" w:rsidRDefault="00DB422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A045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708E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708E1" w:rsidRPr="007E75DE">
                  <w:rPr>
                    <w:rFonts w:cs="Arial"/>
                    <w:szCs w:val="15"/>
                  </w:rPr>
                  <w:fldChar w:fldCharType="separate"/>
                </w:r>
                <w:r w:rsidR="002A0457">
                  <w:rPr>
                    <w:rFonts w:cs="Arial"/>
                    <w:noProof/>
                    <w:szCs w:val="15"/>
                  </w:rPr>
                  <w:t>1</w:t>
                </w:r>
                <w:r w:rsidR="00D708E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20" w:rsidRDefault="00DB4220" w:rsidP="00BA6370">
      <w:r>
        <w:separator/>
      </w:r>
    </w:p>
  </w:footnote>
  <w:footnote w:type="continuationSeparator" w:id="0">
    <w:p w:rsidR="00DB4220" w:rsidRDefault="00DB4220" w:rsidP="00BA6370">
      <w:r>
        <w:continuationSeparator/>
      </w:r>
    </w:p>
  </w:footnote>
  <w:footnote w:id="1">
    <w:p w:rsidR="00FA26FE" w:rsidRPr="00C66CB2" w:rsidRDefault="00FA26FE" w:rsidP="00FA26FE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841E44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841E44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841E44" w:rsidRPr="00841E44">
        <w:rPr>
          <w:rFonts w:ascii="Arial" w:hAnsi="Arial" w:cs="Arial"/>
          <w:i/>
          <w:sz w:val="18"/>
          <w:szCs w:val="18"/>
          <w:lang w:val="en-GB"/>
        </w:rPr>
        <w:t xml:space="preserve">Unless </w:t>
      </w:r>
      <w:r w:rsidR="00841E44">
        <w:rPr>
          <w:rFonts w:ascii="Arial" w:hAnsi="Arial" w:cs="Arial"/>
          <w:i/>
          <w:sz w:val="18"/>
          <w:szCs w:val="18"/>
          <w:lang w:val="en-GB"/>
        </w:rPr>
        <w:t xml:space="preserve">otherwise stated, all data presented in the News Release are adjusted for price, seasonal, and calendar effects (there was 1 working day more in the Q4 2015 than in the Q4 2014). </w:t>
      </w:r>
    </w:p>
  </w:footnote>
  <w:footnote w:id="2">
    <w:p w:rsidR="00FA26FE" w:rsidRPr="00C66CB2" w:rsidRDefault="00FA26FE" w:rsidP="00FA26FE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31066D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31066D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31066D" w:rsidRPr="0031066D">
        <w:rPr>
          <w:rFonts w:ascii="Arial" w:hAnsi="Arial" w:cs="Arial"/>
          <w:i/>
          <w:sz w:val="18"/>
          <w:szCs w:val="18"/>
          <w:lang w:val="en-GB"/>
        </w:rPr>
        <w:t>Quarter-on-quarter GDP growth rate</w:t>
      </w:r>
      <w:r w:rsidR="00E337DB">
        <w:rPr>
          <w:rFonts w:ascii="Arial" w:hAnsi="Arial" w:cs="Arial"/>
          <w:i/>
          <w:sz w:val="18"/>
          <w:szCs w:val="18"/>
          <w:lang w:val="en-GB"/>
        </w:rPr>
        <w:t xml:space="preserve"> was negatively influenced by the seasonal adjustment in</w:t>
      </w:r>
      <w:r w:rsidR="0046740A">
        <w:rPr>
          <w:rFonts w:ascii="Arial" w:hAnsi="Arial" w:cs="Arial"/>
          <w:i/>
          <w:sz w:val="18"/>
          <w:szCs w:val="18"/>
          <w:lang w:val="en-GB"/>
        </w:rPr>
        <w:t> </w:t>
      </w:r>
      <w:r w:rsidR="00E337DB">
        <w:rPr>
          <w:rFonts w:ascii="Arial" w:hAnsi="Arial" w:cs="Arial"/>
          <w:i/>
          <w:sz w:val="18"/>
          <w:szCs w:val="18"/>
          <w:lang w:val="en-GB"/>
        </w:rPr>
        <w:t>the</w:t>
      </w:r>
      <w:r w:rsidR="0046740A">
        <w:rPr>
          <w:rFonts w:ascii="Arial" w:hAnsi="Arial" w:cs="Arial"/>
          <w:i/>
          <w:sz w:val="18"/>
          <w:szCs w:val="18"/>
          <w:lang w:val="en-GB"/>
        </w:rPr>
        <w:t> Q4 </w:t>
      </w:r>
      <w:r w:rsidR="00E337DB" w:rsidRPr="00181F8F">
        <w:rPr>
          <w:rFonts w:ascii="Arial" w:hAnsi="Arial" w:cs="Arial"/>
          <w:i/>
          <w:sz w:val="18"/>
          <w:szCs w:val="18"/>
          <w:lang w:val="en-GB"/>
        </w:rPr>
        <w:t xml:space="preserve">2015. It has no influence on the GDP growth rate for the year 2015, because </w:t>
      </w:r>
      <w:r w:rsidR="00CD2ED1" w:rsidRPr="00181F8F">
        <w:rPr>
          <w:rFonts w:ascii="Arial" w:hAnsi="Arial" w:cs="Arial"/>
          <w:i/>
          <w:sz w:val="18"/>
          <w:szCs w:val="18"/>
          <w:lang w:val="en-GB"/>
        </w:rPr>
        <w:t xml:space="preserve">in the Q1 </w:t>
      </w:r>
      <w:r w:rsidR="00FE796F" w:rsidRPr="00181F8F">
        <w:rPr>
          <w:rFonts w:ascii="Arial" w:hAnsi="Arial" w:cs="Arial"/>
          <w:i/>
          <w:sz w:val="18"/>
          <w:szCs w:val="18"/>
          <w:lang w:val="en-GB"/>
        </w:rPr>
        <w:t xml:space="preserve">2015 </w:t>
      </w:r>
      <w:r w:rsidR="00E337DB" w:rsidRPr="00181F8F">
        <w:rPr>
          <w:rFonts w:ascii="Arial" w:hAnsi="Arial" w:cs="Arial"/>
          <w:i/>
          <w:sz w:val="18"/>
          <w:szCs w:val="18"/>
          <w:lang w:val="en-GB"/>
        </w:rPr>
        <w:t xml:space="preserve">seasonal adjustment had the opposite influence on the GDP growth. </w:t>
      </w:r>
      <w:r w:rsidR="001E7F07" w:rsidRPr="00181F8F">
        <w:rPr>
          <w:rFonts w:ascii="Arial" w:hAnsi="Arial" w:cs="Arial"/>
          <w:i/>
          <w:sz w:val="18"/>
          <w:szCs w:val="18"/>
          <w:lang w:val="en-GB"/>
        </w:rPr>
        <w:t>Together with GDP preliminar</w:t>
      </w:r>
      <w:r w:rsidR="00835E94" w:rsidRPr="00181F8F">
        <w:rPr>
          <w:rFonts w:ascii="Arial" w:hAnsi="Arial" w:cs="Arial"/>
          <w:i/>
          <w:sz w:val="18"/>
          <w:szCs w:val="18"/>
          <w:lang w:val="en-GB"/>
        </w:rPr>
        <w:t xml:space="preserve">y estimate for the Q1 2016 </w:t>
      </w:r>
      <w:r w:rsidR="001E7F07" w:rsidRPr="00181F8F">
        <w:rPr>
          <w:rFonts w:ascii="Arial" w:hAnsi="Arial" w:cs="Arial"/>
          <w:i/>
          <w:sz w:val="18"/>
          <w:szCs w:val="18"/>
          <w:lang w:val="en-GB"/>
        </w:rPr>
        <w:t>seasonally adjusted</w:t>
      </w:r>
      <w:r w:rsidR="00FE796F" w:rsidRPr="00181F8F">
        <w:rPr>
          <w:rFonts w:ascii="Arial" w:hAnsi="Arial" w:cs="Arial"/>
          <w:i/>
          <w:sz w:val="18"/>
          <w:szCs w:val="18"/>
          <w:lang w:val="en-GB"/>
        </w:rPr>
        <w:t xml:space="preserve"> data will be</w:t>
      </w:r>
      <w:r w:rsidR="001E7F07" w:rsidRPr="00181F8F">
        <w:rPr>
          <w:rFonts w:ascii="Arial" w:hAnsi="Arial" w:cs="Arial"/>
          <w:i/>
          <w:sz w:val="18"/>
          <w:szCs w:val="18"/>
          <w:lang w:val="en-GB"/>
        </w:rPr>
        <w:t xml:space="preserve"> updated</w:t>
      </w:r>
      <w:r w:rsidR="000D4E8C" w:rsidRPr="00181F8F">
        <w:rPr>
          <w:rFonts w:ascii="Arial" w:hAnsi="Arial" w:cs="Arial"/>
          <w:i/>
          <w:sz w:val="18"/>
          <w:szCs w:val="18"/>
          <w:lang w:val="en-GB"/>
        </w:rPr>
        <w:t xml:space="preserve"> by which th</w:t>
      </w:r>
      <w:r w:rsidR="00CF355E" w:rsidRPr="00181F8F">
        <w:rPr>
          <w:rFonts w:ascii="Arial" w:hAnsi="Arial" w:cs="Arial"/>
          <w:i/>
          <w:sz w:val="18"/>
          <w:szCs w:val="18"/>
          <w:lang w:val="en-GB"/>
        </w:rPr>
        <w:t>ese opposite</w:t>
      </w:r>
      <w:r w:rsidR="000D4E8C" w:rsidRPr="00181F8F">
        <w:rPr>
          <w:rFonts w:ascii="Arial" w:hAnsi="Arial" w:cs="Arial"/>
          <w:i/>
          <w:sz w:val="18"/>
          <w:szCs w:val="18"/>
          <w:lang w:val="en-GB"/>
        </w:rPr>
        <w:t xml:space="preserve"> impact</w:t>
      </w:r>
      <w:r w:rsidR="00CF355E" w:rsidRPr="00181F8F">
        <w:rPr>
          <w:rFonts w:ascii="Arial" w:hAnsi="Arial" w:cs="Arial"/>
          <w:i/>
          <w:sz w:val="18"/>
          <w:szCs w:val="18"/>
          <w:lang w:val="en-GB"/>
        </w:rPr>
        <w:t>s</w:t>
      </w:r>
      <w:r w:rsidR="000D4E8C" w:rsidRPr="00181F8F">
        <w:rPr>
          <w:rFonts w:ascii="Arial" w:hAnsi="Arial" w:cs="Arial"/>
          <w:i/>
          <w:sz w:val="18"/>
          <w:szCs w:val="18"/>
          <w:lang w:val="en-GB"/>
        </w:rPr>
        <w:t xml:space="preserve"> on</w:t>
      </w:r>
      <w:r w:rsidR="002A0457">
        <w:rPr>
          <w:rFonts w:ascii="Arial" w:hAnsi="Arial" w:cs="Arial"/>
          <w:i/>
          <w:sz w:val="18"/>
          <w:szCs w:val="18"/>
          <w:lang w:val="en-GB"/>
        </w:rPr>
        <w:t> </w:t>
      </w:r>
      <w:r w:rsidR="000D4E8C" w:rsidRPr="00181F8F">
        <w:rPr>
          <w:rFonts w:ascii="Arial" w:hAnsi="Arial" w:cs="Arial"/>
          <w:i/>
          <w:sz w:val="18"/>
          <w:szCs w:val="18"/>
          <w:lang w:val="en-GB"/>
        </w:rPr>
        <w:t>individual quarters will be eliminated.</w:t>
      </w:r>
      <w:r w:rsidR="000D4E8C">
        <w:rPr>
          <w:rFonts w:ascii="Arial" w:hAnsi="Arial" w:cs="Arial"/>
          <w:i/>
          <w:sz w:val="18"/>
          <w:szCs w:val="18"/>
          <w:lang w:val="en-GB"/>
        </w:rPr>
        <w:t xml:space="preserve">  </w:t>
      </w:r>
      <w:r w:rsidR="00FE796F">
        <w:rPr>
          <w:rFonts w:ascii="Arial" w:hAnsi="Arial" w:cs="Arial"/>
          <w:i/>
          <w:sz w:val="18"/>
          <w:szCs w:val="18"/>
          <w:lang w:val="en-GB"/>
        </w:rPr>
        <w:t xml:space="preserve">  </w:t>
      </w:r>
    </w:p>
  </w:footnote>
  <w:footnote w:id="3">
    <w:p w:rsidR="00FD4927" w:rsidRPr="00C66CB2" w:rsidRDefault="00FD4927" w:rsidP="00FD4927">
      <w:pPr>
        <w:pStyle w:val="Textpoznpodarou"/>
        <w:spacing w:after="60"/>
        <w:rPr>
          <w:rFonts w:ascii="Arial" w:hAnsi="Arial" w:cs="Arial"/>
          <w:i/>
          <w:sz w:val="18"/>
          <w:lang w:val="en-GB"/>
        </w:rPr>
      </w:pPr>
      <w:r w:rsidRPr="00C66CB2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="00C66CB2" w:rsidRPr="00C66CB2">
        <w:rPr>
          <w:rFonts w:ascii="Arial" w:hAnsi="Arial" w:cs="Arial"/>
          <w:i/>
          <w:sz w:val="18"/>
          <w:lang w:val="en-GB"/>
        </w:rPr>
        <w:t xml:space="preserve"> Contributions to the GDP growth excluding imports. </w:t>
      </w:r>
    </w:p>
  </w:footnote>
  <w:footnote w:id="4">
    <w:p w:rsidR="0095373C" w:rsidRPr="0095373C" w:rsidRDefault="00F34654" w:rsidP="00F34654">
      <w:pPr>
        <w:pStyle w:val="Textpoznpodarou"/>
        <w:spacing w:after="60"/>
        <w:rPr>
          <w:rFonts w:ascii="Arial" w:hAnsi="Arial" w:cs="Arial"/>
          <w:i/>
          <w:sz w:val="18"/>
          <w:szCs w:val="18"/>
          <w:lang w:val="en-GB"/>
        </w:rPr>
      </w:pPr>
      <w:r w:rsidRPr="007C5C40">
        <w:rPr>
          <w:rFonts w:ascii="Arial" w:hAnsi="Arial" w:cs="Arial"/>
          <w:i/>
          <w:sz w:val="18"/>
          <w:szCs w:val="18"/>
          <w:vertAlign w:val="superscript"/>
          <w:lang w:val="en-GB"/>
        </w:rPr>
        <w:footnoteRef/>
      </w:r>
      <w:r w:rsidRPr="007C5C40">
        <w:rPr>
          <w:rFonts w:ascii="Arial" w:hAnsi="Arial" w:cs="Arial"/>
          <w:i/>
          <w:sz w:val="18"/>
          <w:szCs w:val="18"/>
          <w:vertAlign w:val="superscript"/>
          <w:lang w:val="en-GB"/>
        </w:rPr>
        <w:t xml:space="preserve"> </w:t>
      </w:r>
      <w:r w:rsidR="00511B46" w:rsidRPr="007C5C40">
        <w:rPr>
          <w:rFonts w:ascii="Arial" w:hAnsi="Arial" w:cs="Arial"/>
          <w:i/>
          <w:sz w:val="18"/>
          <w:szCs w:val="18"/>
          <w:lang w:val="en-GB"/>
        </w:rPr>
        <w:t xml:space="preserve">The import of goods in the Q4 2015 includes </w:t>
      </w:r>
      <w:r w:rsidRPr="007C5C40">
        <w:rPr>
          <w:rFonts w:ascii="Arial" w:hAnsi="Arial" w:cs="Arial"/>
          <w:i/>
          <w:sz w:val="18"/>
          <w:szCs w:val="18"/>
          <w:lang w:val="en-GB"/>
        </w:rPr>
        <w:t>J</w:t>
      </w:r>
      <w:r w:rsidR="007C5C40" w:rsidRPr="007C5C40">
        <w:rPr>
          <w:rFonts w:ascii="Arial" w:hAnsi="Arial" w:cs="Arial"/>
          <w:i/>
          <w:sz w:val="18"/>
          <w:szCs w:val="18"/>
          <w:lang w:val="en-GB"/>
        </w:rPr>
        <w:t>AS</w:t>
      </w:r>
      <w:r w:rsidRPr="007C5C40">
        <w:rPr>
          <w:rFonts w:ascii="Arial" w:hAnsi="Arial" w:cs="Arial"/>
          <w:i/>
          <w:sz w:val="18"/>
          <w:szCs w:val="18"/>
          <w:lang w:val="en-GB"/>
        </w:rPr>
        <w:t>-</w:t>
      </w:r>
      <w:r w:rsidR="007C5C40" w:rsidRPr="007C5C40">
        <w:rPr>
          <w:rFonts w:ascii="Arial" w:hAnsi="Arial" w:cs="Arial"/>
          <w:i/>
          <w:sz w:val="18"/>
          <w:szCs w:val="18"/>
          <w:lang w:val="en-GB"/>
        </w:rPr>
        <w:t xml:space="preserve">39 </w:t>
      </w:r>
      <w:r w:rsidRPr="007C5C40">
        <w:rPr>
          <w:rFonts w:ascii="Arial" w:hAnsi="Arial" w:cs="Arial"/>
          <w:i/>
          <w:sz w:val="18"/>
          <w:szCs w:val="18"/>
          <w:lang w:val="en-GB"/>
        </w:rPr>
        <w:t>Gripen</w:t>
      </w:r>
      <w:r w:rsidR="00511B46" w:rsidRPr="007C5C40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95373C" w:rsidRPr="007C5C40">
        <w:rPr>
          <w:rFonts w:ascii="Arial" w:hAnsi="Arial" w:cs="Arial"/>
          <w:i/>
          <w:sz w:val="18"/>
          <w:szCs w:val="18"/>
          <w:lang w:val="en-GB"/>
        </w:rPr>
        <w:t>aircrafts</w:t>
      </w:r>
      <w:r w:rsidR="007C5C40" w:rsidRPr="007C5C40">
        <w:rPr>
          <w:rFonts w:ascii="Arial" w:hAnsi="Arial" w:cs="Arial"/>
          <w:i/>
          <w:sz w:val="18"/>
          <w:szCs w:val="18"/>
          <w:lang w:val="en-GB"/>
        </w:rPr>
        <w:t xml:space="preserve"> lease</w:t>
      </w:r>
      <w:r w:rsidR="00511B46" w:rsidRPr="007C5C40">
        <w:rPr>
          <w:rFonts w:ascii="Arial" w:hAnsi="Arial" w:cs="Arial"/>
          <w:i/>
          <w:sz w:val="18"/>
          <w:szCs w:val="18"/>
          <w:lang w:val="en-GB"/>
        </w:rPr>
        <w:t xml:space="preserve"> in the amount of CZK 9.</w:t>
      </w:r>
      <w:r w:rsidRPr="007C5C40">
        <w:rPr>
          <w:rFonts w:ascii="Arial" w:hAnsi="Arial" w:cs="Arial"/>
          <w:i/>
          <w:sz w:val="18"/>
          <w:szCs w:val="18"/>
          <w:lang w:val="en-GB"/>
        </w:rPr>
        <w:t xml:space="preserve">9 </w:t>
      </w:r>
      <w:r w:rsidR="00511B46" w:rsidRPr="007C5C40">
        <w:rPr>
          <w:rFonts w:ascii="Arial" w:hAnsi="Arial" w:cs="Arial"/>
          <w:i/>
          <w:sz w:val="18"/>
          <w:szCs w:val="18"/>
          <w:lang w:val="en-GB"/>
        </w:rPr>
        <w:t>bn</w:t>
      </w:r>
      <w:r w:rsidRPr="007C5C40">
        <w:rPr>
          <w:rFonts w:ascii="Arial" w:hAnsi="Arial" w:cs="Arial"/>
          <w:i/>
          <w:sz w:val="18"/>
          <w:szCs w:val="18"/>
          <w:lang w:val="en-GB"/>
        </w:rPr>
        <w:t>,</w:t>
      </w:r>
      <w:r w:rsidRPr="00C66CB2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511B46">
        <w:rPr>
          <w:rFonts w:ascii="Arial" w:hAnsi="Arial" w:cs="Arial"/>
          <w:i/>
          <w:sz w:val="18"/>
          <w:szCs w:val="18"/>
          <w:lang w:val="en-GB"/>
        </w:rPr>
        <w:t xml:space="preserve">for more see the press release from 7 December 2015: </w:t>
      </w:r>
      <w:r w:rsidRPr="00C66CB2">
        <w:rPr>
          <w:rFonts w:ascii="Arial" w:hAnsi="Arial" w:cs="Arial"/>
          <w:i/>
          <w:sz w:val="18"/>
          <w:szCs w:val="18"/>
          <w:lang w:val="en-GB"/>
        </w:rPr>
        <w:t> </w:t>
      </w:r>
      <w:hyperlink r:id="rId1" w:history="1">
        <w:r w:rsidR="0095373C" w:rsidRPr="00565D5A">
          <w:rPr>
            <w:rStyle w:val="Hypertextovodkaz"/>
            <w:rFonts w:ascii="Arial" w:hAnsi="Arial" w:cs="Arial"/>
            <w:i/>
            <w:sz w:val="18"/>
            <w:szCs w:val="18"/>
            <w:lang w:val="en-GB"/>
          </w:rPr>
          <w:t>https://www.czso.cz/csu/czso/statistical-capture-of-jas-39-gripen-aircrafts-lease</w:t>
        </w:r>
      </w:hyperlink>
      <w:r w:rsidR="0095373C">
        <w:rPr>
          <w:rFonts w:ascii="Arial" w:hAnsi="Arial" w:cs="Arial"/>
          <w:i/>
          <w:sz w:val="18"/>
          <w:szCs w:val="18"/>
          <w:lang w:val="en-GB"/>
        </w:rPr>
        <w:t>.</w:t>
      </w:r>
      <w:r w:rsidR="007C5C40">
        <w:rPr>
          <w:rFonts w:ascii="Arial" w:hAnsi="Arial" w:cs="Arial"/>
          <w:i/>
          <w:sz w:val="18"/>
          <w:szCs w:val="18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A0457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89A"/>
    <w:rsid w:val="00013958"/>
    <w:rsid w:val="00043BF4"/>
    <w:rsid w:val="00047DB1"/>
    <w:rsid w:val="000554A2"/>
    <w:rsid w:val="00064B36"/>
    <w:rsid w:val="00073C89"/>
    <w:rsid w:val="000843A5"/>
    <w:rsid w:val="00091722"/>
    <w:rsid w:val="000A5992"/>
    <w:rsid w:val="000B292A"/>
    <w:rsid w:val="000B6371"/>
    <w:rsid w:val="000B6F63"/>
    <w:rsid w:val="000C1DA7"/>
    <w:rsid w:val="000C34F2"/>
    <w:rsid w:val="000D0C29"/>
    <w:rsid w:val="000D4E8C"/>
    <w:rsid w:val="000E3BD6"/>
    <w:rsid w:val="000F2CFB"/>
    <w:rsid w:val="00103EAF"/>
    <w:rsid w:val="001126F3"/>
    <w:rsid w:val="00116ED1"/>
    <w:rsid w:val="00123849"/>
    <w:rsid w:val="0013242C"/>
    <w:rsid w:val="001404AB"/>
    <w:rsid w:val="0017231D"/>
    <w:rsid w:val="00176E26"/>
    <w:rsid w:val="0018061F"/>
    <w:rsid w:val="001810DC"/>
    <w:rsid w:val="00181F8F"/>
    <w:rsid w:val="00182596"/>
    <w:rsid w:val="001A6E78"/>
    <w:rsid w:val="001B1F7E"/>
    <w:rsid w:val="001B607F"/>
    <w:rsid w:val="001C71FD"/>
    <w:rsid w:val="001D369A"/>
    <w:rsid w:val="001D3D88"/>
    <w:rsid w:val="001D4C4C"/>
    <w:rsid w:val="001E6ED5"/>
    <w:rsid w:val="001E7F07"/>
    <w:rsid w:val="001F08B3"/>
    <w:rsid w:val="002070FB"/>
    <w:rsid w:val="00213729"/>
    <w:rsid w:val="0022724E"/>
    <w:rsid w:val="002406FA"/>
    <w:rsid w:val="00245882"/>
    <w:rsid w:val="002529DB"/>
    <w:rsid w:val="00282D99"/>
    <w:rsid w:val="002939EF"/>
    <w:rsid w:val="002963BE"/>
    <w:rsid w:val="00297900"/>
    <w:rsid w:val="002A0457"/>
    <w:rsid w:val="002A5A9F"/>
    <w:rsid w:val="002B2E47"/>
    <w:rsid w:val="002C73D9"/>
    <w:rsid w:val="002D37F5"/>
    <w:rsid w:val="00301E4F"/>
    <w:rsid w:val="0031066D"/>
    <w:rsid w:val="0032306D"/>
    <w:rsid w:val="0032398D"/>
    <w:rsid w:val="003301A3"/>
    <w:rsid w:val="003328DD"/>
    <w:rsid w:val="00333C11"/>
    <w:rsid w:val="003571C3"/>
    <w:rsid w:val="0036777B"/>
    <w:rsid w:val="00380178"/>
    <w:rsid w:val="0038282A"/>
    <w:rsid w:val="00394072"/>
    <w:rsid w:val="00397580"/>
    <w:rsid w:val="003A45C8"/>
    <w:rsid w:val="003A7CF2"/>
    <w:rsid w:val="003B4A51"/>
    <w:rsid w:val="003B6D27"/>
    <w:rsid w:val="003B7F42"/>
    <w:rsid w:val="003C2DCF"/>
    <w:rsid w:val="003C31B1"/>
    <w:rsid w:val="003C3372"/>
    <w:rsid w:val="003C36DD"/>
    <w:rsid w:val="003C7FE7"/>
    <w:rsid w:val="003D0499"/>
    <w:rsid w:val="003D3576"/>
    <w:rsid w:val="003F526A"/>
    <w:rsid w:val="00405244"/>
    <w:rsid w:val="0042044E"/>
    <w:rsid w:val="00423263"/>
    <w:rsid w:val="0043150F"/>
    <w:rsid w:val="00436D82"/>
    <w:rsid w:val="00436ECC"/>
    <w:rsid w:val="004414C4"/>
    <w:rsid w:val="004436EE"/>
    <w:rsid w:val="0045547F"/>
    <w:rsid w:val="0046740A"/>
    <w:rsid w:val="00467BC9"/>
    <w:rsid w:val="00476159"/>
    <w:rsid w:val="00477308"/>
    <w:rsid w:val="004903C0"/>
    <w:rsid w:val="004920AD"/>
    <w:rsid w:val="004D05B3"/>
    <w:rsid w:val="004E1969"/>
    <w:rsid w:val="004E3EF4"/>
    <w:rsid w:val="004E479E"/>
    <w:rsid w:val="004F1E5D"/>
    <w:rsid w:val="004F5FB1"/>
    <w:rsid w:val="004F78E6"/>
    <w:rsid w:val="00511B46"/>
    <w:rsid w:val="00512D99"/>
    <w:rsid w:val="00531DBB"/>
    <w:rsid w:val="0055794F"/>
    <w:rsid w:val="00564213"/>
    <w:rsid w:val="005713FF"/>
    <w:rsid w:val="0057706A"/>
    <w:rsid w:val="005A111E"/>
    <w:rsid w:val="005C282F"/>
    <w:rsid w:val="005C7A10"/>
    <w:rsid w:val="005E516A"/>
    <w:rsid w:val="005F79FB"/>
    <w:rsid w:val="00604406"/>
    <w:rsid w:val="006050FB"/>
    <w:rsid w:val="00605F4A"/>
    <w:rsid w:val="00607822"/>
    <w:rsid w:val="006103AA"/>
    <w:rsid w:val="00613BBF"/>
    <w:rsid w:val="00622B80"/>
    <w:rsid w:val="0064057D"/>
    <w:rsid w:val="0064139A"/>
    <w:rsid w:val="00666DA3"/>
    <w:rsid w:val="00670B90"/>
    <w:rsid w:val="0067263A"/>
    <w:rsid w:val="00675A0E"/>
    <w:rsid w:val="00691C7F"/>
    <w:rsid w:val="006D1030"/>
    <w:rsid w:val="006D5C60"/>
    <w:rsid w:val="006E024F"/>
    <w:rsid w:val="006E4E81"/>
    <w:rsid w:val="00704581"/>
    <w:rsid w:val="00707F7D"/>
    <w:rsid w:val="00717EC5"/>
    <w:rsid w:val="00743036"/>
    <w:rsid w:val="00755D8B"/>
    <w:rsid w:val="00763787"/>
    <w:rsid w:val="0079501D"/>
    <w:rsid w:val="00796AF1"/>
    <w:rsid w:val="007A0CA5"/>
    <w:rsid w:val="007A2445"/>
    <w:rsid w:val="007A4F37"/>
    <w:rsid w:val="007A57F2"/>
    <w:rsid w:val="007B1333"/>
    <w:rsid w:val="007B5F10"/>
    <w:rsid w:val="007C5C40"/>
    <w:rsid w:val="007F0B04"/>
    <w:rsid w:val="007F45BD"/>
    <w:rsid w:val="007F4AEB"/>
    <w:rsid w:val="007F75B2"/>
    <w:rsid w:val="008043C4"/>
    <w:rsid w:val="00812FD4"/>
    <w:rsid w:val="00831B1B"/>
    <w:rsid w:val="00835E94"/>
    <w:rsid w:val="00840D49"/>
    <w:rsid w:val="00841E44"/>
    <w:rsid w:val="00844D97"/>
    <w:rsid w:val="0085343F"/>
    <w:rsid w:val="00855FB3"/>
    <w:rsid w:val="00861D0E"/>
    <w:rsid w:val="00867569"/>
    <w:rsid w:val="00872EF2"/>
    <w:rsid w:val="008820BA"/>
    <w:rsid w:val="008834BC"/>
    <w:rsid w:val="00885C0D"/>
    <w:rsid w:val="008A750A"/>
    <w:rsid w:val="008B1546"/>
    <w:rsid w:val="008B3970"/>
    <w:rsid w:val="008B5B55"/>
    <w:rsid w:val="008C22C1"/>
    <w:rsid w:val="008C384C"/>
    <w:rsid w:val="008D0F11"/>
    <w:rsid w:val="008E3FBF"/>
    <w:rsid w:val="008E6C93"/>
    <w:rsid w:val="008F73B4"/>
    <w:rsid w:val="009035E8"/>
    <w:rsid w:val="0091124B"/>
    <w:rsid w:val="00914FCB"/>
    <w:rsid w:val="0095373C"/>
    <w:rsid w:val="00971374"/>
    <w:rsid w:val="00980267"/>
    <w:rsid w:val="00982721"/>
    <w:rsid w:val="00986758"/>
    <w:rsid w:val="00987FDF"/>
    <w:rsid w:val="009A0EDD"/>
    <w:rsid w:val="009A7C5C"/>
    <w:rsid w:val="009B16E7"/>
    <w:rsid w:val="009B55B1"/>
    <w:rsid w:val="009C7986"/>
    <w:rsid w:val="009D1085"/>
    <w:rsid w:val="009E39C5"/>
    <w:rsid w:val="009F40EE"/>
    <w:rsid w:val="00A02841"/>
    <w:rsid w:val="00A07BA7"/>
    <w:rsid w:val="00A103B8"/>
    <w:rsid w:val="00A256C4"/>
    <w:rsid w:val="00A25753"/>
    <w:rsid w:val="00A300A7"/>
    <w:rsid w:val="00A4343D"/>
    <w:rsid w:val="00A502F1"/>
    <w:rsid w:val="00A63485"/>
    <w:rsid w:val="00A70A83"/>
    <w:rsid w:val="00A81EB3"/>
    <w:rsid w:val="00AB6196"/>
    <w:rsid w:val="00AC3140"/>
    <w:rsid w:val="00AE0922"/>
    <w:rsid w:val="00B00C1D"/>
    <w:rsid w:val="00B041A2"/>
    <w:rsid w:val="00B41342"/>
    <w:rsid w:val="00B4260E"/>
    <w:rsid w:val="00B632CC"/>
    <w:rsid w:val="00B76D60"/>
    <w:rsid w:val="00BA12F1"/>
    <w:rsid w:val="00BA2630"/>
    <w:rsid w:val="00BA439F"/>
    <w:rsid w:val="00BA6370"/>
    <w:rsid w:val="00BB0E9E"/>
    <w:rsid w:val="00BB0EC5"/>
    <w:rsid w:val="00BB297A"/>
    <w:rsid w:val="00BC060E"/>
    <w:rsid w:val="00C2235C"/>
    <w:rsid w:val="00C269D4"/>
    <w:rsid w:val="00C4160D"/>
    <w:rsid w:val="00C53928"/>
    <w:rsid w:val="00C66CB2"/>
    <w:rsid w:val="00C704AC"/>
    <w:rsid w:val="00C8406E"/>
    <w:rsid w:val="00CB2709"/>
    <w:rsid w:val="00CB6F89"/>
    <w:rsid w:val="00CD2ED1"/>
    <w:rsid w:val="00CE228C"/>
    <w:rsid w:val="00CE71D9"/>
    <w:rsid w:val="00CF14ED"/>
    <w:rsid w:val="00CF355E"/>
    <w:rsid w:val="00CF5051"/>
    <w:rsid w:val="00CF545B"/>
    <w:rsid w:val="00D145A3"/>
    <w:rsid w:val="00D209A7"/>
    <w:rsid w:val="00D22B98"/>
    <w:rsid w:val="00D26C63"/>
    <w:rsid w:val="00D27D69"/>
    <w:rsid w:val="00D404BB"/>
    <w:rsid w:val="00D448C2"/>
    <w:rsid w:val="00D4783B"/>
    <w:rsid w:val="00D666C3"/>
    <w:rsid w:val="00D700A0"/>
    <w:rsid w:val="00D70800"/>
    <w:rsid w:val="00D708E1"/>
    <w:rsid w:val="00D811AB"/>
    <w:rsid w:val="00DB2DB3"/>
    <w:rsid w:val="00DB4220"/>
    <w:rsid w:val="00DC0BDF"/>
    <w:rsid w:val="00DF1607"/>
    <w:rsid w:val="00DF47FE"/>
    <w:rsid w:val="00DF7601"/>
    <w:rsid w:val="00E00C09"/>
    <w:rsid w:val="00E0156A"/>
    <w:rsid w:val="00E0394E"/>
    <w:rsid w:val="00E15B12"/>
    <w:rsid w:val="00E26704"/>
    <w:rsid w:val="00E31980"/>
    <w:rsid w:val="00E337DB"/>
    <w:rsid w:val="00E45F3A"/>
    <w:rsid w:val="00E6423C"/>
    <w:rsid w:val="00E70B83"/>
    <w:rsid w:val="00E71483"/>
    <w:rsid w:val="00E81A36"/>
    <w:rsid w:val="00E855B8"/>
    <w:rsid w:val="00E93830"/>
    <w:rsid w:val="00E93E0E"/>
    <w:rsid w:val="00E94E08"/>
    <w:rsid w:val="00EB1A25"/>
    <w:rsid w:val="00EB1ED3"/>
    <w:rsid w:val="00ED189A"/>
    <w:rsid w:val="00EE70B7"/>
    <w:rsid w:val="00F1591F"/>
    <w:rsid w:val="00F314B7"/>
    <w:rsid w:val="00F32262"/>
    <w:rsid w:val="00F34654"/>
    <w:rsid w:val="00F35901"/>
    <w:rsid w:val="00F37C29"/>
    <w:rsid w:val="00F54502"/>
    <w:rsid w:val="00F56886"/>
    <w:rsid w:val="00F83C49"/>
    <w:rsid w:val="00FA192C"/>
    <w:rsid w:val="00FA26FE"/>
    <w:rsid w:val="00FA7D84"/>
    <w:rsid w:val="00FB687C"/>
    <w:rsid w:val="00FD4927"/>
    <w:rsid w:val="00FE0F17"/>
    <w:rsid w:val="00FE114D"/>
    <w:rsid w:val="00FE40B3"/>
    <w:rsid w:val="00FE79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5794F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55794F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94F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55794F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55794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95373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quarterly-national-accounts-gdp-resources-and-uses-and-gdp-preliminary-estima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hdp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statistical-capture-of-jas-39-gripen-aircrafts-lea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57AA-ADB4-4B12-AE91-FDD76025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11</TotalTime>
  <Pages>3</Pages>
  <Words>840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Alena Svatošová</cp:lastModifiedBy>
  <cp:revision>12</cp:revision>
  <cp:lastPrinted>2016-03-03T10:03:00Z</cp:lastPrinted>
  <dcterms:created xsi:type="dcterms:W3CDTF">2016-03-03T10:14:00Z</dcterms:created>
  <dcterms:modified xsi:type="dcterms:W3CDTF">2016-03-03T11:26:00Z</dcterms:modified>
</cp:coreProperties>
</file>