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Pr="000E2069" w:rsidRDefault="00836CC0" w:rsidP="00867569">
      <w:pPr>
        <w:pStyle w:val="Datum"/>
        <w:rPr>
          <w:lang w:val="en-GB"/>
        </w:rPr>
      </w:pPr>
      <w:r w:rsidRPr="000E2069">
        <w:rPr>
          <w:lang w:val="en-GB"/>
        </w:rPr>
        <w:t>27</w:t>
      </w:r>
      <w:r w:rsidR="00EA3E2D" w:rsidRPr="000E2069">
        <w:rPr>
          <w:lang w:val="en-GB"/>
        </w:rPr>
        <w:t xml:space="preserve"> February</w:t>
      </w:r>
      <w:r w:rsidR="00F340B2" w:rsidRPr="000E2069">
        <w:rPr>
          <w:lang w:val="en-GB"/>
        </w:rPr>
        <w:t xml:space="preserve"> 201</w:t>
      </w:r>
      <w:r w:rsidR="00EE1D62" w:rsidRPr="000E2069">
        <w:rPr>
          <w:lang w:val="en-GB"/>
        </w:rPr>
        <w:t>5</w:t>
      </w:r>
    </w:p>
    <w:p w:rsidR="004A53B7" w:rsidRPr="000E2069" w:rsidRDefault="00EA3E2D" w:rsidP="004A53B7">
      <w:pPr>
        <w:pStyle w:val="Nzev"/>
        <w:spacing w:after="360"/>
        <w:rPr>
          <w:lang w:val="en-GB"/>
        </w:rPr>
      </w:pPr>
      <w:r w:rsidRPr="000E2069">
        <w:rPr>
          <w:lang w:val="en-GB"/>
        </w:rPr>
        <w:t>Economic Recovery Continued</w:t>
      </w:r>
    </w:p>
    <w:p w:rsidR="008B3970" w:rsidRPr="000E2069" w:rsidRDefault="00EA3E2D" w:rsidP="008B3970">
      <w:pPr>
        <w:pStyle w:val="Podtitulek"/>
        <w:rPr>
          <w:lang w:val="en-GB"/>
        </w:rPr>
      </w:pPr>
      <w:r w:rsidRPr="000E2069">
        <w:rPr>
          <w:lang w:val="en-GB"/>
        </w:rPr>
        <w:t>G</w:t>
      </w:r>
      <w:r w:rsidR="00836CC0" w:rsidRPr="000E2069">
        <w:rPr>
          <w:lang w:val="en-GB"/>
        </w:rPr>
        <w:t xml:space="preserve">DP </w:t>
      </w:r>
      <w:r w:rsidRPr="000E2069">
        <w:rPr>
          <w:lang w:val="en-GB"/>
        </w:rPr>
        <w:t xml:space="preserve">resources and uses </w:t>
      </w:r>
      <w:r w:rsidR="00F340B2" w:rsidRPr="000E2069">
        <w:rPr>
          <w:lang w:val="en-GB"/>
        </w:rPr>
        <w:t xml:space="preserve">- </w:t>
      </w:r>
      <w:r w:rsidRPr="000E2069">
        <w:rPr>
          <w:lang w:val="en-GB"/>
        </w:rPr>
        <w:t>Q</w:t>
      </w:r>
      <w:r w:rsidR="00EE1D62" w:rsidRPr="000E2069">
        <w:rPr>
          <w:lang w:val="en-GB"/>
        </w:rPr>
        <w:t>4</w:t>
      </w:r>
      <w:r w:rsidR="00836CC0" w:rsidRPr="000E2069">
        <w:rPr>
          <w:lang w:val="en-GB"/>
        </w:rPr>
        <w:t> </w:t>
      </w:r>
      <w:r w:rsidR="00F4725F" w:rsidRPr="000E2069">
        <w:rPr>
          <w:lang w:val="en-GB"/>
        </w:rPr>
        <w:t>201</w:t>
      </w:r>
      <w:r w:rsidR="00210BFE" w:rsidRPr="000E2069">
        <w:rPr>
          <w:lang w:val="en-GB"/>
        </w:rPr>
        <w:t>4</w:t>
      </w:r>
    </w:p>
    <w:p w:rsidR="00867569" w:rsidRPr="000E2069" w:rsidRDefault="00EA3E2D" w:rsidP="00043BF4">
      <w:pPr>
        <w:pStyle w:val="Perex"/>
        <w:rPr>
          <w:lang w:val="en-GB"/>
        </w:rPr>
      </w:pPr>
      <w:r w:rsidRPr="000E2069">
        <w:rPr>
          <w:bCs/>
          <w:lang w:val="en-GB"/>
        </w:rPr>
        <w:t>The gross domestic product gr</w:t>
      </w:r>
      <w:r w:rsidR="002E7FB0">
        <w:rPr>
          <w:bCs/>
          <w:lang w:val="en-GB"/>
        </w:rPr>
        <w:t>ew</w:t>
      </w:r>
      <w:r w:rsidRPr="000E2069">
        <w:rPr>
          <w:bCs/>
          <w:lang w:val="en-GB"/>
        </w:rPr>
        <w:t xml:space="preserve"> by 2.0%, year-on-year (y-o-y) in 2014</w:t>
      </w:r>
      <w:r w:rsidR="002E7FB0">
        <w:rPr>
          <w:bCs/>
          <w:lang w:val="en-GB"/>
        </w:rPr>
        <w:t>, thus preliminary estimate was confirmed</w:t>
      </w:r>
      <w:r w:rsidRPr="000E2069">
        <w:rPr>
          <w:bCs/>
          <w:lang w:val="en-GB"/>
        </w:rPr>
        <w:t>.</w:t>
      </w:r>
      <w:r w:rsidR="00431FD4" w:rsidRPr="000E2069">
        <w:rPr>
          <w:lang w:val="en-GB"/>
        </w:rPr>
        <w:t xml:space="preserve"> </w:t>
      </w:r>
      <w:r w:rsidRPr="000E2069">
        <w:rPr>
          <w:bCs/>
          <w:lang w:val="en-GB"/>
        </w:rPr>
        <w:t xml:space="preserve">The gross domestic product </w:t>
      </w:r>
      <w:r w:rsidR="001F393A">
        <w:rPr>
          <w:bCs/>
          <w:lang w:val="en-GB"/>
        </w:rPr>
        <w:t>in Q4 2014 increased by 1.5%, y</w:t>
      </w:r>
      <w:r w:rsidR="001F393A">
        <w:rPr>
          <w:bCs/>
          <w:lang w:val="en-GB"/>
        </w:rPr>
        <w:noBreakHyphen/>
      </w:r>
      <w:bookmarkStart w:id="0" w:name="_GoBack"/>
      <w:bookmarkEnd w:id="0"/>
      <w:r w:rsidRPr="000E2069">
        <w:rPr>
          <w:bCs/>
          <w:lang w:val="en-GB"/>
        </w:rPr>
        <w:t>o</w:t>
      </w:r>
      <w:r w:rsidR="001F393A">
        <w:rPr>
          <w:bCs/>
          <w:lang w:val="en-GB"/>
        </w:rPr>
        <w:noBreakHyphen/>
      </w:r>
      <w:r w:rsidRPr="000E2069">
        <w:rPr>
          <w:bCs/>
          <w:lang w:val="en-GB"/>
        </w:rPr>
        <w:t xml:space="preserve">y, and by </w:t>
      </w:r>
      <w:r w:rsidR="00977A2B" w:rsidRPr="000E2069">
        <w:rPr>
          <w:lang w:val="en-GB"/>
        </w:rPr>
        <w:t>0</w:t>
      </w:r>
      <w:r w:rsidRPr="000E2069">
        <w:rPr>
          <w:lang w:val="en-GB"/>
        </w:rPr>
        <w:t>.</w:t>
      </w:r>
      <w:r w:rsidR="00977A2B" w:rsidRPr="000E2069">
        <w:rPr>
          <w:lang w:val="en-GB"/>
        </w:rPr>
        <w:t>4%</w:t>
      </w:r>
      <w:r w:rsidRPr="000E2069">
        <w:rPr>
          <w:lang w:val="en-GB"/>
        </w:rPr>
        <w:t>, quarter-on-quarter (q-o-q)</w:t>
      </w:r>
      <w:r w:rsidR="00977A2B" w:rsidRPr="000E2069">
        <w:rPr>
          <w:lang w:val="en-GB"/>
        </w:rPr>
        <w:t xml:space="preserve">. </w:t>
      </w:r>
      <w:r w:rsidRPr="000E2069">
        <w:rPr>
          <w:lang w:val="en-GB"/>
        </w:rPr>
        <w:t xml:space="preserve">The growth of the gross value added </w:t>
      </w:r>
      <w:r w:rsidR="00707513">
        <w:rPr>
          <w:lang w:val="en-GB"/>
        </w:rPr>
        <w:t>accelerated</w:t>
      </w:r>
      <w:r w:rsidRPr="000E2069">
        <w:rPr>
          <w:lang w:val="en-GB"/>
        </w:rPr>
        <w:t xml:space="preserve"> at the end of 2014 and reached </w:t>
      </w:r>
      <w:r w:rsidR="004A53B7" w:rsidRPr="000E2069">
        <w:rPr>
          <w:lang w:val="en-GB"/>
        </w:rPr>
        <w:t>2</w:t>
      </w:r>
      <w:r w:rsidRPr="000E2069">
        <w:rPr>
          <w:lang w:val="en-GB"/>
        </w:rPr>
        <w:t>.</w:t>
      </w:r>
      <w:r w:rsidR="004A53B7" w:rsidRPr="000E2069">
        <w:rPr>
          <w:lang w:val="en-GB"/>
        </w:rPr>
        <w:t>9%</w:t>
      </w:r>
      <w:r w:rsidRPr="000E2069">
        <w:rPr>
          <w:lang w:val="en-GB"/>
        </w:rPr>
        <w:t xml:space="preserve">, y-o-y and </w:t>
      </w:r>
      <w:r w:rsidR="004A53B7" w:rsidRPr="000E2069">
        <w:rPr>
          <w:lang w:val="en-GB"/>
        </w:rPr>
        <w:t>1</w:t>
      </w:r>
      <w:r w:rsidRPr="000E2069">
        <w:rPr>
          <w:lang w:val="en-GB"/>
        </w:rPr>
        <w:t>.</w:t>
      </w:r>
      <w:r w:rsidR="004A53B7" w:rsidRPr="000E2069">
        <w:rPr>
          <w:lang w:val="en-GB"/>
        </w:rPr>
        <w:t>1%</w:t>
      </w:r>
      <w:r w:rsidRPr="000E2069">
        <w:rPr>
          <w:lang w:val="en-GB"/>
        </w:rPr>
        <w:t>, q-o-q</w:t>
      </w:r>
      <w:r w:rsidR="004A53B7" w:rsidRPr="000E2069">
        <w:rPr>
          <w:lang w:val="en-GB"/>
        </w:rPr>
        <w:t>.</w:t>
      </w:r>
    </w:p>
    <w:p w:rsidR="009214F3" w:rsidRPr="000E2069" w:rsidRDefault="00EA3E2D" w:rsidP="007D4D92">
      <w:pPr>
        <w:spacing w:before="240"/>
        <w:rPr>
          <w:rFonts w:cs="Arial"/>
          <w:b/>
          <w:szCs w:val="18"/>
          <w:lang w:val="en-GB"/>
        </w:rPr>
      </w:pPr>
      <w:r w:rsidRPr="000E2069">
        <w:rPr>
          <w:bCs/>
          <w:lang w:val="en-GB"/>
        </w:rPr>
        <w:t xml:space="preserve">The </w:t>
      </w:r>
      <w:r w:rsidRPr="000E2069">
        <w:rPr>
          <w:b/>
          <w:bCs/>
          <w:lang w:val="en-GB"/>
        </w:rPr>
        <w:t>gross domestic product</w:t>
      </w:r>
      <w:r w:rsidRPr="000E2069">
        <w:rPr>
          <w:bCs/>
          <w:lang w:val="en-GB"/>
        </w:rPr>
        <w:t xml:space="preserve"> </w:t>
      </w:r>
      <w:r w:rsidR="009214F3" w:rsidRPr="000E2069">
        <w:rPr>
          <w:rFonts w:cs="Arial"/>
          <w:b/>
          <w:szCs w:val="18"/>
          <w:lang w:val="en-GB"/>
        </w:rPr>
        <w:t>(</w:t>
      </w:r>
      <w:r w:rsidRPr="000E2069">
        <w:rPr>
          <w:rFonts w:cs="Arial"/>
          <w:b/>
          <w:szCs w:val="18"/>
          <w:lang w:val="en-GB"/>
        </w:rPr>
        <w:t>G</w:t>
      </w:r>
      <w:r w:rsidR="009214F3" w:rsidRPr="000E2069">
        <w:rPr>
          <w:rFonts w:cs="Arial"/>
          <w:b/>
          <w:szCs w:val="18"/>
          <w:lang w:val="en-GB"/>
        </w:rPr>
        <w:t xml:space="preserve">DP) </w:t>
      </w:r>
      <w:r w:rsidRPr="000E2069">
        <w:rPr>
          <w:rFonts w:cs="Arial"/>
          <w:b/>
          <w:szCs w:val="18"/>
          <w:lang w:val="en-GB"/>
        </w:rPr>
        <w:t>for</w:t>
      </w:r>
      <w:r w:rsidR="009214F3" w:rsidRPr="000E2069">
        <w:rPr>
          <w:rFonts w:cs="Arial"/>
          <w:b/>
          <w:szCs w:val="18"/>
          <w:lang w:val="en-GB"/>
        </w:rPr>
        <w:t xml:space="preserve"> 2014</w:t>
      </w:r>
      <w:r w:rsidR="009214F3" w:rsidRPr="000E2069">
        <w:rPr>
          <w:rFonts w:cs="Arial"/>
          <w:szCs w:val="18"/>
          <w:lang w:val="en-GB"/>
        </w:rPr>
        <w:t xml:space="preserve"> </w:t>
      </w:r>
      <w:r w:rsidR="007D101E" w:rsidRPr="000E2069">
        <w:rPr>
          <w:lang w:val="en-GB"/>
        </w:rPr>
        <w:t>adjusted for price effects</w:t>
      </w:r>
      <w:r w:rsidR="00C41D34" w:rsidRPr="000E2069">
        <w:rPr>
          <w:rStyle w:val="Znakapoznpodarou"/>
          <w:rFonts w:cs="Arial"/>
          <w:szCs w:val="18"/>
          <w:lang w:val="en-GB"/>
        </w:rPr>
        <w:footnoteReference w:id="1"/>
      </w:r>
      <w:r w:rsidR="009214F3" w:rsidRPr="000E2069">
        <w:rPr>
          <w:rFonts w:cs="Arial"/>
          <w:szCs w:val="20"/>
          <w:lang w:val="en-GB"/>
        </w:rPr>
        <w:t xml:space="preserve"> </w:t>
      </w:r>
      <w:r w:rsidR="007D101E" w:rsidRPr="000E2069">
        <w:rPr>
          <w:rFonts w:cs="Arial"/>
          <w:szCs w:val="20"/>
          <w:lang w:val="en-GB"/>
        </w:rPr>
        <w:t xml:space="preserve">was by </w:t>
      </w:r>
      <w:r w:rsidR="007D101E" w:rsidRPr="000E2069">
        <w:rPr>
          <w:rFonts w:cs="Arial"/>
          <w:b/>
          <w:szCs w:val="18"/>
          <w:lang w:val="en-GB"/>
        </w:rPr>
        <w:t xml:space="preserve">2.0% higher y-o-y </w:t>
      </w:r>
      <w:r w:rsidR="007D101E" w:rsidRPr="000E2069">
        <w:rPr>
          <w:rFonts w:cs="Arial"/>
          <w:szCs w:val="18"/>
          <w:lang w:val="en-GB"/>
        </w:rPr>
        <w:t>according to the refined estimate</w:t>
      </w:r>
      <w:r w:rsidR="009214F3" w:rsidRPr="000E2069">
        <w:rPr>
          <w:rFonts w:cs="Arial"/>
          <w:szCs w:val="18"/>
          <w:lang w:val="en-GB"/>
        </w:rPr>
        <w:t>.</w:t>
      </w:r>
      <w:r w:rsidR="00054C09" w:rsidRPr="000E2069">
        <w:rPr>
          <w:rFonts w:cs="Arial"/>
          <w:szCs w:val="18"/>
          <w:lang w:val="en-GB"/>
        </w:rPr>
        <w:t xml:space="preserve"> </w:t>
      </w:r>
      <w:r w:rsidR="007D101E" w:rsidRPr="000E2069">
        <w:rPr>
          <w:rFonts w:cs="Arial"/>
          <w:szCs w:val="18"/>
          <w:lang w:val="en-GB"/>
        </w:rPr>
        <w:t xml:space="preserve">The growth was namely contributed by foreign demand </w:t>
      </w:r>
      <w:r w:rsidR="00C44192" w:rsidRPr="000E2069">
        <w:rPr>
          <w:rFonts w:cs="Arial"/>
          <w:szCs w:val="18"/>
          <w:lang w:val="en-GB"/>
        </w:rPr>
        <w:t>(1</w:t>
      </w:r>
      <w:r w:rsidR="007D101E" w:rsidRPr="000E2069">
        <w:rPr>
          <w:rFonts w:cs="Arial"/>
          <w:szCs w:val="18"/>
          <w:lang w:val="en-GB"/>
        </w:rPr>
        <w:t>.</w:t>
      </w:r>
      <w:r w:rsidR="00C44192" w:rsidRPr="000E2069">
        <w:rPr>
          <w:rFonts w:cs="Arial"/>
          <w:szCs w:val="18"/>
          <w:lang w:val="en-GB"/>
        </w:rPr>
        <w:t>3 p</w:t>
      </w:r>
      <w:r w:rsidR="007D101E" w:rsidRPr="000E2069">
        <w:rPr>
          <w:rFonts w:cs="Arial"/>
          <w:szCs w:val="18"/>
          <w:lang w:val="en-GB"/>
        </w:rPr>
        <w:t>ercentage point (p</w:t>
      </w:r>
      <w:r w:rsidR="00C44192" w:rsidRPr="000E2069">
        <w:rPr>
          <w:rFonts w:cs="Arial"/>
          <w:szCs w:val="18"/>
          <w:lang w:val="en-GB"/>
        </w:rPr>
        <w:t>.</w:t>
      </w:r>
      <w:r w:rsidR="007D101E" w:rsidRPr="000E2069">
        <w:rPr>
          <w:rFonts w:cs="Arial"/>
          <w:szCs w:val="18"/>
          <w:lang w:val="en-GB"/>
        </w:rPr>
        <w:t>p</w:t>
      </w:r>
      <w:r w:rsidR="00C44192" w:rsidRPr="000E2069">
        <w:rPr>
          <w:rFonts w:cs="Arial"/>
          <w:szCs w:val="18"/>
          <w:lang w:val="en-GB"/>
        </w:rPr>
        <w:t>.</w:t>
      </w:r>
      <w:r w:rsidR="007D101E" w:rsidRPr="000E2069">
        <w:rPr>
          <w:rFonts w:cs="Arial"/>
          <w:szCs w:val="18"/>
          <w:lang w:val="en-GB"/>
        </w:rPr>
        <w:t>)</w:t>
      </w:r>
      <w:r w:rsidR="00C44192" w:rsidRPr="000E2069">
        <w:rPr>
          <w:rFonts w:cs="Arial"/>
          <w:szCs w:val="18"/>
          <w:lang w:val="en-GB"/>
        </w:rPr>
        <w:t xml:space="preserve">), </w:t>
      </w:r>
      <w:r w:rsidR="00114088" w:rsidRPr="000E2069">
        <w:rPr>
          <w:rFonts w:cs="Arial"/>
          <w:szCs w:val="18"/>
          <w:lang w:val="en-GB"/>
        </w:rPr>
        <w:t>supported</w:t>
      </w:r>
      <w:r w:rsidR="007D101E" w:rsidRPr="000E2069">
        <w:rPr>
          <w:rFonts w:cs="Arial"/>
          <w:szCs w:val="18"/>
          <w:lang w:val="en-GB"/>
        </w:rPr>
        <w:t xml:space="preserve"> </w:t>
      </w:r>
      <w:r w:rsidR="00114088" w:rsidRPr="000E2069">
        <w:rPr>
          <w:rFonts w:cs="Arial"/>
          <w:szCs w:val="18"/>
          <w:lang w:val="en-GB"/>
        </w:rPr>
        <w:t>b</w:t>
      </w:r>
      <w:r w:rsidR="007D101E" w:rsidRPr="000E2069">
        <w:rPr>
          <w:rFonts w:cs="Arial"/>
          <w:szCs w:val="18"/>
          <w:lang w:val="en-GB"/>
        </w:rPr>
        <w:t xml:space="preserve">y a growth of gross </w:t>
      </w:r>
      <w:r w:rsidR="00114088" w:rsidRPr="000E2069">
        <w:rPr>
          <w:rFonts w:cs="Arial"/>
          <w:szCs w:val="18"/>
          <w:lang w:val="en-GB"/>
        </w:rPr>
        <w:t>capital</w:t>
      </w:r>
      <w:r w:rsidR="002E7FB0">
        <w:rPr>
          <w:rFonts w:cs="Arial"/>
          <w:szCs w:val="18"/>
          <w:lang w:val="en-GB"/>
        </w:rPr>
        <w:t xml:space="preserve"> formation</w:t>
      </w:r>
      <w:r w:rsidR="007D101E" w:rsidRPr="000E2069">
        <w:rPr>
          <w:rFonts w:cs="Arial"/>
          <w:szCs w:val="18"/>
          <w:lang w:val="en-GB"/>
        </w:rPr>
        <w:t xml:space="preserve"> </w:t>
      </w:r>
      <w:r w:rsidR="00C44192" w:rsidRPr="000E2069">
        <w:rPr>
          <w:rFonts w:cs="Arial"/>
          <w:szCs w:val="18"/>
          <w:lang w:val="en-GB"/>
        </w:rPr>
        <w:t>(0</w:t>
      </w:r>
      <w:r w:rsidR="007D101E" w:rsidRPr="000E2069">
        <w:rPr>
          <w:rFonts w:cs="Arial"/>
          <w:szCs w:val="18"/>
          <w:lang w:val="en-GB"/>
        </w:rPr>
        <w:t>.</w:t>
      </w:r>
      <w:r w:rsidR="00C44192" w:rsidRPr="000E2069">
        <w:rPr>
          <w:rFonts w:cs="Arial"/>
          <w:szCs w:val="18"/>
          <w:lang w:val="en-GB"/>
        </w:rPr>
        <w:t>3</w:t>
      </w:r>
      <w:r w:rsidR="007D101E" w:rsidRPr="000E2069">
        <w:rPr>
          <w:rFonts w:cs="Arial"/>
          <w:szCs w:val="18"/>
          <w:lang w:val="en-GB"/>
        </w:rPr>
        <w:t> </w:t>
      </w:r>
      <w:r w:rsidR="00C44192" w:rsidRPr="000E2069">
        <w:rPr>
          <w:rFonts w:cs="Arial"/>
          <w:szCs w:val="18"/>
          <w:lang w:val="en-GB"/>
        </w:rPr>
        <w:t>p.</w:t>
      </w:r>
      <w:r w:rsidR="007D101E" w:rsidRPr="000E2069">
        <w:rPr>
          <w:rFonts w:cs="Arial"/>
          <w:szCs w:val="18"/>
          <w:lang w:val="en-GB"/>
        </w:rPr>
        <w:t>p</w:t>
      </w:r>
      <w:r w:rsidR="00C44192" w:rsidRPr="000E2069">
        <w:rPr>
          <w:rFonts w:cs="Arial"/>
          <w:szCs w:val="18"/>
          <w:lang w:val="en-GB"/>
        </w:rPr>
        <w:t>.)</w:t>
      </w:r>
      <w:r w:rsidR="007D101E" w:rsidRPr="000E2069">
        <w:rPr>
          <w:rFonts w:cs="Arial"/>
          <w:szCs w:val="18"/>
          <w:lang w:val="en-GB"/>
        </w:rPr>
        <w:t xml:space="preserve">, </w:t>
      </w:r>
      <w:r w:rsidR="002E7FB0">
        <w:rPr>
          <w:rFonts w:cs="Arial"/>
          <w:szCs w:val="18"/>
          <w:lang w:val="en-GB"/>
        </w:rPr>
        <w:t>and </w:t>
      </w:r>
      <w:r w:rsidR="007D101E" w:rsidRPr="000E2069">
        <w:rPr>
          <w:rFonts w:cs="Arial"/>
          <w:szCs w:val="18"/>
          <w:lang w:val="en-GB"/>
        </w:rPr>
        <w:t xml:space="preserve">by household </w:t>
      </w:r>
      <w:r w:rsidR="00C44192" w:rsidRPr="000E2069">
        <w:rPr>
          <w:rFonts w:cs="Arial"/>
          <w:szCs w:val="18"/>
          <w:lang w:val="en-GB"/>
        </w:rPr>
        <w:t>a</w:t>
      </w:r>
      <w:r w:rsidR="007D101E" w:rsidRPr="000E2069">
        <w:rPr>
          <w:rFonts w:cs="Arial"/>
          <w:szCs w:val="18"/>
          <w:lang w:val="en-GB"/>
        </w:rPr>
        <w:t>nd</w:t>
      </w:r>
      <w:r w:rsidR="002F79DB" w:rsidRPr="000E2069">
        <w:rPr>
          <w:rFonts w:cs="Arial"/>
          <w:szCs w:val="18"/>
          <w:lang w:val="en-GB"/>
        </w:rPr>
        <w:t xml:space="preserve"> </w:t>
      </w:r>
      <w:r w:rsidR="007D101E" w:rsidRPr="000E2069">
        <w:rPr>
          <w:rFonts w:cs="Arial"/>
          <w:szCs w:val="18"/>
          <w:lang w:val="en-GB"/>
        </w:rPr>
        <w:t xml:space="preserve">government </w:t>
      </w:r>
      <w:r w:rsidR="002E7FB0" w:rsidRPr="000E2069">
        <w:rPr>
          <w:rFonts w:cs="Arial"/>
          <w:szCs w:val="18"/>
          <w:lang w:val="en-GB"/>
        </w:rPr>
        <w:t xml:space="preserve">final consumption expenditure </w:t>
      </w:r>
      <w:r w:rsidR="007D101E" w:rsidRPr="000E2069">
        <w:rPr>
          <w:rFonts w:cs="Arial"/>
          <w:szCs w:val="18"/>
          <w:lang w:val="en-GB"/>
        </w:rPr>
        <w:t xml:space="preserve">at identical value </w:t>
      </w:r>
      <w:r w:rsidR="00C44192" w:rsidRPr="000E2069">
        <w:rPr>
          <w:rFonts w:cs="Arial"/>
          <w:szCs w:val="18"/>
          <w:lang w:val="en-GB"/>
        </w:rPr>
        <w:t>(0</w:t>
      </w:r>
      <w:r w:rsidR="007D101E" w:rsidRPr="000E2069">
        <w:rPr>
          <w:rFonts w:cs="Arial"/>
          <w:szCs w:val="18"/>
          <w:lang w:val="en-GB"/>
        </w:rPr>
        <w:t>.</w:t>
      </w:r>
      <w:r w:rsidR="00C44192" w:rsidRPr="000E2069">
        <w:rPr>
          <w:rFonts w:cs="Arial"/>
          <w:szCs w:val="18"/>
          <w:lang w:val="en-GB"/>
        </w:rPr>
        <w:t>2 p.</w:t>
      </w:r>
      <w:r w:rsidR="007D101E" w:rsidRPr="000E2069">
        <w:rPr>
          <w:rFonts w:cs="Arial"/>
          <w:szCs w:val="18"/>
          <w:lang w:val="en-GB"/>
        </w:rPr>
        <w:t>p</w:t>
      </w:r>
      <w:r w:rsidR="00C44192" w:rsidRPr="000E2069">
        <w:rPr>
          <w:rFonts w:cs="Arial"/>
          <w:szCs w:val="18"/>
          <w:lang w:val="en-GB"/>
        </w:rPr>
        <w:t xml:space="preserve">.). </w:t>
      </w:r>
      <w:r w:rsidR="002E7FB0">
        <w:rPr>
          <w:rFonts w:cs="Arial"/>
          <w:szCs w:val="18"/>
          <w:lang w:val="en-GB"/>
        </w:rPr>
        <w:t>In </w:t>
      </w:r>
      <w:r w:rsidR="007D101E" w:rsidRPr="000E2069">
        <w:rPr>
          <w:rFonts w:cs="Arial"/>
          <w:b/>
          <w:szCs w:val="18"/>
          <w:lang w:val="en-GB"/>
        </w:rPr>
        <w:t>Q</w:t>
      </w:r>
      <w:r w:rsidR="00C44192" w:rsidRPr="000E2069">
        <w:rPr>
          <w:rFonts w:cs="Arial"/>
          <w:b/>
          <w:szCs w:val="18"/>
          <w:lang w:val="en-GB"/>
        </w:rPr>
        <w:t>4</w:t>
      </w:r>
      <w:r w:rsidR="007D101E" w:rsidRPr="000E2069">
        <w:rPr>
          <w:rFonts w:cs="Arial"/>
          <w:b/>
          <w:szCs w:val="18"/>
          <w:lang w:val="en-GB"/>
        </w:rPr>
        <w:t> 20</w:t>
      </w:r>
      <w:r w:rsidR="00114088" w:rsidRPr="000E2069">
        <w:rPr>
          <w:rFonts w:cs="Arial"/>
          <w:b/>
          <w:szCs w:val="18"/>
          <w:lang w:val="en-GB"/>
        </w:rPr>
        <w:t>1</w:t>
      </w:r>
      <w:r w:rsidR="007D101E" w:rsidRPr="000E2069">
        <w:rPr>
          <w:rFonts w:cs="Arial"/>
          <w:b/>
          <w:szCs w:val="18"/>
          <w:lang w:val="en-GB"/>
        </w:rPr>
        <w:t xml:space="preserve">4 </w:t>
      </w:r>
      <w:r w:rsidR="007D101E" w:rsidRPr="000E2069">
        <w:rPr>
          <w:rFonts w:cs="Arial"/>
          <w:szCs w:val="18"/>
          <w:lang w:val="en-GB"/>
        </w:rPr>
        <w:t xml:space="preserve">the </w:t>
      </w:r>
      <w:r w:rsidR="00114088" w:rsidRPr="000E2069">
        <w:rPr>
          <w:rFonts w:cs="Arial"/>
          <w:szCs w:val="18"/>
          <w:lang w:val="en-GB"/>
        </w:rPr>
        <w:t xml:space="preserve">GDP </w:t>
      </w:r>
      <w:r w:rsidR="007D101E" w:rsidRPr="000E2069">
        <w:rPr>
          <w:rFonts w:cs="Arial"/>
          <w:szCs w:val="18"/>
          <w:lang w:val="en-GB"/>
        </w:rPr>
        <w:t xml:space="preserve">growth attained </w:t>
      </w:r>
      <w:r w:rsidR="00C44192" w:rsidRPr="000E2069">
        <w:rPr>
          <w:rFonts w:cs="Arial"/>
          <w:b/>
          <w:szCs w:val="18"/>
          <w:lang w:val="en-GB"/>
        </w:rPr>
        <w:t>1</w:t>
      </w:r>
      <w:r w:rsidR="007D101E" w:rsidRPr="000E2069">
        <w:rPr>
          <w:rFonts w:cs="Arial"/>
          <w:b/>
          <w:szCs w:val="18"/>
          <w:lang w:val="en-GB"/>
        </w:rPr>
        <w:t>.</w:t>
      </w:r>
      <w:r w:rsidR="00C44192" w:rsidRPr="000E2069">
        <w:rPr>
          <w:rFonts w:cs="Arial"/>
          <w:b/>
          <w:szCs w:val="18"/>
          <w:lang w:val="en-GB"/>
        </w:rPr>
        <w:t>5%</w:t>
      </w:r>
      <w:r w:rsidR="007D101E" w:rsidRPr="000E2069">
        <w:rPr>
          <w:rFonts w:cs="Arial"/>
          <w:b/>
          <w:szCs w:val="18"/>
          <w:lang w:val="en-GB"/>
        </w:rPr>
        <w:t>,</w:t>
      </w:r>
      <w:r w:rsidR="00C44192" w:rsidRPr="000E2069">
        <w:rPr>
          <w:rFonts w:cs="Arial"/>
          <w:b/>
          <w:szCs w:val="18"/>
          <w:lang w:val="en-GB"/>
        </w:rPr>
        <w:t xml:space="preserve"> </w:t>
      </w:r>
      <w:r w:rsidR="007D101E" w:rsidRPr="000E2069">
        <w:rPr>
          <w:rFonts w:cs="Arial"/>
          <w:b/>
          <w:szCs w:val="18"/>
          <w:lang w:val="en-GB"/>
        </w:rPr>
        <w:t>y-o-y</w:t>
      </w:r>
      <w:r w:rsidR="007D101E" w:rsidRPr="000E2069">
        <w:rPr>
          <w:rFonts w:cs="Arial"/>
          <w:szCs w:val="18"/>
          <w:lang w:val="en-GB"/>
        </w:rPr>
        <w:t xml:space="preserve"> and </w:t>
      </w:r>
      <w:r w:rsidR="00C44192" w:rsidRPr="000E2069">
        <w:rPr>
          <w:rFonts w:cs="Arial"/>
          <w:b/>
          <w:szCs w:val="18"/>
          <w:lang w:val="en-GB"/>
        </w:rPr>
        <w:t>0</w:t>
      </w:r>
      <w:r w:rsidR="007D101E" w:rsidRPr="000E2069">
        <w:rPr>
          <w:rFonts w:cs="Arial"/>
          <w:b/>
          <w:szCs w:val="18"/>
          <w:lang w:val="en-GB"/>
        </w:rPr>
        <w:t>.</w:t>
      </w:r>
      <w:r w:rsidR="00C44192" w:rsidRPr="000E2069">
        <w:rPr>
          <w:rFonts w:cs="Arial"/>
          <w:b/>
          <w:szCs w:val="18"/>
          <w:lang w:val="en-GB"/>
        </w:rPr>
        <w:t>4%</w:t>
      </w:r>
      <w:r w:rsidR="007D101E" w:rsidRPr="000E2069">
        <w:rPr>
          <w:rFonts w:cs="Arial"/>
          <w:b/>
          <w:szCs w:val="18"/>
          <w:lang w:val="en-GB"/>
        </w:rPr>
        <w:t>, q-o-q</w:t>
      </w:r>
      <w:r w:rsidR="00C44192" w:rsidRPr="000E2069">
        <w:rPr>
          <w:rFonts w:cs="Arial"/>
          <w:szCs w:val="18"/>
          <w:lang w:val="en-GB"/>
        </w:rPr>
        <w:t>.</w:t>
      </w:r>
    </w:p>
    <w:p w:rsidR="009214F3" w:rsidRPr="000E2069" w:rsidRDefault="00114088" w:rsidP="009214F3">
      <w:pPr>
        <w:spacing w:before="240"/>
        <w:rPr>
          <w:lang w:val="en-GB"/>
        </w:rPr>
      </w:pPr>
      <w:r w:rsidRPr="000E2069">
        <w:rPr>
          <w:b/>
          <w:lang w:val="en-GB"/>
        </w:rPr>
        <w:t xml:space="preserve">Gross domestic product development </w:t>
      </w:r>
      <w:r w:rsidR="002E7FB0">
        <w:rPr>
          <w:b/>
          <w:lang w:val="en-GB"/>
        </w:rPr>
        <w:t xml:space="preserve">in </w:t>
      </w:r>
      <w:r w:rsidR="002E7FB0" w:rsidRPr="00E83382">
        <w:rPr>
          <w:b/>
          <w:lang w:val="en-GB"/>
        </w:rPr>
        <w:t>%</w:t>
      </w:r>
      <w:r w:rsidR="009214F3" w:rsidRPr="000E2069">
        <w:rPr>
          <w:b/>
          <w:lang w:val="en-GB"/>
        </w:rPr>
        <w:t xml:space="preserve"> </w:t>
      </w:r>
      <w:r w:rsidR="009214F3" w:rsidRPr="000E2069">
        <w:rPr>
          <w:lang w:val="en-GB"/>
        </w:rPr>
        <w:t>(</w:t>
      </w:r>
      <w:r w:rsidRPr="000E2069">
        <w:rPr>
          <w:lang w:val="en-GB"/>
        </w:rPr>
        <w:t>adjusted for price, seasonal, and calendar effects</w:t>
      </w:r>
      <w:r w:rsidR="009214F3" w:rsidRPr="000E2069">
        <w:rPr>
          <w:lang w:val="en-GB"/>
        </w:rPr>
        <w:t xml:space="preserve">) 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219"/>
        <w:gridCol w:w="1219"/>
        <w:gridCol w:w="1219"/>
        <w:gridCol w:w="1219"/>
        <w:gridCol w:w="1219"/>
      </w:tblGrid>
      <w:tr w:rsidR="009214F3" w:rsidRPr="000E2069" w:rsidTr="00114088">
        <w:tc>
          <w:tcPr>
            <w:tcW w:w="2410" w:type="dxa"/>
          </w:tcPr>
          <w:p w:rsidR="009214F3" w:rsidRPr="000E2069" w:rsidRDefault="009214F3" w:rsidP="001F7E3A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</w:tcPr>
          <w:p w:rsidR="009214F3" w:rsidRPr="000E2069" w:rsidRDefault="00114088" w:rsidP="001140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Q</w:t>
            </w:r>
            <w:r w:rsidR="009214F3" w:rsidRPr="000E2069">
              <w:rPr>
                <w:rFonts w:cs="Arial"/>
                <w:sz w:val="18"/>
                <w:szCs w:val="18"/>
                <w:lang w:val="en-GB"/>
              </w:rPr>
              <w:t>1</w:t>
            </w:r>
            <w:r w:rsidRPr="000E2069">
              <w:rPr>
                <w:rFonts w:cs="Arial"/>
                <w:sz w:val="18"/>
                <w:szCs w:val="18"/>
                <w:lang w:val="en-GB"/>
              </w:rPr>
              <w:t> 2014</w:t>
            </w:r>
          </w:p>
        </w:tc>
        <w:tc>
          <w:tcPr>
            <w:tcW w:w="1219" w:type="dxa"/>
          </w:tcPr>
          <w:p w:rsidR="009214F3" w:rsidRPr="000E2069" w:rsidRDefault="00114088" w:rsidP="001140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Q2 2014</w:t>
            </w:r>
          </w:p>
        </w:tc>
        <w:tc>
          <w:tcPr>
            <w:tcW w:w="1219" w:type="dxa"/>
          </w:tcPr>
          <w:p w:rsidR="009214F3" w:rsidRPr="000E2069" w:rsidRDefault="00114088" w:rsidP="001140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Q3 2014</w:t>
            </w:r>
          </w:p>
        </w:tc>
        <w:tc>
          <w:tcPr>
            <w:tcW w:w="1219" w:type="dxa"/>
          </w:tcPr>
          <w:p w:rsidR="009214F3" w:rsidRPr="000E2069" w:rsidRDefault="00114088" w:rsidP="0011408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Q4 2014</w:t>
            </w:r>
          </w:p>
        </w:tc>
        <w:tc>
          <w:tcPr>
            <w:tcW w:w="1219" w:type="dxa"/>
          </w:tcPr>
          <w:p w:rsidR="009214F3" w:rsidRPr="000E2069" w:rsidRDefault="002E7FB0" w:rsidP="006755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Y</w:t>
            </w:r>
            <w:r w:rsidR="00114088" w:rsidRPr="000E2069">
              <w:rPr>
                <w:rFonts w:cs="Arial"/>
                <w:sz w:val="18"/>
                <w:szCs w:val="18"/>
                <w:lang w:val="en-GB"/>
              </w:rPr>
              <w:t>ear</w:t>
            </w:r>
            <w:r w:rsidR="009214F3" w:rsidRPr="000E2069">
              <w:rPr>
                <w:rFonts w:cs="Arial"/>
                <w:sz w:val="18"/>
                <w:szCs w:val="18"/>
                <w:lang w:val="en-GB"/>
              </w:rPr>
              <w:t xml:space="preserve"> 201</w:t>
            </w:r>
            <w:r w:rsidR="0067555B" w:rsidRPr="000E2069">
              <w:rPr>
                <w:rFonts w:cs="Arial"/>
                <w:sz w:val="18"/>
                <w:szCs w:val="18"/>
                <w:lang w:val="en-GB"/>
              </w:rPr>
              <w:t>4</w:t>
            </w:r>
          </w:p>
        </w:tc>
      </w:tr>
      <w:tr w:rsidR="009214F3" w:rsidRPr="000E2069" w:rsidTr="00114088">
        <w:tc>
          <w:tcPr>
            <w:tcW w:w="2410" w:type="dxa"/>
          </w:tcPr>
          <w:p w:rsidR="009214F3" w:rsidRPr="000E2069" w:rsidRDefault="00114088" w:rsidP="00114088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 xml:space="preserve">Compared to the same quarter of </w:t>
            </w:r>
            <w:r w:rsidR="009214F3" w:rsidRPr="000E2069">
              <w:rPr>
                <w:rFonts w:cs="Arial"/>
                <w:sz w:val="18"/>
                <w:szCs w:val="18"/>
                <w:lang w:val="en-GB"/>
              </w:rPr>
              <w:t>201</w:t>
            </w:r>
            <w:r w:rsidR="0067555B" w:rsidRPr="000E2069"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219" w:type="dxa"/>
            <w:vAlign w:val="center"/>
          </w:tcPr>
          <w:p w:rsidR="009214F3" w:rsidRPr="000E2069" w:rsidRDefault="0067555B" w:rsidP="00114088">
            <w:pPr>
              <w:tabs>
                <w:tab w:val="left" w:pos="799"/>
              </w:tabs>
              <w:autoSpaceDE w:val="0"/>
              <w:autoSpaceDN w:val="0"/>
              <w:adjustRightInd w:val="0"/>
              <w:ind w:right="18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+</w:t>
            </w:r>
            <w:r w:rsidR="00114088" w:rsidRPr="000E2069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0E2069">
              <w:rPr>
                <w:rFonts w:cs="Arial"/>
                <w:sz w:val="18"/>
                <w:szCs w:val="18"/>
                <w:lang w:val="en-GB"/>
              </w:rPr>
              <w:t>2</w:t>
            </w:r>
            <w:r w:rsidR="00114088" w:rsidRPr="000E2069">
              <w:rPr>
                <w:rFonts w:cs="Arial"/>
                <w:sz w:val="18"/>
                <w:szCs w:val="18"/>
                <w:lang w:val="en-GB"/>
              </w:rPr>
              <w:t>.</w:t>
            </w:r>
            <w:r w:rsidRPr="000E2069"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219" w:type="dxa"/>
            <w:vAlign w:val="center"/>
          </w:tcPr>
          <w:p w:rsidR="009214F3" w:rsidRPr="000E2069" w:rsidRDefault="00EA73FA" w:rsidP="00114088">
            <w:pPr>
              <w:tabs>
                <w:tab w:val="left" w:pos="799"/>
              </w:tabs>
              <w:autoSpaceDE w:val="0"/>
              <w:autoSpaceDN w:val="0"/>
              <w:adjustRightInd w:val="0"/>
              <w:ind w:right="18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+</w:t>
            </w:r>
            <w:r w:rsidR="00114088" w:rsidRPr="000E2069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0E2069">
              <w:rPr>
                <w:rFonts w:cs="Arial"/>
                <w:sz w:val="18"/>
                <w:szCs w:val="18"/>
                <w:lang w:val="en-GB"/>
              </w:rPr>
              <w:t>2</w:t>
            </w:r>
            <w:r w:rsidR="00114088" w:rsidRPr="000E2069">
              <w:rPr>
                <w:rFonts w:cs="Arial"/>
                <w:sz w:val="18"/>
                <w:szCs w:val="18"/>
                <w:lang w:val="en-GB"/>
              </w:rPr>
              <w:t>.</w:t>
            </w:r>
            <w:r w:rsidRPr="000E2069">
              <w:rPr>
                <w:rFonts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219" w:type="dxa"/>
            <w:vAlign w:val="center"/>
          </w:tcPr>
          <w:p w:rsidR="009214F3" w:rsidRPr="000E2069" w:rsidRDefault="00EA73FA" w:rsidP="00114088">
            <w:pPr>
              <w:tabs>
                <w:tab w:val="left" w:pos="799"/>
              </w:tabs>
              <w:autoSpaceDE w:val="0"/>
              <w:autoSpaceDN w:val="0"/>
              <w:adjustRightInd w:val="0"/>
              <w:ind w:right="18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+</w:t>
            </w:r>
            <w:r w:rsidR="00114088" w:rsidRPr="000E2069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0E2069">
              <w:rPr>
                <w:rFonts w:cs="Arial"/>
                <w:sz w:val="18"/>
                <w:szCs w:val="18"/>
                <w:lang w:val="en-GB"/>
              </w:rPr>
              <w:t>2</w:t>
            </w:r>
            <w:r w:rsidR="00114088" w:rsidRPr="000E2069">
              <w:rPr>
                <w:rFonts w:cs="Arial"/>
                <w:sz w:val="18"/>
                <w:szCs w:val="18"/>
                <w:lang w:val="en-GB"/>
              </w:rPr>
              <w:t>.</w:t>
            </w:r>
            <w:r w:rsidRPr="000E2069"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219" w:type="dxa"/>
            <w:vAlign w:val="center"/>
          </w:tcPr>
          <w:p w:rsidR="009214F3" w:rsidRPr="000E2069" w:rsidRDefault="00EA73FA" w:rsidP="00114088">
            <w:pPr>
              <w:tabs>
                <w:tab w:val="left" w:pos="799"/>
              </w:tabs>
              <w:autoSpaceDE w:val="0"/>
              <w:autoSpaceDN w:val="0"/>
              <w:adjustRightInd w:val="0"/>
              <w:ind w:right="18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+</w:t>
            </w:r>
            <w:r w:rsidR="00114088" w:rsidRPr="000E2069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0E2069">
              <w:rPr>
                <w:rFonts w:cs="Arial"/>
                <w:sz w:val="18"/>
                <w:szCs w:val="18"/>
                <w:lang w:val="en-GB"/>
              </w:rPr>
              <w:t>1</w:t>
            </w:r>
            <w:r w:rsidR="00114088" w:rsidRPr="000E2069">
              <w:rPr>
                <w:rFonts w:cs="Arial"/>
                <w:sz w:val="18"/>
                <w:szCs w:val="18"/>
                <w:lang w:val="en-GB"/>
              </w:rPr>
              <w:t>.</w:t>
            </w:r>
            <w:r w:rsidRPr="000E2069">
              <w:rPr>
                <w:rFonts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1219" w:type="dxa"/>
            <w:vAlign w:val="center"/>
          </w:tcPr>
          <w:p w:rsidR="009214F3" w:rsidRPr="000E2069" w:rsidRDefault="00EA73FA" w:rsidP="00114088">
            <w:pPr>
              <w:tabs>
                <w:tab w:val="left" w:pos="799"/>
              </w:tabs>
              <w:autoSpaceDE w:val="0"/>
              <w:autoSpaceDN w:val="0"/>
              <w:adjustRightInd w:val="0"/>
              <w:ind w:right="18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+</w:t>
            </w:r>
            <w:r w:rsidR="00114088" w:rsidRPr="000E2069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0E2069">
              <w:rPr>
                <w:rFonts w:cs="Arial"/>
                <w:sz w:val="18"/>
                <w:szCs w:val="18"/>
                <w:lang w:val="en-GB"/>
              </w:rPr>
              <w:t>2</w:t>
            </w:r>
            <w:r w:rsidR="00114088" w:rsidRPr="000E2069">
              <w:rPr>
                <w:rFonts w:cs="Arial"/>
                <w:sz w:val="18"/>
                <w:szCs w:val="18"/>
                <w:lang w:val="en-GB"/>
              </w:rPr>
              <w:t>.</w:t>
            </w:r>
            <w:r w:rsidRPr="000E2069">
              <w:rPr>
                <w:rFonts w:cs="Arial"/>
                <w:sz w:val="18"/>
                <w:szCs w:val="18"/>
                <w:lang w:val="en-GB"/>
              </w:rPr>
              <w:t>0</w:t>
            </w:r>
          </w:p>
        </w:tc>
      </w:tr>
      <w:tr w:rsidR="009214F3" w:rsidRPr="000E2069" w:rsidTr="00114088">
        <w:tc>
          <w:tcPr>
            <w:tcW w:w="2410" w:type="dxa"/>
          </w:tcPr>
          <w:p w:rsidR="009214F3" w:rsidRPr="000E2069" w:rsidRDefault="00114088" w:rsidP="00114088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Compared to the previous quarter</w:t>
            </w:r>
          </w:p>
        </w:tc>
        <w:tc>
          <w:tcPr>
            <w:tcW w:w="1219" w:type="dxa"/>
            <w:vAlign w:val="center"/>
          </w:tcPr>
          <w:p w:rsidR="009214F3" w:rsidRPr="000E2069" w:rsidRDefault="00EA73FA" w:rsidP="00114088">
            <w:pPr>
              <w:tabs>
                <w:tab w:val="left" w:pos="799"/>
              </w:tabs>
              <w:autoSpaceDE w:val="0"/>
              <w:autoSpaceDN w:val="0"/>
              <w:adjustRightInd w:val="0"/>
              <w:ind w:right="18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+</w:t>
            </w:r>
            <w:r w:rsidR="00114088" w:rsidRPr="000E2069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0E2069">
              <w:rPr>
                <w:rFonts w:cs="Arial"/>
                <w:sz w:val="18"/>
                <w:szCs w:val="18"/>
                <w:lang w:val="en-GB"/>
              </w:rPr>
              <w:t>0</w:t>
            </w:r>
            <w:r w:rsidR="00114088" w:rsidRPr="000E2069">
              <w:rPr>
                <w:rFonts w:cs="Arial"/>
                <w:sz w:val="18"/>
                <w:szCs w:val="18"/>
                <w:lang w:val="en-GB"/>
              </w:rPr>
              <w:t>.</w:t>
            </w:r>
            <w:r w:rsidRPr="000E2069"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219" w:type="dxa"/>
            <w:vAlign w:val="center"/>
          </w:tcPr>
          <w:p w:rsidR="009214F3" w:rsidRPr="000E2069" w:rsidRDefault="00EA73FA" w:rsidP="00114088">
            <w:pPr>
              <w:tabs>
                <w:tab w:val="left" w:pos="799"/>
              </w:tabs>
              <w:autoSpaceDE w:val="0"/>
              <w:autoSpaceDN w:val="0"/>
              <w:adjustRightInd w:val="0"/>
              <w:ind w:right="18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+</w:t>
            </w:r>
            <w:r w:rsidR="00114088" w:rsidRPr="000E2069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0E2069">
              <w:rPr>
                <w:rFonts w:cs="Arial"/>
                <w:sz w:val="18"/>
                <w:szCs w:val="18"/>
                <w:lang w:val="en-GB"/>
              </w:rPr>
              <w:t>0</w:t>
            </w:r>
            <w:r w:rsidR="00114088" w:rsidRPr="000E2069">
              <w:rPr>
                <w:rFonts w:cs="Arial"/>
                <w:sz w:val="18"/>
                <w:szCs w:val="18"/>
                <w:lang w:val="en-GB"/>
              </w:rPr>
              <w:t>.</w:t>
            </w:r>
            <w:r w:rsidRPr="000E2069"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219" w:type="dxa"/>
            <w:vAlign w:val="center"/>
          </w:tcPr>
          <w:p w:rsidR="009214F3" w:rsidRPr="000E2069" w:rsidRDefault="00EA73FA" w:rsidP="00114088">
            <w:pPr>
              <w:tabs>
                <w:tab w:val="left" w:pos="799"/>
              </w:tabs>
              <w:autoSpaceDE w:val="0"/>
              <w:autoSpaceDN w:val="0"/>
              <w:adjustRightInd w:val="0"/>
              <w:ind w:right="18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+</w:t>
            </w:r>
            <w:r w:rsidR="00114088" w:rsidRPr="000E2069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0E2069">
              <w:rPr>
                <w:rFonts w:cs="Arial"/>
                <w:sz w:val="18"/>
                <w:szCs w:val="18"/>
                <w:lang w:val="en-GB"/>
              </w:rPr>
              <w:t>0</w:t>
            </w:r>
            <w:r w:rsidR="00114088" w:rsidRPr="000E2069">
              <w:rPr>
                <w:rFonts w:cs="Arial"/>
                <w:sz w:val="18"/>
                <w:szCs w:val="18"/>
                <w:lang w:val="en-GB"/>
              </w:rPr>
              <w:t>.</w:t>
            </w:r>
            <w:r w:rsidRPr="000E2069">
              <w:rPr>
                <w:rFonts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219" w:type="dxa"/>
            <w:vAlign w:val="center"/>
          </w:tcPr>
          <w:p w:rsidR="009214F3" w:rsidRPr="000E2069" w:rsidRDefault="009214F3" w:rsidP="00114088">
            <w:pPr>
              <w:tabs>
                <w:tab w:val="left" w:pos="799"/>
              </w:tabs>
              <w:autoSpaceDE w:val="0"/>
              <w:autoSpaceDN w:val="0"/>
              <w:adjustRightInd w:val="0"/>
              <w:ind w:right="18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+</w:t>
            </w:r>
            <w:r w:rsidR="00114088" w:rsidRPr="000E2069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EA73FA" w:rsidRPr="000E2069">
              <w:rPr>
                <w:rFonts w:cs="Arial"/>
                <w:sz w:val="18"/>
                <w:szCs w:val="18"/>
                <w:lang w:val="en-GB"/>
              </w:rPr>
              <w:t>0</w:t>
            </w:r>
            <w:r w:rsidR="00114088" w:rsidRPr="000E2069">
              <w:rPr>
                <w:rFonts w:cs="Arial"/>
                <w:sz w:val="18"/>
                <w:szCs w:val="18"/>
                <w:lang w:val="en-GB"/>
              </w:rPr>
              <w:t>.</w:t>
            </w:r>
            <w:r w:rsidR="00EA73FA" w:rsidRPr="000E2069">
              <w:rPr>
                <w:rFonts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219" w:type="dxa"/>
            <w:vAlign w:val="center"/>
          </w:tcPr>
          <w:p w:rsidR="009214F3" w:rsidRPr="000E2069" w:rsidRDefault="009214F3" w:rsidP="00114088">
            <w:pPr>
              <w:tabs>
                <w:tab w:val="left" w:pos="799"/>
              </w:tabs>
              <w:autoSpaceDE w:val="0"/>
              <w:autoSpaceDN w:val="0"/>
              <w:adjustRightInd w:val="0"/>
              <w:ind w:right="18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x</w:t>
            </w:r>
          </w:p>
        </w:tc>
      </w:tr>
    </w:tbl>
    <w:p w:rsidR="00C44192" w:rsidRPr="000E2069" w:rsidRDefault="00F06BF3" w:rsidP="007D4D92">
      <w:pPr>
        <w:spacing w:before="240"/>
        <w:rPr>
          <w:lang w:val="en-GB"/>
        </w:rPr>
      </w:pPr>
      <w:r w:rsidRPr="000E2069">
        <w:rPr>
          <w:lang w:val="en-GB"/>
        </w:rPr>
        <w:t>The quarter-on-quarter GDP development and</w:t>
      </w:r>
      <w:r w:rsidR="00707513">
        <w:rPr>
          <w:lang w:val="en-GB"/>
        </w:rPr>
        <w:t>,</w:t>
      </w:r>
      <w:r w:rsidRPr="000E2069">
        <w:rPr>
          <w:lang w:val="en-GB"/>
        </w:rPr>
        <w:t xml:space="preserve"> especially</w:t>
      </w:r>
      <w:r w:rsidR="00707513">
        <w:rPr>
          <w:lang w:val="en-GB"/>
        </w:rPr>
        <w:t>,</w:t>
      </w:r>
      <w:r w:rsidRPr="000E2069">
        <w:rPr>
          <w:lang w:val="en-GB"/>
        </w:rPr>
        <w:t xml:space="preserve"> the year-on-year one were</w:t>
      </w:r>
      <w:r w:rsidR="009214F3" w:rsidRPr="000E2069">
        <w:rPr>
          <w:lang w:val="en-GB"/>
        </w:rPr>
        <w:t xml:space="preserve">, </w:t>
      </w:r>
      <w:r w:rsidRPr="000E2069">
        <w:rPr>
          <w:lang w:val="en-GB"/>
        </w:rPr>
        <w:t xml:space="preserve">the same way as in </w:t>
      </w:r>
      <w:r w:rsidR="009214F3" w:rsidRPr="000E2069">
        <w:rPr>
          <w:lang w:val="en-GB"/>
        </w:rPr>
        <w:t>201</w:t>
      </w:r>
      <w:r w:rsidR="00FD7C6F" w:rsidRPr="000E2069">
        <w:rPr>
          <w:lang w:val="en-GB"/>
        </w:rPr>
        <w:t>3</w:t>
      </w:r>
      <w:r w:rsidR="009214F3" w:rsidRPr="000E2069">
        <w:rPr>
          <w:lang w:val="en-GB"/>
        </w:rPr>
        <w:t xml:space="preserve">, </w:t>
      </w:r>
      <w:r w:rsidRPr="000E2069">
        <w:rPr>
          <w:lang w:val="en-GB"/>
        </w:rPr>
        <w:t xml:space="preserve">substantially affected by an uneven collection of excise tax </w:t>
      </w:r>
      <w:r w:rsidR="002E7FB0">
        <w:rPr>
          <w:lang w:val="en-GB"/>
        </w:rPr>
        <w:t>on</w:t>
      </w:r>
      <w:r w:rsidRPr="000E2069">
        <w:rPr>
          <w:lang w:val="en-GB"/>
        </w:rPr>
        <w:t xml:space="preserve"> tobacco products</w:t>
      </w:r>
      <w:r w:rsidR="009214F3" w:rsidRPr="000E2069">
        <w:rPr>
          <w:lang w:val="en-GB"/>
        </w:rPr>
        <w:t xml:space="preserve">. </w:t>
      </w:r>
      <w:r w:rsidRPr="000E2069">
        <w:rPr>
          <w:lang w:val="en-GB"/>
        </w:rPr>
        <w:t xml:space="preserve">The pre-stocking of tobacco products at the end of </w:t>
      </w:r>
      <w:r w:rsidR="00FD7C6F" w:rsidRPr="000E2069">
        <w:rPr>
          <w:lang w:val="en-GB"/>
        </w:rPr>
        <w:t xml:space="preserve">2013, </w:t>
      </w:r>
      <w:r w:rsidRPr="000E2069">
        <w:rPr>
          <w:lang w:val="en-GB"/>
        </w:rPr>
        <w:t xml:space="preserve">which was not repeated in </w:t>
      </w:r>
      <w:r w:rsidR="00FD7C6F" w:rsidRPr="000E2069">
        <w:rPr>
          <w:lang w:val="en-GB"/>
        </w:rPr>
        <w:t xml:space="preserve">2014, </w:t>
      </w:r>
      <w:r w:rsidRPr="000E2069">
        <w:rPr>
          <w:lang w:val="en-GB"/>
        </w:rPr>
        <w:t xml:space="preserve">caused a significantly lower collection of excise tax in </w:t>
      </w:r>
      <w:r w:rsidR="00FD7C6F" w:rsidRPr="000E2069">
        <w:rPr>
          <w:lang w:val="en-GB"/>
        </w:rPr>
        <w:t xml:space="preserve">2014. </w:t>
      </w:r>
      <w:r w:rsidRPr="000E2069">
        <w:rPr>
          <w:lang w:val="en-GB"/>
        </w:rPr>
        <w:t>This had essential</w:t>
      </w:r>
      <w:r w:rsidR="00707513">
        <w:rPr>
          <w:lang w:val="en-GB"/>
        </w:rPr>
        <w:t>ly</w:t>
      </w:r>
      <w:r w:rsidRPr="000E2069">
        <w:rPr>
          <w:lang w:val="en-GB"/>
        </w:rPr>
        <w:t xml:space="preserve"> adverse effects on the year-on-year growth of the GDP in</w:t>
      </w:r>
      <w:r w:rsidR="00FD7C6F" w:rsidRPr="000E2069">
        <w:rPr>
          <w:lang w:val="en-GB"/>
        </w:rPr>
        <w:t xml:space="preserve"> </w:t>
      </w:r>
      <w:r w:rsidRPr="000E2069">
        <w:rPr>
          <w:lang w:val="en-GB"/>
        </w:rPr>
        <w:t>Q</w:t>
      </w:r>
      <w:r w:rsidR="00FD7C6F" w:rsidRPr="000E2069">
        <w:rPr>
          <w:lang w:val="en-GB"/>
        </w:rPr>
        <w:t>4</w:t>
      </w:r>
      <w:r w:rsidRPr="000E2069">
        <w:rPr>
          <w:lang w:val="en-GB"/>
        </w:rPr>
        <w:t> </w:t>
      </w:r>
      <w:r w:rsidR="00FD7C6F" w:rsidRPr="000E2069">
        <w:rPr>
          <w:lang w:val="en-GB"/>
        </w:rPr>
        <w:t>2014</w:t>
      </w:r>
      <w:r w:rsidRPr="000E2069">
        <w:rPr>
          <w:lang w:val="en-GB"/>
        </w:rPr>
        <w:t>, mainly</w:t>
      </w:r>
      <w:r w:rsidR="00FD7C6F" w:rsidRPr="000E2069">
        <w:rPr>
          <w:lang w:val="en-GB"/>
        </w:rPr>
        <w:t>.</w:t>
      </w:r>
    </w:p>
    <w:p w:rsidR="00C44192" w:rsidRDefault="00F06BF3" w:rsidP="007D4D92">
      <w:pPr>
        <w:spacing w:before="240"/>
        <w:rPr>
          <w:lang w:val="en-GB"/>
        </w:rPr>
      </w:pPr>
      <w:r w:rsidRPr="000E2069">
        <w:rPr>
          <w:lang w:val="en-GB"/>
        </w:rPr>
        <w:t>The economy performance measured as the</w:t>
      </w:r>
      <w:r w:rsidR="00C44192" w:rsidRPr="000E2069">
        <w:rPr>
          <w:lang w:val="en-GB"/>
        </w:rPr>
        <w:t xml:space="preserve"> </w:t>
      </w:r>
      <w:r w:rsidRPr="000E2069">
        <w:rPr>
          <w:b/>
          <w:lang w:val="en-GB"/>
        </w:rPr>
        <w:t>gross value added</w:t>
      </w:r>
      <w:r w:rsidR="00C44192" w:rsidRPr="000E2069">
        <w:rPr>
          <w:b/>
          <w:lang w:val="en-GB"/>
        </w:rPr>
        <w:t xml:space="preserve"> (</w:t>
      </w:r>
      <w:r w:rsidRPr="000E2069">
        <w:rPr>
          <w:b/>
          <w:lang w:val="en-GB"/>
        </w:rPr>
        <w:t>GVA</w:t>
      </w:r>
      <w:r w:rsidR="00C44192" w:rsidRPr="000E2069">
        <w:rPr>
          <w:b/>
          <w:lang w:val="en-GB"/>
        </w:rPr>
        <w:t>)</w:t>
      </w:r>
      <w:r w:rsidR="00C44192" w:rsidRPr="000E2069">
        <w:rPr>
          <w:lang w:val="en-GB"/>
        </w:rPr>
        <w:t xml:space="preserve"> </w:t>
      </w:r>
      <w:r w:rsidR="00E83382">
        <w:rPr>
          <w:lang w:val="en-GB"/>
        </w:rPr>
        <w:t>was growing over the </w:t>
      </w:r>
      <w:r w:rsidRPr="000E2069">
        <w:rPr>
          <w:lang w:val="en-GB"/>
        </w:rPr>
        <w:t xml:space="preserve">whole year </w:t>
      </w:r>
      <w:r w:rsidR="00C44192" w:rsidRPr="000E2069">
        <w:rPr>
          <w:lang w:val="en-GB"/>
        </w:rPr>
        <w:t xml:space="preserve">2014. </w:t>
      </w:r>
      <w:r w:rsidRPr="000E2069">
        <w:rPr>
          <w:lang w:val="en-GB"/>
        </w:rPr>
        <w:t xml:space="preserve">Compared to </w:t>
      </w:r>
      <w:r w:rsidR="00C44192" w:rsidRPr="000E2069">
        <w:rPr>
          <w:lang w:val="en-GB"/>
        </w:rPr>
        <w:t>2013</w:t>
      </w:r>
      <w:r w:rsidR="00E83382">
        <w:rPr>
          <w:lang w:val="en-GB"/>
        </w:rPr>
        <w:t>,</w:t>
      </w:r>
      <w:r w:rsidR="00C44192" w:rsidRPr="000E2069">
        <w:rPr>
          <w:lang w:val="en-GB"/>
        </w:rPr>
        <w:t xml:space="preserve"> </w:t>
      </w:r>
      <w:r w:rsidRPr="000E2069">
        <w:rPr>
          <w:lang w:val="en-GB"/>
        </w:rPr>
        <w:t>th</w:t>
      </w:r>
      <w:r w:rsidR="00C44192" w:rsidRPr="000E2069">
        <w:rPr>
          <w:lang w:val="en-GB"/>
        </w:rPr>
        <w:t xml:space="preserve">e </w:t>
      </w:r>
      <w:r w:rsidRPr="000E2069">
        <w:rPr>
          <w:lang w:val="en-GB"/>
        </w:rPr>
        <w:t>GVA</w:t>
      </w:r>
      <w:r w:rsidR="002E7FB0">
        <w:rPr>
          <w:lang w:val="en-GB"/>
        </w:rPr>
        <w:t xml:space="preserve"> in 2014</w:t>
      </w:r>
      <w:r w:rsidR="00C44192" w:rsidRPr="000E2069">
        <w:rPr>
          <w:lang w:val="en-GB"/>
        </w:rPr>
        <w:t xml:space="preserve"> </w:t>
      </w:r>
      <w:r w:rsidRPr="000E2069">
        <w:rPr>
          <w:b/>
          <w:lang w:val="en-GB"/>
        </w:rPr>
        <w:t>increased by</w:t>
      </w:r>
      <w:r w:rsidR="00C44192" w:rsidRPr="000E2069">
        <w:rPr>
          <w:b/>
          <w:lang w:val="en-GB"/>
        </w:rPr>
        <w:t xml:space="preserve"> 2</w:t>
      </w:r>
      <w:r w:rsidRPr="000E2069">
        <w:rPr>
          <w:b/>
          <w:lang w:val="en-GB"/>
        </w:rPr>
        <w:t>.</w:t>
      </w:r>
      <w:r w:rsidR="00C44192" w:rsidRPr="000E2069">
        <w:rPr>
          <w:b/>
          <w:lang w:val="en-GB"/>
        </w:rPr>
        <w:t>6%</w:t>
      </w:r>
      <w:r w:rsidR="00C44192" w:rsidRPr="000E2069">
        <w:rPr>
          <w:lang w:val="en-GB"/>
        </w:rPr>
        <w:t xml:space="preserve">. </w:t>
      </w:r>
      <w:r w:rsidRPr="000E2069">
        <w:rPr>
          <w:lang w:val="en-GB"/>
        </w:rPr>
        <w:t xml:space="preserve">The GVA growth recovered in </w:t>
      </w:r>
      <w:r w:rsidR="00220125" w:rsidRPr="000E2069">
        <w:rPr>
          <w:lang w:val="en-GB"/>
        </w:rPr>
        <w:t xml:space="preserve">2013, </w:t>
      </w:r>
      <w:r w:rsidRPr="000E2069">
        <w:rPr>
          <w:lang w:val="en-GB"/>
        </w:rPr>
        <w:t xml:space="preserve">got stabilised in </w:t>
      </w:r>
      <w:r w:rsidR="00220125" w:rsidRPr="000E2069">
        <w:rPr>
          <w:lang w:val="en-GB"/>
        </w:rPr>
        <w:t>2014</w:t>
      </w:r>
      <w:r w:rsidR="00F932C3">
        <w:rPr>
          <w:lang w:val="en-GB"/>
        </w:rPr>
        <w:t>,</w:t>
      </w:r>
      <w:r w:rsidR="00220125" w:rsidRPr="000E2069">
        <w:rPr>
          <w:lang w:val="en-GB"/>
        </w:rPr>
        <w:t xml:space="preserve"> </w:t>
      </w:r>
      <w:r w:rsidRPr="000E2069">
        <w:rPr>
          <w:lang w:val="en-GB"/>
        </w:rPr>
        <w:t xml:space="preserve">and </w:t>
      </w:r>
      <w:r w:rsidR="00F932C3" w:rsidRPr="000E2069">
        <w:rPr>
          <w:lang w:val="en-GB"/>
        </w:rPr>
        <w:t xml:space="preserve">even accelerated </w:t>
      </w:r>
      <w:r w:rsidR="00E83382">
        <w:rPr>
          <w:lang w:val="en-GB"/>
        </w:rPr>
        <w:t>at the end of 2014. The GVA in </w:t>
      </w:r>
      <w:r w:rsidRPr="000E2069">
        <w:rPr>
          <w:b/>
          <w:lang w:val="en-GB"/>
        </w:rPr>
        <w:t>Q</w:t>
      </w:r>
      <w:r w:rsidR="00C44192" w:rsidRPr="000E2069">
        <w:rPr>
          <w:b/>
          <w:lang w:val="en-GB"/>
        </w:rPr>
        <w:t>4</w:t>
      </w:r>
      <w:r w:rsidRPr="000E2069">
        <w:rPr>
          <w:b/>
          <w:lang w:val="en-GB"/>
        </w:rPr>
        <w:t> 2014</w:t>
      </w:r>
      <w:r w:rsidR="00C44192" w:rsidRPr="000E2069">
        <w:rPr>
          <w:lang w:val="en-GB"/>
        </w:rPr>
        <w:t xml:space="preserve"> </w:t>
      </w:r>
      <w:r w:rsidRPr="000E2069">
        <w:rPr>
          <w:lang w:val="en-GB"/>
        </w:rPr>
        <w:t>grew</w:t>
      </w:r>
      <w:r w:rsidR="00C44192" w:rsidRPr="000E2069">
        <w:rPr>
          <w:lang w:val="en-GB"/>
        </w:rPr>
        <w:t xml:space="preserve"> </w:t>
      </w:r>
      <w:r w:rsidRPr="000E2069">
        <w:rPr>
          <w:b/>
          <w:lang w:val="en-GB"/>
        </w:rPr>
        <w:t xml:space="preserve">by </w:t>
      </w:r>
      <w:r w:rsidR="00C44192" w:rsidRPr="000E2069">
        <w:rPr>
          <w:b/>
          <w:lang w:val="en-GB"/>
        </w:rPr>
        <w:t>1</w:t>
      </w:r>
      <w:r w:rsidRPr="000E2069">
        <w:rPr>
          <w:b/>
          <w:lang w:val="en-GB"/>
        </w:rPr>
        <w:t>.</w:t>
      </w:r>
      <w:r w:rsidR="00C44192" w:rsidRPr="000E2069">
        <w:rPr>
          <w:b/>
          <w:lang w:val="en-GB"/>
        </w:rPr>
        <w:t>1%</w:t>
      </w:r>
      <w:r w:rsidRPr="000E2069">
        <w:rPr>
          <w:b/>
          <w:lang w:val="en-GB"/>
        </w:rPr>
        <w:t>, q-o-q,</w:t>
      </w:r>
      <w:r w:rsidR="00C44192" w:rsidRPr="000E2069">
        <w:rPr>
          <w:lang w:val="en-GB"/>
        </w:rPr>
        <w:t xml:space="preserve"> a</w:t>
      </w:r>
      <w:r w:rsidRPr="000E2069">
        <w:rPr>
          <w:lang w:val="en-GB"/>
        </w:rPr>
        <w:t>nd</w:t>
      </w:r>
      <w:r w:rsidR="00C44192" w:rsidRPr="000E2069">
        <w:rPr>
          <w:lang w:val="en-GB"/>
        </w:rPr>
        <w:t xml:space="preserve"> </w:t>
      </w:r>
      <w:r w:rsidRPr="000E2069">
        <w:rPr>
          <w:b/>
          <w:lang w:val="en-GB"/>
        </w:rPr>
        <w:t>by</w:t>
      </w:r>
      <w:r w:rsidR="00ED7E90" w:rsidRPr="000E2069">
        <w:rPr>
          <w:b/>
          <w:lang w:val="en-GB"/>
        </w:rPr>
        <w:t xml:space="preserve"> </w:t>
      </w:r>
      <w:r w:rsidR="00C44192" w:rsidRPr="000E2069">
        <w:rPr>
          <w:b/>
          <w:lang w:val="en-GB"/>
        </w:rPr>
        <w:t>2</w:t>
      </w:r>
      <w:r w:rsidR="00ED7E90" w:rsidRPr="000E2069">
        <w:rPr>
          <w:b/>
          <w:lang w:val="en-GB"/>
        </w:rPr>
        <w:t>.</w:t>
      </w:r>
      <w:r w:rsidR="00C44192" w:rsidRPr="000E2069">
        <w:rPr>
          <w:b/>
          <w:lang w:val="en-GB"/>
        </w:rPr>
        <w:t>9%</w:t>
      </w:r>
      <w:r w:rsidR="00ED7E90" w:rsidRPr="000E2069">
        <w:rPr>
          <w:b/>
          <w:lang w:val="en-GB"/>
        </w:rPr>
        <w:t>, y-o-y</w:t>
      </w:r>
      <w:r w:rsidR="00C44192" w:rsidRPr="000E2069">
        <w:rPr>
          <w:lang w:val="en-GB"/>
        </w:rPr>
        <w:t xml:space="preserve">. </w:t>
      </w:r>
    </w:p>
    <w:p w:rsidR="00E83382" w:rsidRDefault="00E83382" w:rsidP="007D4D92">
      <w:pPr>
        <w:spacing w:before="240"/>
        <w:rPr>
          <w:lang w:val="en-GB"/>
        </w:rPr>
      </w:pPr>
    </w:p>
    <w:p w:rsidR="00E83382" w:rsidRDefault="00E83382" w:rsidP="007D4D92">
      <w:pPr>
        <w:spacing w:before="240"/>
        <w:rPr>
          <w:lang w:val="en-GB"/>
        </w:rPr>
      </w:pPr>
    </w:p>
    <w:p w:rsidR="00E83382" w:rsidRPr="000E2069" w:rsidRDefault="00E83382" w:rsidP="007D4D92">
      <w:pPr>
        <w:spacing w:before="240"/>
        <w:rPr>
          <w:lang w:val="en-GB"/>
        </w:rPr>
      </w:pPr>
    </w:p>
    <w:p w:rsidR="009214F3" w:rsidRPr="000E2069" w:rsidRDefault="00114088" w:rsidP="009214F3">
      <w:pPr>
        <w:spacing w:before="240"/>
        <w:rPr>
          <w:b/>
          <w:lang w:val="en-GB"/>
        </w:rPr>
      </w:pPr>
      <w:r w:rsidRPr="000E2069">
        <w:rPr>
          <w:b/>
          <w:lang w:val="en-GB"/>
        </w:rPr>
        <w:lastRenderedPageBreak/>
        <w:t xml:space="preserve">Gross value added </w:t>
      </w:r>
      <w:r w:rsidR="00ED7E90" w:rsidRPr="000E2069">
        <w:rPr>
          <w:b/>
          <w:lang w:val="en-GB"/>
        </w:rPr>
        <w:t>development</w:t>
      </w:r>
      <w:r w:rsidRPr="000E2069">
        <w:rPr>
          <w:b/>
          <w:lang w:val="en-GB"/>
        </w:rPr>
        <w:t xml:space="preserve"> </w:t>
      </w:r>
      <w:r w:rsidR="002E7FB0">
        <w:rPr>
          <w:b/>
          <w:lang w:val="en-GB"/>
        </w:rPr>
        <w:t>in %</w:t>
      </w:r>
      <w:r w:rsidRPr="000E2069">
        <w:rPr>
          <w:b/>
          <w:lang w:val="en-GB"/>
        </w:rPr>
        <w:t xml:space="preserve"> </w:t>
      </w:r>
      <w:r w:rsidR="009214F3" w:rsidRPr="000E2069">
        <w:rPr>
          <w:lang w:val="en-GB"/>
        </w:rPr>
        <w:t>(</w:t>
      </w:r>
      <w:r w:rsidRPr="000E2069">
        <w:rPr>
          <w:lang w:val="en-GB"/>
        </w:rPr>
        <w:t>adjusted for price, seasonal, and calendar effects</w:t>
      </w:r>
      <w:r w:rsidR="009214F3" w:rsidRPr="000E2069">
        <w:rPr>
          <w:lang w:val="en-GB"/>
        </w:rPr>
        <w:t xml:space="preserve">) 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114088" w:rsidRPr="000E2069" w:rsidTr="001F7E3A">
        <w:tc>
          <w:tcPr>
            <w:tcW w:w="2410" w:type="dxa"/>
          </w:tcPr>
          <w:p w:rsidR="00114088" w:rsidRPr="000E2069" w:rsidRDefault="00114088" w:rsidP="001F7E3A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114088" w:rsidRPr="000E2069" w:rsidRDefault="00114088" w:rsidP="001F7E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Q1 2014</w:t>
            </w:r>
          </w:p>
        </w:tc>
        <w:tc>
          <w:tcPr>
            <w:tcW w:w="1221" w:type="dxa"/>
          </w:tcPr>
          <w:p w:rsidR="00114088" w:rsidRPr="000E2069" w:rsidRDefault="00114088" w:rsidP="001F7E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Q2 2014</w:t>
            </w:r>
          </w:p>
        </w:tc>
        <w:tc>
          <w:tcPr>
            <w:tcW w:w="1293" w:type="dxa"/>
          </w:tcPr>
          <w:p w:rsidR="00114088" w:rsidRPr="000E2069" w:rsidRDefault="00114088" w:rsidP="001F7E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Q3 2014</w:t>
            </w:r>
          </w:p>
        </w:tc>
        <w:tc>
          <w:tcPr>
            <w:tcW w:w="1293" w:type="dxa"/>
          </w:tcPr>
          <w:p w:rsidR="00114088" w:rsidRPr="000E2069" w:rsidRDefault="00114088" w:rsidP="001F7E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Q4 2014</w:t>
            </w:r>
          </w:p>
        </w:tc>
        <w:tc>
          <w:tcPr>
            <w:tcW w:w="1154" w:type="dxa"/>
          </w:tcPr>
          <w:p w:rsidR="00114088" w:rsidRPr="000E2069" w:rsidRDefault="002E7FB0" w:rsidP="001F7E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Y</w:t>
            </w:r>
            <w:r w:rsidR="00114088" w:rsidRPr="000E2069">
              <w:rPr>
                <w:rFonts w:cs="Arial"/>
                <w:sz w:val="18"/>
                <w:szCs w:val="18"/>
                <w:lang w:val="en-GB"/>
              </w:rPr>
              <w:t>ear 2014</w:t>
            </w:r>
          </w:p>
        </w:tc>
      </w:tr>
      <w:tr w:rsidR="00114088" w:rsidRPr="000E2069" w:rsidTr="001F7E3A">
        <w:tc>
          <w:tcPr>
            <w:tcW w:w="2410" w:type="dxa"/>
          </w:tcPr>
          <w:p w:rsidR="00114088" w:rsidRPr="000E2069" w:rsidRDefault="00114088" w:rsidP="001F7E3A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Compared to the same quarter of 2013</w:t>
            </w:r>
          </w:p>
        </w:tc>
        <w:tc>
          <w:tcPr>
            <w:tcW w:w="1134" w:type="dxa"/>
            <w:vAlign w:val="center"/>
          </w:tcPr>
          <w:p w:rsidR="00114088" w:rsidRPr="000E2069" w:rsidRDefault="00114088" w:rsidP="00114088">
            <w:pPr>
              <w:tabs>
                <w:tab w:val="left" w:pos="799"/>
              </w:tabs>
              <w:autoSpaceDE w:val="0"/>
              <w:autoSpaceDN w:val="0"/>
              <w:adjustRightInd w:val="0"/>
              <w:ind w:right="18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+ 2.2</w:t>
            </w:r>
          </w:p>
        </w:tc>
        <w:tc>
          <w:tcPr>
            <w:tcW w:w="1221" w:type="dxa"/>
            <w:vAlign w:val="center"/>
          </w:tcPr>
          <w:p w:rsidR="00114088" w:rsidRPr="000E2069" w:rsidRDefault="00114088" w:rsidP="00114088">
            <w:pPr>
              <w:tabs>
                <w:tab w:val="left" w:pos="799"/>
              </w:tabs>
              <w:autoSpaceDE w:val="0"/>
              <w:autoSpaceDN w:val="0"/>
              <w:adjustRightInd w:val="0"/>
              <w:ind w:right="18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+ 2.4</w:t>
            </w:r>
          </w:p>
        </w:tc>
        <w:tc>
          <w:tcPr>
            <w:tcW w:w="1293" w:type="dxa"/>
            <w:vAlign w:val="center"/>
          </w:tcPr>
          <w:p w:rsidR="00114088" w:rsidRPr="000E2069" w:rsidRDefault="00114088" w:rsidP="00114088">
            <w:pPr>
              <w:tabs>
                <w:tab w:val="left" w:pos="799"/>
              </w:tabs>
              <w:autoSpaceDE w:val="0"/>
              <w:autoSpaceDN w:val="0"/>
              <w:adjustRightInd w:val="0"/>
              <w:ind w:right="18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+ 2.7</w:t>
            </w:r>
          </w:p>
        </w:tc>
        <w:tc>
          <w:tcPr>
            <w:tcW w:w="1293" w:type="dxa"/>
            <w:vAlign w:val="center"/>
          </w:tcPr>
          <w:p w:rsidR="00114088" w:rsidRPr="000E2069" w:rsidRDefault="00114088" w:rsidP="00114088">
            <w:pPr>
              <w:tabs>
                <w:tab w:val="left" w:pos="799"/>
              </w:tabs>
              <w:autoSpaceDE w:val="0"/>
              <w:autoSpaceDN w:val="0"/>
              <w:adjustRightInd w:val="0"/>
              <w:ind w:right="18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+ 2.9</w:t>
            </w:r>
          </w:p>
        </w:tc>
        <w:tc>
          <w:tcPr>
            <w:tcW w:w="1154" w:type="dxa"/>
            <w:vAlign w:val="center"/>
          </w:tcPr>
          <w:p w:rsidR="00114088" w:rsidRPr="000E2069" w:rsidRDefault="00114088" w:rsidP="00114088">
            <w:pPr>
              <w:tabs>
                <w:tab w:val="left" w:pos="799"/>
              </w:tabs>
              <w:autoSpaceDE w:val="0"/>
              <w:autoSpaceDN w:val="0"/>
              <w:adjustRightInd w:val="0"/>
              <w:ind w:right="18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+ 2.6</w:t>
            </w:r>
          </w:p>
        </w:tc>
      </w:tr>
      <w:tr w:rsidR="00114088" w:rsidRPr="000E2069" w:rsidTr="001F7E3A">
        <w:tc>
          <w:tcPr>
            <w:tcW w:w="2410" w:type="dxa"/>
          </w:tcPr>
          <w:p w:rsidR="00114088" w:rsidRPr="000E2069" w:rsidRDefault="00114088" w:rsidP="001F7E3A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Compared to the previous quarter</w:t>
            </w:r>
          </w:p>
        </w:tc>
        <w:tc>
          <w:tcPr>
            <w:tcW w:w="1134" w:type="dxa"/>
            <w:vAlign w:val="center"/>
          </w:tcPr>
          <w:p w:rsidR="00114088" w:rsidRPr="000E2069" w:rsidRDefault="00114088" w:rsidP="00114088">
            <w:pPr>
              <w:tabs>
                <w:tab w:val="left" w:pos="799"/>
              </w:tabs>
              <w:autoSpaceDE w:val="0"/>
              <w:autoSpaceDN w:val="0"/>
              <w:adjustRightInd w:val="0"/>
              <w:ind w:right="18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+ 0.7</w:t>
            </w:r>
          </w:p>
        </w:tc>
        <w:tc>
          <w:tcPr>
            <w:tcW w:w="1221" w:type="dxa"/>
            <w:vAlign w:val="center"/>
          </w:tcPr>
          <w:p w:rsidR="00114088" w:rsidRPr="000E2069" w:rsidRDefault="00114088" w:rsidP="00114088">
            <w:pPr>
              <w:tabs>
                <w:tab w:val="left" w:pos="799"/>
              </w:tabs>
              <w:autoSpaceDE w:val="0"/>
              <w:autoSpaceDN w:val="0"/>
              <w:adjustRightInd w:val="0"/>
              <w:ind w:right="18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+ 0.5</w:t>
            </w:r>
          </w:p>
        </w:tc>
        <w:tc>
          <w:tcPr>
            <w:tcW w:w="1293" w:type="dxa"/>
            <w:vAlign w:val="center"/>
          </w:tcPr>
          <w:p w:rsidR="00114088" w:rsidRPr="000E2069" w:rsidRDefault="00114088" w:rsidP="00114088">
            <w:pPr>
              <w:tabs>
                <w:tab w:val="left" w:pos="799"/>
              </w:tabs>
              <w:autoSpaceDE w:val="0"/>
              <w:autoSpaceDN w:val="0"/>
              <w:adjustRightInd w:val="0"/>
              <w:ind w:right="18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+ 0.5</w:t>
            </w:r>
          </w:p>
        </w:tc>
        <w:tc>
          <w:tcPr>
            <w:tcW w:w="1293" w:type="dxa"/>
            <w:vAlign w:val="center"/>
          </w:tcPr>
          <w:p w:rsidR="00114088" w:rsidRPr="000E2069" w:rsidRDefault="00114088" w:rsidP="00114088">
            <w:pPr>
              <w:tabs>
                <w:tab w:val="left" w:pos="799"/>
              </w:tabs>
              <w:autoSpaceDE w:val="0"/>
              <w:autoSpaceDN w:val="0"/>
              <w:adjustRightInd w:val="0"/>
              <w:ind w:right="18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+ 1.1</w:t>
            </w:r>
          </w:p>
        </w:tc>
        <w:tc>
          <w:tcPr>
            <w:tcW w:w="1154" w:type="dxa"/>
            <w:vAlign w:val="center"/>
          </w:tcPr>
          <w:p w:rsidR="00114088" w:rsidRPr="000E2069" w:rsidRDefault="00114088" w:rsidP="00114088">
            <w:pPr>
              <w:tabs>
                <w:tab w:val="left" w:pos="799"/>
              </w:tabs>
              <w:autoSpaceDE w:val="0"/>
              <w:autoSpaceDN w:val="0"/>
              <w:adjustRightInd w:val="0"/>
              <w:ind w:right="18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0E2069">
              <w:rPr>
                <w:rFonts w:cs="Arial"/>
                <w:sz w:val="18"/>
                <w:szCs w:val="18"/>
                <w:lang w:val="en-GB"/>
              </w:rPr>
              <w:t>x</w:t>
            </w:r>
          </w:p>
        </w:tc>
      </w:tr>
    </w:tbl>
    <w:p w:rsidR="00C41D34" w:rsidRPr="000E2069" w:rsidRDefault="00ED7E90" w:rsidP="00DD5EF9">
      <w:pPr>
        <w:spacing w:before="240"/>
        <w:rPr>
          <w:lang w:val="en-GB"/>
        </w:rPr>
      </w:pPr>
      <w:r w:rsidRPr="000E2069">
        <w:rPr>
          <w:b/>
          <w:lang w:val="en-GB"/>
        </w:rPr>
        <w:t xml:space="preserve">On the supply side </w:t>
      </w:r>
      <w:r w:rsidRPr="000E2069">
        <w:rPr>
          <w:lang w:val="en-GB"/>
        </w:rPr>
        <w:t xml:space="preserve">the economic growth in the </w:t>
      </w:r>
      <w:r w:rsidRPr="000E2069">
        <w:rPr>
          <w:b/>
          <w:lang w:val="en-GB"/>
        </w:rPr>
        <w:t>Q4 2014</w:t>
      </w:r>
      <w:r w:rsidRPr="000E2069">
        <w:rPr>
          <w:lang w:val="en-GB"/>
        </w:rPr>
        <w:t xml:space="preserve"> was driven by manufacturing, namely by manufacture of motor vehicles, trailers and semi-trailers and manufacture of machinery and equipment</w:t>
      </w:r>
      <w:r w:rsidR="00C41D34" w:rsidRPr="000E2069">
        <w:rPr>
          <w:lang w:val="en-GB"/>
        </w:rPr>
        <w:t>,</w:t>
      </w:r>
      <w:r w:rsidRPr="000E2069">
        <w:rPr>
          <w:lang w:val="en-GB"/>
        </w:rPr>
        <w:t xml:space="preserve"> </w:t>
      </w:r>
      <w:r w:rsidR="002C4D56" w:rsidRPr="000E2069">
        <w:rPr>
          <w:lang w:val="en-GB"/>
        </w:rPr>
        <w:t>manufacture of basic metals and structural me</w:t>
      </w:r>
      <w:r w:rsidR="00E83382">
        <w:rPr>
          <w:lang w:val="en-GB"/>
        </w:rPr>
        <w:t>tal product, and manufacture of </w:t>
      </w:r>
      <w:r w:rsidR="002C4D56" w:rsidRPr="000E2069">
        <w:rPr>
          <w:lang w:val="en-GB"/>
        </w:rPr>
        <w:t xml:space="preserve">rubber and plastic products in the same way as for the whole year </w:t>
      </w:r>
      <w:r w:rsidR="00211FF5" w:rsidRPr="000E2069">
        <w:rPr>
          <w:lang w:val="en-GB"/>
        </w:rPr>
        <w:t>2014</w:t>
      </w:r>
      <w:r w:rsidR="008A5C66" w:rsidRPr="000E2069">
        <w:rPr>
          <w:lang w:val="en-GB"/>
        </w:rPr>
        <w:t xml:space="preserve">. </w:t>
      </w:r>
      <w:r w:rsidR="002C4D56" w:rsidRPr="000E2069">
        <w:rPr>
          <w:lang w:val="en-GB"/>
        </w:rPr>
        <w:t xml:space="preserve">In </w:t>
      </w:r>
      <w:r w:rsidR="00F932C3">
        <w:rPr>
          <w:lang w:val="en-GB"/>
        </w:rPr>
        <w:t xml:space="preserve">the </w:t>
      </w:r>
      <w:r w:rsidR="002C4D56" w:rsidRPr="000E2069">
        <w:rPr>
          <w:lang w:val="en-GB"/>
        </w:rPr>
        <w:t xml:space="preserve">services </w:t>
      </w:r>
      <w:r w:rsidR="002E7FB0">
        <w:rPr>
          <w:lang w:val="en-GB"/>
        </w:rPr>
        <w:t>activities</w:t>
      </w:r>
      <w:r w:rsidR="002C4D56" w:rsidRPr="000E2069">
        <w:rPr>
          <w:lang w:val="en-GB"/>
        </w:rPr>
        <w:t xml:space="preserve"> the significantly growing segments were </w:t>
      </w:r>
      <w:r w:rsidR="00A81B53" w:rsidRPr="000E2069">
        <w:rPr>
          <w:lang w:val="en-GB"/>
        </w:rPr>
        <w:t xml:space="preserve">transportation </w:t>
      </w:r>
      <w:r w:rsidR="002C4D56" w:rsidRPr="000E2069">
        <w:rPr>
          <w:lang w:val="en-GB"/>
        </w:rPr>
        <w:t>and storage</w:t>
      </w:r>
      <w:r w:rsidR="00211FF5" w:rsidRPr="000E2069">
        <w:rPr>
          <w:lang w:val="en-GB"/>
        </w:rPr>
        <w:t xml:space="preserve">, </w:t>
      </w:r>
      <w:r w:rsidR="00A81B53" w:rsidRPr="000E2069">
        <w:rPr>
          <w:lang w:val="en-GB"/>
        </w:rPr>
        <w:t xml:space="preserve">wholesale </w:t>
      </w:r>
      <w:r w:rsidR="002C4D56" w:rsidRPr="000E2069">
        <w:rPr>
          <w:lang w:val="en-GB"/>
        </w:rPr>
        <w:t>and retail trade; repair of motor vehicles and motorcycles</w:t>
      </w:r>
      <w:r w:rsidR="00B46BB6" w:rsidRPr="000E2069">
        <w:rPr>
          <w:lang w:val="en-GB"/>
        </w:rPr>
        <w:t xml:space="preserve">, </w:t>
      </w:r>
      <w:r w:rsidR="00A81B53" w:rsidRPr="000E2069">
        <w:rPr>
          <w:lang w:val="en-GB"/>
        </w:rPr>
        <w:t xml:space="preserve">real </w:t>
      </w:r>
      <w:r w:rsidR="002C4D56" w:rsidRPr="000E2069">
        <w:rPr>
          <w:lang w:val="en-GB"/>
        </w:rPr>
        <w:t xml:space="preserve">estate activities, and </w:t>
      </w:r>
      <w:r w:rsidR="00A81B53" w:rsidRPr="000E2069">
        <w:rPr>
          <w:lang w:val="en-GB"/>
        </w:rPr>
        <w:t xml:space="preserve">public </w:t>
      </w:r>
      <w:r w:rsidR="002C4D56" w:rsidRPr="000E2069">
        <w:rPr>
          <w:lang w:val="en-GB"/>
        </w:rPr>
        <w:t>administration and defence; compulsory social security</w:t>
      </w:r>
      <w:r w:rsidR="00C41D34" w:rsidRPr="000E2069">
        <w:rPr>
          <w:lang w:val="en-GB"/>
        </w:rPr>
        <w:t xml:space="preserve">. </w:t>
      </w:r>
      <w:r w:rsidR="00A81B53" w:rsidRPr="000E2069">
        <w:rPr>
          <w:lang w:val="en-GB"/>
        </w:rPr>
        <w:t xml:space="preserve">Conversely, construction, agriculture, forestry and fishing, and services to enterprises </w:t>
      </w:r>
      <w:r w:rsidR="00F932C3">
        <w:rPr>
          <w:lang w:val="en-GB"/>
        </w:rPr>
        <w:t xml:space="preserve">were </w:t>
      </w:r>
      <w:r w:rsidR="00A81B53" w:rsidRPr="000E2069">
        <w:rPr>
          <w:lang w:val="en-GB"/>
        </w:rPr>
        <w:t>slightly declin</w:t>
      </w:r>
      <w:r w:rsidR="00F932C3">
        <w:rPr>
          <w:lang w:val="en-GB"/>
        </w:rPr>
        <w:t>ing</w:t>
      </w:r>
      <w:r w:rsidR="00A81B53" w:rsidRPr="000E2069">
        <w:rPr>
          <w:lang w:val="en-GB"/>
        </w:rPr>
        <w:t xml:space="preserve"> in Q</w:t>
      </w:r>
      <w:r w:rsidR="00B46BB6" w:rsidRPr="000E2069">
        <w:rPr>
          <w:lang w:val="en-GB"/>
        </w:rPr>
        <w:t>4</w:t>
      </w:r>
      <w:r w:rsidR="00A81B53" w:rsidRPr="000E2069">
        <w:rPr>
          <w:lang w:val="en-GB"/>
        </w:rPr>
        <w:t> 2014</w:t>
      </w:r>
      <w:r w:rsidR="00A81E9B" w:rsidRPr="000E2069">
        <w:rPr>
          <w:lang w:val="en-GB"/>
        </w:rPr>
        <w:t>.</w:t>
      </w:r>
      <w:r w:rsidR="00C41D34" w:rsidRPr="000E2069">
        <w:rPr>
          <w:lang w:val="en-GB"/>
        </w:rPr>
        <w:t xml:space="preserve"> </w:t>
      </w:r>
    </w:p>
    <w:p w:rsidR="00C41D34" w:rsidRPr="000E2069" w:rsidRDefault="00696720" w:rsidP="007D4D92">
      <w:pPr>
        <w:spacing w:before="240"/>
        <w:rPr>
          <w:lang w:val="en-GB"/>
        </w:rPr>
      </w:pPr>
      <w:r w:rsidRPr="000E2069">
        <w:rPr>
          <w:b/>
          <w:lang w:val="en-GB"/>
        </w:rPr>
        <w:t>On the demand side</w:t>
      </w:r>
      <w:r w:rsidR="00C41D34" w:rsidRPr="000E2069">
        <w:rPr>
          <w:lang w:val="en-GB"/>
        </w:rPr>
        <w:t xml:space="preserve"> </w:t>
      </w:r>
      <w:r w:rsidRPr="000E2069">
        <w:rPr>
          <w:lang w:val="en-GB"/>
        </w:rPr>
        <w:t xml:space="preserve">the economic growth in the </w:t>
      </w:r>
      <w:r w:rsidRPr="000E2069">
        <w:rPr>
          <w:b/>
          <w:lang w:val="en-GB"/>
        </w:rPr>
        <w:t>Q4 2014</w:t>
      </w:r>
      <w:r w:rsidRPr="000E2069">
        <w:rPr>
          <w:lang w:val="en-GB"/>
        </w:rPr>
        <w:t xml:space="preserve"> c</w:t>
      </w:r>
      <w:r w:rsidR="00E83382">
        <w:rPr>
          <w:lang w:val="en-GB"/>
        </w:rPr>
        <w:t>ontinued to be driven namely by </w:t>
      </w:r>
      <w:r w:rsidRPr="000E2069">
        <w:rPr>
          <w:lang w:val="en-GB"/>
        </w:rPr>
        <w:t>foreign demand</w:t>
      </w:r>
      <w:r w:rsidR="00C41D34" w:rsidRPr="000E2069">
        <w:rPr>
          <w:lang w:val="en-GB"/>
        </w:rPr>
        <w:t xml:space="preserve">, </w:t>
      </w:r>
      <w:r w:rsidRPr="000E2069">
        <w:rPr>
          <w:lang w:val="en-GB"/>
        </w:rPr>
        <w:t>as in the previous quarters</w:t>
      </w:r>
      <w:r w:rsidR="008F513A" w:rsidRPr="000E2069">
        <w:rPr>
          <w:lang w:val="en-GB"/>
        </w:rPr>
        <w:t>, although balance of services was reducing this effect in a significant manner due to imports advancing ahead of exports. The economic growth was</w:t>
      </w:r>
      <w:r w:rsidR="007A3377">
        <w:rPr>
          <w:lang w:val="en-GB"/>
        </w:rPr>
        <w:t>,</w:t>
      </w:r>
      <w:r w:rsidR="008F513A" w:rsidRPr="000E2069">
        <w:rPr>
          <w:lang w:val="en-GB"/>
        </w:rPr>
        <w:t xml:space="preserve"> moreover</w:t>
      </w:r>
      <w:r w:rsidR="007A3377">
        <w:rPr>
          <w:lang w:val="en-GB"/>
        </w:rPr>
        <w:t>,</w:t>
      </w:r>
      <w:r w:rsidR="008F513A" w:rsidRPr="000E2069">
        <w:rPr>
          <w:lang w:val="en-GB"/>
        </w:rPr>
        <w:t xml:space="preserve"> supported by all crucial components of the domestic demand</w:t>
      </w:r>
      <w:r w:rsidR="00C41D34" w:rsidRPr="000E2069">
        <w:rPr>
          <w:lang w:val="en-GB"/>
        </w:rPr>
        <w:t xml:space="preserve">. </w:t>
      </w:r>
      <w:r w:rsidR="008F513A" w:rsidRPr="000E2069">
        <w:rPr>
          <w:b/>
          <w:lang w:val="en-GB"/>
        </w:rPr>
        <w:t xml:space="preserve">Final consumption of households </w:t>
      </w:r>
      <w:r w:rsidR="008F513A" w:rsidRPr="000E2069">
        <w:rPr>
          <w:lang w:val="en-GB"/>
        </w:rPr>
        <w:t>in</w:t>
      </w:r>
      <w:r w:rsidR="00C41D34" w:rsidRPr="000E2069">
        <w:rPr>
          <w:lang w:val="en-GB"/>
        </w:rPr>
        <w:t xml:space="preserve"> </w:t>
      </w:r>
      <w:r w:rsidR="008F513A" w:rsidRPr="000E2069">
        <w:rPr>
          <w:lang w:val="en-GB"/>
        </w:rPr>
        <w:t>Q</w:t>
      </w:r>
      <w:r w:rsidR="00C41D34" w:rsidRPr="000E2069">
        <w:rPr>
          <w:lang w:val="en-GB"/>
        </w:rPr>
        <w:t>4</w:t>
      </w:r>
      <w:r w:rsidR="008F513A" w:rsidRPr="000E2069">
        <w:rPr>
          <w:lang w:val="en-GB"/>
        </w:rPr>
        <w:t xml:space="preserve"> 2014 increased by </w:t>
      </w:r>
      <w:r w:rsidR="00C41D34" w:rsidRPr="000E2069">
        <w:rPr>
          <w:lang w:val="en-GB"/>
        </w:rPr>
        <w:t>2</w:t>
      </w:r>
      <w:r w:rsidR="008F513A" w:rsidRPr="000E2069">
        <w:rPr>
          <w:lang w:val="en-GB"/>
        </w:rPr>
        <w:t>.</w:t>
      </w:r>
      <w:r w:rsidR="00C41D34" w:rsidRPr="000E2069">
        <w:rPr>
          <w:lang w:val="en-GB"/>
        </w:rPr>
        <w:t>0%</w:t>
      </w:r>
      <w:r w:rsidR="008F513A" w:rsidRPr="000E2069">
        <w:rPr>
          <w:lang w:val="en-GB"/>
        </w:rPr>
        <w:t>, y-o-y</w:t>
      </w:r>
      <w:r w:rsidR="00C41D34" w:rsidRPr="000E2069">
        <w:rPr>
          <w:lang w:val="en-GB"/>
        </w:rPr>
        <w:t>, a</w:t>
      </w:r>
      <w:r w:rsidR="008F513A" w:rsidRPr="000E2069">
        <w:rPr>
          <w:lang w:val="en-GB"/>
        </w:rPr>
        <w:t xml:space="preserve">nd by </w:t>
      </w:r>
      <w:r w:rsidR="00C41D34" w:rsidRPr="000E2069">
        <w:rPr>
          <w:lang w:val="en-GB"/>
        </w:rPr>
        <w:t>1</w:t>
      </w:r>
      <w:r w:rsidR="008F513A" w:rsidRPr="000E2069">
        <w:rPr>
          <w:lang w:val="en-GB"/>
        </w:rPr>
        <w:t>.</w:t>
      </w:r>
      <w:r w:rsidR="00C41D34" w:rsidRPr="000E2069">
        <w:rPr>
          <w:lang w:val="en-GB"/>
        </w:rPr>
        <w:t>2%,</w:t>
      </w:r>
      <w:r w:rsidR="008F513A" w:rsidRPr="000E2069">
        <w:rPr>
          <w:lang w:val="en-GB"/>
        </w:rPr>
        <w:t xml:space="preserve"> q-o-q, which was the highest q-o-q increase since the beginning of </w:t>
      </w:r>
      <w:r w:rsidR="00300671" w:rsidRPr="000E2069">
        <w:rPr>
          <w:lang w:val="en-GB"/>
        </w:rPr>
        <w:t xml:space="preserve">2010. </w:t>
      </w:r>
      <w:r w:rsidR="00C41D34" w:rsidRPr="000E2069">
        <w:rPr>
          <w:lang w:val="en-GB"/>
        </w:rPr>
        <w:t>Invest</w:t>
      </w:r>
      <w:r w:rsidR="008F513A" w:rsidRPr="000E2069">
        <w:rPr>
          <w:lang w:val="en-GB"/>
        </w:rPr>
        <w:t>ment activities retained their dynamics from the previous quarters</w:t>
      </w:r>
      <w:r w:rsidR="007A3377">
        <w:rPr>
          <w:lang w:val="en-GB"/>
        </w:rPr>
        <w:t>;</w:t>
      </w:r>
      <w:r w:rsidR="00C41D34" w:rsidRPr="000E2069">
        <w:rPr>
          <w:lang w:val="en-GB"/>
        </w:rPr>
        <w:t xml:space="preserve"> </w:t>
      </w:r>
      <w:r w:rsidR="008F513A" w:rsidRPr="000E2069">
        <w:rPr>
          <w:lang w:val="en-GB"/>
        </w:rPr>
        <w:t>besides the business s</w:t>
      </w:r>
      <w:r w:rsidR="002E7FB0">
        <w:rPr>
          <w:lang w:val="en-GB"/>
        </w:rPr>
        <w:t>ector</w:t>
      </w:r>
      <w:r w:rsidR="008F513A" w:rsidRPr="000E2069">
        <w:rPr>
          <w:lang w:val="en-GB"/>
        </w:rPr>
        <w:t xml:space="preserve"> the growth was supported by </w:t>
      </w:r>
      <w:r w:rsidR="007A3377">
        <w:rPr>
          <w:lang w:val="en-GB"/>
        </w:rPr>
        <w:t xml:space="preserve">the </w:t>
      </w:r>
      <w:r w:rsidR="008F513A" w:rsidRPr="000E2069">
        <w:rPr>
          <w:lang w:val="en-GB"/>
        </w:rPr>
        <w:t xml:space="preserve">general government sector as well. The </w:t>
      </w:r>
      <w:r w:rsidR="008F513A" w:rsidRPr="000E2069">
        <w:rPr>
          <w:b/>
          <w:lang w:val="en-GB"/>
        </w:rPr>
        <w:t xml:space="preserve">gross fixed capital formation </w:t>
      </w:r>
      <w:r w:rsidR="008F513A" w:rsidRPr="000E2069">
        <w:rPr>
          <w:lang w:val="en-GB"/>
        </w:rPr>
        <w:t>in Q</w:t>
      </w:r>
      <w:r w:rsidR="00300671" w:rsidRPr="000E2069">
        <w:rPr>
          <w:lang w:val="en-GB"/>
        </w:rPr>
        <w:t>4</w:t>
      </w:r>
      <w:r w:rsidR="008F513A" w:rsidRPr="000E2069">
        <w:rPr>
          <w:lang w:val="en-GB"/>
        </w:rPr>
        <w:t xml:space="preserve"> 2014 increased by </w:t>
      </w:r>
      <w:r w:rsidR="00C41D34" w:rsidRPr="000E2069">
        <w:rPr>
          <w:lang w:val="en-GB"/>
        </w:rPr>
        <w:t>4</w:t>
      </w:r>
      <w:r w:rsidR="008F513A" w:rsidRPr="000E2069">
        <w:rPr>
          <w:lang w:val="en-GB"/>
        </w:rPr>
        <w:t>.</w:t>
      </w:r>
      <w:r w:rsidR="00C41D34" w:rsidRPr="000E2069">
        <w:rPr>
          <w:lang w:val="en-GB"/>
        </w:rPr>
        <w:t>4%</w:t>
      </w:r>
      <w:r w:rsidR="008F513A" w:rsidRPr="000E2069">
        <w:rPr>
          <w:lang w:val="en-GB"/>
        </w:rPr>
        <w:t>, y-o-y,</w:t>
      </w:r>
      <w:r w:rsidR="00C41D34" w:rsidRPr="000E2069">
        <w:rPr>
          <w:lang w:val="en-GB"/>
        </w:rPr>
        <w:t xml:space="preserve"> a</w:t>
      </w:r>
      <w:r w:rsidR="008F513A" w:rsidRPr="000E2069">
        <w:rPr>
          <w:lang w:val="en-GB"/>
        </w:rPr>
        <w:t>nd by</w:t>
      </w:r>
      <w:r w:rsidR="00C41D34" w:rsidRPr="000E2069">
        <w:rPr>
          <w:lang w:val="en-GB"/>
        </w:rPr>
        <w:t xml:space="preserve"> 1</w:t>
      </w:r>
      <w:r w:rsidR="008F513A" w:rsidRPr="000E2069">
        <w:rPr>
          <w:lang w:val="en-GB"/>
        </w:rPr>
        <w:t>.</w:t>
      </w:r>
      <w:r w:rsidR="00C41D34" w:rsidRPr="000E2069">
        <w:rPr>
          <w:lang w:val="en-GB"/>
        </w:rPr>
        <w:t>2%</w:t>
      </w:r>
      <w:r w:rsidR="008F513A" w:rsidRPr="000E2069">
        <w:rPr>
          <w:lang w:val="en-GB"/>
        </w:rPr>
        <w:t>, q-o-q</w:t>
      </w:r>
      <w:r w:rsidR="00C41D34" w:rsidRPr="000E2069">
        <w:rPr>
          <w:lang w:val="en-GB"/>
        </w:rPr>
        <w:t>.</w:t>
      </w:r>
    </w:p>
    <w:p w:rsidR="00C41D34" w:rsidRPr="000E2069" w:rsidRDefault="00ED7E90" w:rsidP="00C41D34">
      <w:pPr>
        <w:spacing w:before="240"/>
        <w:rPr>
          <w:b/>
          <w:lang w:val="en-GB"/>
        </w:rPr>
      </w:pPr>
      <w:r w:rsidRPr="000E2069">
        <w:rPr>
          <w:b/>
          <w:lang w:val="en-GB"/>
        </w:rPr>
        <w:t xml:space="preserve">Structure of the demand in </w:t>
      </w:r>
      <w:r w:rsidR="00C41D34" w:rsidRPr="000E2069">
        <w:rPr>
          <w:b/>
          <w:lang w:val="en-GB"/>
        </w:rPr>
        <w:t>2014</w:t>
      </w:r>
    </w:p>
    <w:p w:rsidR="00C41D34" w:rsidRPr="000E2069" w:rsidRDefault="0090247C" w:rsidP="007D4D92">
      <w:pPr>
        <w:spacing w:before="240"/>
        <w:rPr>
          <w:lang w:val="en-GB"/>
        </w:rPr>
      </w:pPr>
      <w:r w:rsidRPr="000E2069">
        <w:rPr>
          <w:b/>
          <w:lang w:val="en-GB"/>
        </w:rPr>
        <w:t>External trade</w:t>
      </w:r>
      <w:r w:rsidRPr="000E2069">
        <w:rPr>
          <w:lang w:val="en-GB"/>
        </w:rPr>
        <w:t xml:space="preserve"> was the main drive of the growth on the demand side in 2014</w:t>
      </w:r>
      <w:r w:rsidR="00C41D34" w:rsidRPr="000E2069">
        <w:rPr>
          <w:lang w:val="en-GB"/>
        </w:rPr>
        <w:t xml:space="preserve">. </w:t>
      </w:r>
      <w:r w:rsidR="00047453">
        <w:rPr>
          <w:lang w:val="en-GB"/>
        </w:rPr>
        <w:t>The balance of </w:t>
      </w:r>
      <w:r w:rsidRPr="000E2069">
        <w:rPr>
          <w:lang w:val="en-GB"/>
        </w:rPr>
        <w:t>goods and services at current prices reached CZK </w:t>
      </w:r>
      <w:r w:rsidR="00C41D34" w:rsidRPr="000E2069">
        <w:rPr>
          <w:lang w:val="en-GB"/>
        </w:rPr>
        <w:t>292</w:t>
      </w:r>
      <w:r w:rsidRPr="000E2069">
        <w:rPr>
          <w:lang w:val="en-GB"/>
        </w:rPr>
        <w:t>.</w:t>
      </w:r>
      <w:r w:rsidR="00663E01" w:rsidRPr="000E2069">
        <w:rPr>
          <w:lang w:val="en-GB"/>
        </w:rPr>
        <w:t>6</w:t>
      </w:r>
      <w:r w:rsidRPr="000E2069">
        <w:rPr>
          <w:lang w:val="en-GB"/>
        </w:rPr>
        <w:t> billion</w:t>
      </w:r>
      <w:r w:rsidR="00537CCC" w:rsidRPr="000E2069">
        <w:rPr>
          <w:lang w:val="en-GB"/>
        </w:rPr>
        <w:t xml:space="preserve">. </w:t>
      </w:r>
      <w:r w:rsidRPr="000E2069">
        <w:rPr>
          <w:lang w:val="en-GB"/>
        </w:rPr>
        <w:t>Exports grew by</w:t>
      </w:r>
      <w:r w:rsidR="00537CCC" w:rsidRPr="000E2069">
        <w:rPr>
          <w:lang w:val="en-GB"/>
        </w:rPr>
        <w:t xml:space="preserve"> 8</w:t>
      </w:r>
      <w:r w:rsidRPr="000E2069">
        <w:rPr>
          <w:lang w:val="en-GB"/>
        </w:rPr>
        <w:t>.</w:t>
      </w:r>
      <w:r w:rsidR="00537CCC" w:rsidRPr="000E2069">
        <w:rPr>
          <w:lang w:val="en-GB"/>
        </w:rPr>
        <w:t xml:space="preserve">8%, </w:t>
      </w:r>
      <w:r w:rsidRPr="000E2069">
        <w:rPr>
          <w:lang w:val="en-GB"/>
        </w:rPr>
        <w:t xml:space="preserve">while imports increased by </w:t>
      </w:r>
      <w:r w:rsidR="00537CCC" w:rsidRPr="000E2069">
        <w:rPr>
          <w:lang w:val="en-GB"/>
        </w:rPr>
        <w:t>9</w:t>
      </w:r>
      <w:r w:rsidRPr="000E2069">
        <w:rPr>
          <w:lang w:val="en-GB"/>
        </w:rPr>
        <w:t>.</w:t>
      </w:r>
      <w:r w:rsidR="00537CCC" w:rsidRPr="000E2069">
        <w:rPr>
          <w:lang w:val="en-GB"/>
        </w:rPr>
        <w:t xml:space="preserve">6%. </w:t>
      </w:r>
      <w:r w:rsidRPr="000E2069">
        <w:rPr>
          <w:lang w:val="en-GB"/>
        </w:rPr>
        <w:t>Development in external trade prices was greatly differentiated especially due to the crude oil price effect. Export</w:t>
      </w:r>
      <w:r w:rsidR="0000717E" w:rsidRPr="000E2069">
        <w:rPr>
          <w:lang w:val="en-GB"/>
        </w:rPr>
        <w:t xml:space="preserve"> </w:t>
      </w:r>
      <w:r w:rsidRPr="000E2069">
        <w:rPr>
          <w:lang w:val="en-GB"/>
        </w:rPr>
        <w:t>prices grew by 4.0% and import prices increased by 2.4%.</w:t>
      </w:r>
      <w:r w:rsidR="00AA25BA" w:rsidRPr="000E2069">
        <w:rPr>
          <w:lang w:val="en-GB"/>
        </w:rPr>
        <w:t xml:space="preserve"> </w:t>
      </w:r>
    </w:p>
    <w:p w:rsidR="00C41D34" w:rsidRPr="000E2069" w:rsidRDefault="0000717E" w:rsidP="007D4D92">
      <w:pPr>
        <w:spacing w:before="240"/>
        <w:rPr>
          <w:lang w:val="en-GB"/>
        </w:rPr>
      </w:pPr>
      <w:r w:rsidRPr="000E2069">
        <w:rPr>
          <w:b/>
          <w:lang w:val="en-GB"/>
        </w:rPr>
        <w:t>Final consumption expenditure</w:t>
      </w:r>
      <w:r w:rsidRPr="000E2069">
        <w:rPr>
          <w:lang w:val="en-GB"/>
        </w:rPr>
        <w:t xml:space="preserve"> increased in total by </w:t>
      </w:r>
      <w:r w:rsidR="00C41D34" w:rsidRPr="000E2069">
        <w:rPr>
          <w:lang w:val="en-GB"/>
        </w:rPr>
        <w:t>1</w:t>
      </w:r>
      <w:r w:rsidRPr="000E2069">
        <w:rPr>
          <w:lang w:val="en-GB"/>
        </w:rPr>
        <w:t>.</w:t>
      </w:r>
      <w:r w:rsidR="00051BF8" w:rsidRPr="000E2069">
        <w:rPr>
          <w:lang w:val="en-GB"/>
        </w:rPr>
        <w:t>7</w:t>
      </w:r>
      <w:r w:rsidR="00C41D34" w:rsidRPr="000E2069">
        <w:rPr>
          <w:lang w:val="en-GB"/>
        </w:rPr>
        <w:t>%</w:t>
      </w:r>
      <w:r w:rsidRPr="000E2069">
        <w:rPr>
          <w:lang w:val="en-GB"/>
        </w:rPr>
        <w:t>, y-o-y</w:t>
      </w:r>
      <w:r w:rsidR="00076310">
        <w:rPr>
          <w:lang w:val="en-GB"/>
        </w:rPr>
        <w:t>,</w:t>
      </w:r>
      <w:r w:rsidRPr="000E2069">
        <w:rPr>
          <w:lang w:val="en-GB"/>
        </w:rPr>
        <w:t xml:space="preserve"> while developments in all major components were relatively even. </w:t>
      </w:r>
      <w:r w:rsidRPr="000E2069">
        <w:rPr>
          <w:u w:val="single"/>
          <w:lang w:val="en-GB"/>
        </w:rPr>
        <w:t>Households</w:t>
      </w:r>
      <w:r w:rsidR="00C41D34" w:rsidRPr="000E2069">
        <w:rPr>
          <w:lang w:val="en-GB"/>
        </w:rPr>
        <w:t xml:space="preserve"> </w:t>
      </w:r>
      <w:r w:rsidRPr="000E2069">
        <w:rPr>
          <w:lang w:val="en-GB"/>
        </w:rPr>
        <w:t xml:space="preserve">spent by 1.7% more compared to that in </w:t>
      </w:r>
      <w:r w:rsidR="00C41D34" w:rsidRPr="000E2069">
        <w:rPr>
          <w:lang w:val="en-GB"/>
        </w:rPr>
        <w:t>2013</w:t>
      </w:r>
      <w:r w:rsidR="00B15815" w:rsidRPr="000E2069">
        <w:rPr>
          <w:lang w:val="en-GB"/>
        </w:rPr>
        <w:t xml:space="preserve">. </w:t>
      </w:r>
      <w:r w:rsidRPr="000E2069">
        <w:rPr>
          <w:lang w:val="en-GB"/>
        </w:rPr>
        <w:t xml:space="preserve">If adjusted for price changes in between </w:t>
      </w:r>
      <w:r w:rsidR="00C41D34" w:rsidRPr="000E2069">
        <w:rPr>
          <w:lang w:val="en-GB"/>
        </w:rPr>
        <w:t>2013 a</w:t>
      </w:r>
      <w:r w:rsidRPr="000E2069">
        <w:rPr>
          <w:lang w:val="en-GB"/>
        </w:rPr>
        <w:t>nd</w:t>
      </w:r>
      <w:r w:rsidR="00C41D34" w:rsidRPr="000E2069">
        <w:rPr>
          <w:lang w:val="en-GB"/>
        </w:rPr>
        <w:t xml:space="preserve"> 2014 </w:t>
      </w:r>
      <w:r w:rsidRPr="000E2069">
        <w:rPr>
          <w:lang w:val="en-GB"/>
        </w:rPr>
        <w:t>households spent year-on-year  more for almost all components of consumption</w:t>
      </w:r>
      <w:r w:rsidR="00047D80" w:rsidRPr="000E2069">
        <w:rPr>
          <w:lang w:val="en-GB"/>
        </w:rPr>
        <w:t xml:space="preserve">, </w:t>
      </w:r>
      <w:r w:rsidRPr="000E2069">
        <w:rPr>
          <w:lang w:val="en-GB"/>
        </w:rPr>
        <w:t>especially for furniture and furnishings</w:t>
      </w:r>
      <w:r w:rsidR="00047D80" w:rsidRPr="000E2069">
        <w:rPr>
          <w:lang w:val="en-GB"/>
        </w:rPr>
        <w:t xml:space="preserve">, </w:t>
      </w:r>
      <w:r w:rsidRPr="000E2069">
        <w:rPr>
          <w:lang w:val="en-GB"/>
        </w:rPr>
        <w:t>transport and transport means</w:t>
      </w:r>
      <w:r w:rsidR="00047D80" w:rsidRPr="000E2069">
        <w:rPr>
          <w:lang w:val="en-GB"/>
        </w:rPr>
        <w:t>, re</w:t>
      </w:r>
      <w:r w:rsidRPr="000E2069">
        <w:rPr>
          <w:lang w:val="en-GB"/>
        </w:rPr>
        <w:t>c</w:t>
      </w:r>
      <w:r w:rsidR="00047D80" w:rsidRPr="000E2069">
        <w:rPr>
          <w:lang w:val="en-GB"/>
        </w:rPr>
        <w:t>rea</w:t>
      </w:r>
      <w:r w:rsidRPr="000E2069">
        <w:rPr>
          <w:lang w:val="en-GB"/>
        </w:rPr>
        <w:t>tional activities</w:t>
      </w:r>
      <w:r w:rsidR="00047D80" w:rsidRPr="000E2069">
        <w:rPr>
          <w:lang w:val="en-GB"/>
        </w:rPr>
        <w:t xml:space="preserve">, </w:t>
      </w:r>
      <w:r w:rsidR="00391B31" w:rsidRPr="000E2069">
        <w:rPr>
          <w:lang w:val="en-GB"/>
        </w:rPr>
        <w:t>catering</w:t>
      </w:r>
      <w:r w:rsidR="00047D80" w:rsidRPr="000E2069">
        <w:rPr>
          <w:lang w:val="en-GB"/>
        </w:rPr>
        <w:t xml:space="preserve">, </w:t>
      </w:r>
      <w:r w:rsidR="00391B31" w:rsidRPr="000E2069">
        <w:rPr>
          <w:lang w:val="en-GB"/>
        </w:rPr>
        <w:t>accommodation</w:t>
      </w:r>
      <w:r w:rsidR="00047D80" w:rsidRPr="000E2069">
        <w:rPr>
          <w:lang w:val="en-GB"/>
        </w:rPr>
        <w:t xml:space="preserve">, </w:t>
      </w:r>
      <w:r w:rsidR="00391B31" w:rsidRPr="000E2069">
        <w:rPr>
          <w:lang w:val="en-GB"/>
        </w:rPr>
        <w:t>clothing, and food</w:t>
      </w:r>
      <w:r w:rsidR="00047D80" w:rsidRPr="000E2069">
        <w:rPr>
          <w:lang w:val="en-GB"/>
        </w:rPr>
        <w:t>.</w:t>
      </w:r>
      <w:r w:rsidR="00843C7B" w:rsidRPr="000E2069">
        <w:rPr>
          <w:lang w:val="en-GB"/>
        </w:rPr>
        <w:t xml:space="preserve"> </w:t>
      </w:r>
      <w:r w:rsidR="00391B31" w:rsidRPr="000E2069">
        <w:rPr>
          <w:u w:val="single"/>
          <w:lang w:val="en-GB"/>
        </w:rPr>
        <w:t xml:space="preserve">General government expenditure </w:t>
      </w:r>
      <w:r w:rsidR="00391B31" w:rsidRPr="000E2069">
        <w:rPr>
          <w:lang w:val="en-GB"/>
        </w:rPr>
        <w:t xml:space="preserve">grew by 1.6% compared to that in </w:t>
      </w:r>
      <w:r w:rsidR="0081453E" w:rsidRPr="000E2069">
        <w:rPr>
          <w:lang w:val="en-GB"/>
        </w:rPr>
        <w:t>2013.</w:t>
      </w:r>
    </w:p>
    <w:p w:rsidR="00C41D34" w:rsidRPr="000E2069" w:rsidRDefault="001F7E3A" w:rsidP="007D4D92">
      <w:pPr>
        <w:spacing w:before="240"/>
        <w:rPr>
          <w:lang w:val="en-GB"/>
        </w:rPr>
      </w:pPr>
      <w:r w:rsidRPr="000E2069">
        <w:rPr>
          <w:lang w:val="en-GB"/>
        </w:rPr>
        <w:t xml:space="preserve">The </w:t>
      </w:r>
      <w:r w:rsidRPr="000E2069">
        <w:rPr>
          <w:b/>
          <w:lang w:val="en-GB"/>
        </w:rPr>
        <w:t>gross capital formation</w:t>
      </w:r>
      <w:r w:rsidR="00C41D34" w:rsidRPr="000E2069">
        <w:rPr>
          <w:lang w:val="en-GB"/>
        </w:rPr>
        <w:t xml:space="preserve"> </w:t>
      </w:r>
      <w:r w:rsidRPr="000E2069">
        <w:rPr>
          <w:lang w:val="en-GB"/>
        </w:rPr>
        <w:t>was by 3.7% higher y-o-y in</w:t>
      </w:r>
      <w:r w:rsidR="00C41D34" w:rsidRPr="000E2069">
        <w:rPr>
          <w:lang w:val="en-GB"/>
        </w:rPr>
        <w:t xml:space="preserve"> 2014. </w:t>
      </w:r>
      <w:r w:rsidR="00CE63B6" w:rsidRPr="000E2069">
        <w:rPr>
          <w:lang w:val="en-GB"/>
        </w:rPr>
        <w:t xml:space="preserve">The </w:t>
      </w:r>
      <w:r w:rsidR="00CE63B6" w:rsidRPr="000E2069">
        <w:rPr>
          <w:u w:val="single"/>
          <w:lang w:val="en-GB"/>
        </w:rPr>
        <w:t xml:space="preserve">fixed capital </w:t>
      </w:r>
      <w:r w:rsidR="00E83382">
        <w:rPr>
          <w:u w:val="single"/>
          <w:lang w:val="en-GB"/>
        </w:rPr>
        <w:t>formation</w:t>
      </w:r>
      <w:r w:rsidR="00C41D34" w:rsidRPr="000E2069">
        <w:rPr>
          <w:lang w:val="en-GB"/>
        </w:rPr>
        <w:t xml:space="preserve"> </w:t>
      </w:r>
      <w:r w:rsidR="00CE63B6" w:rsidRPr="000E2069">
        <w:rPr>
          <w:lang w:val="en-GB"/>
        </w:rPr>
        <w:t xml:space="preserve">was by </w:t>
      </w:r>
      <w:r w:rsidR="00C41D34" w:rsidRPr="000E2069">
        <w:rPr>
          <w:lang w:val="en-GB"/>
        </w:rPr>
        <w:t>4</w:t>
      </w:r>
      <w:r w:rsidR="00CE63B6" w:rsidRPr="000E2069">
        <w:rPr>
          <w:lang w:val="en-GB"/>
        </w:rPr>
        <w:t>.</w:t>
      </w:r>
      <w:r w:rsidR="00C41D34" w:rsidRPr="000E2069">
        <w:rPr>
          <w:lang w:val="en-GB"/>
        </w:rPr>
        <w:t xml:space="preserve">7% </w:t>
      </w:r>
      <w:r w:rsidR="00CE63B6" w:rsidRPr="000E2069">
        <w:rPr>
          <w:lang w:val="en-GB"/>
        </w:rPr>
        <w:t xml:space="preserve">higher than that in </w:t>
      </w:r>
      <w:r w:rsidR="00C41D34" w:rsidRPr="000E2069">
        <w:rPr>
          <w:lang w:val="en-GB"/>
        </w:rPr>
        <w:t xml:space="preserve">2013, </w:t>
      </w:r>
      <w:r w:rsidR="00CE63B6" w:rsidRPr="000E2069">
        <w:rPr>
          <w:lang w:val="en-GB"/>
        </w:rPr>
        <w:t xml:space="preserve">mainly due to construction investments </w:t>
      </w:r>
      <w:r w:rsidR="00C41D34" w:rsidRPr="000E2069">
        <w:rPr>
          <w:lang w:val="en-GB"/>
        </w:rPr>
        <w:t>a</w:t>
      </w:r>
      <w:r w:rsidR="00CE63B6" w:rsidRPr="000E2069">
        <w:rPr>
          <w:lang w:val="en-GB"/>
        </w:rPr>
        <w:t>nd</w:t>
      </w:r>
      <w:r w:rsidR="00C41D34" w:rsidRPr="000E2069">
        <w:rPr>
          <w:lang w:val="en-GB"/>
        </w:rPr>
        <w:t xml:space="preserve"> invest</w:t>
      </w:r>
      <w:r w:rsidR="00CE63B6" w:rsidRPr="000E2069">
        <w:rPr>
          <w:lang w:val="en-GB"/>
        </w:rPr>
        <w:t xml:space="preserve">ments into machinery. </w:t>
      </w:r>
      <w:r w:rsidR="002E7FB0">
        <w:rPr>
          <w:lang w:val="en-GB"/>
        </w:rPr>
        <w:t>Stock of i</w:t>
      </w:r>
      <w:r w:rsidR="00CE63B6" w:rsidRPr="000E2069">
        <w:rPr>
          <w:u w:val="single"/>
          <w:lang w:val="en-GB"/>
        </w:rPr>
        <w:t>nventor</w:t>
      </w:r>
      <w:r w:rsidR="002E7FB0">
        <w:rPr>
          <w:u w:val="single"/>
          <w:lang w:val="en-GB"/>
        </w:rPr>
        <w:t>ies</w:t>
      </w:r>
      <w:r w:rsidR="00CF5007" w:rsidRPr="000E2069">
        <w:rPr>
          <w:lang w:val="en-GB"/>
        </w:rPr>
        <w:t xml:space="preserve"> (</w:t>
      </w:r>
      <w:r w:rsidR="00CE63B6" w:rsidRPr="000E2069">
        <w:rPr>
          <w:lang w:val="en-GB"/>
        </w:rPr>
        <w:t>unadjusted for seasonal effects</w:t>
      </w:r>
      <w:r w:rsidR="00CF5007" w:rsidRPr="000E2069">
        <w:rPr>
          <w:lang w:val="en-GB"/>
        </w:rPr>
        <w:t xml:space="preserve">) </w:t>
      </w:r>
      <w:r w:rsidR="00CE63B6" w:rsidRPr="000E2069">
        <w:rPr>
          <w:lang w:val="en-GB"/>
        </w:rPr>
        <w:t xml:space="preserve">declined for the whole year </w:t>
      </w:r>
      <w:r w:rsidR="00A871B5" w:rsidRPr="000E2069">
        <w:rPr>
          <w:lang w:val="en-GB"/>
        </w:rPr>
        <w:t>2014</w:t>
      </w:r>
      <w:r w:rsidR="00076310">
        <w:rPr>
          <w:lang w:val="en-GB"/>
        </w:rPr>
        <w:t>,</w:t>
      </w:r>
      <w:r w:rsidR="00A871B5" w:rsidRPr="000E2069">
        <w:rPr>
          <w:lang w:val="en-GB"/>
        </w:rPr>
        <w:t xml:space="preserve"> </w:t>
      </w:r>
      <w:r w:rsidR="00CE63B6" w:rsidRPr="000E2069">
        <w:rPr>
          <w:lang w:val="en-GB"/>
        </w:rPr>
        <w:t xml:space="preserve">namely as a result of </w:t>
      </w:r>
      <w:r w:rsidR="00E83382">
        <w:rPr>
          <w:lang w:val="en-GB"/>
        </w:rPr>
        <w:t xml:space="preserve">negative change in </w:t>
      </w:r>
      <w:r w:rsidR="00CE63B6" w:rsidRPr="000E2069">
        <w:rPr>
          <w:lang w:val="en-GB"/>
        </w:rPr>
        <w:t>inventor</w:t>
      </w:r>
      <w:r w:rsidR="00E83382">
        <w:rPr>
          <w:lang w:val="en-GB"/>
        </w:rPr>
        <w:t>ies</w:t>
      </w:r>
      <w:r w:rsidR="00CE63B6" w:rsidRPr="000E2069">
        <w:rPr>
          <w:lang w:val="en-GB"/>
        </w:rPr>
        <w:t xml:space="preserve"> in goods and </w:t>
      </w:r>
      <w:r w:rsidR="00E83382">
        <w:rPr>
          <w:lang w:val="en-GB"/>
        </w:rPr>
        <w:t>work-in-progress</w:t>
      </w:r>
      <w:r w:rsidR="00CE63B6" w:rsidRPr="000E2069">
        <w:rPr>
          <w:lang w:val="en-GB"/>
        </w:rPr>
        <w:t xml:space="preserve"> production in Q</w:t>
      </w:r>
      <w:r w:rsidR="00CF5007" w:rsidRPr="000E2069">
        <w:rPr>
          <w:lang w:val="en-GB"/>
        </w:rPr>
        <w:t>4</w:t>
      </w:r>
      <w:r w:rsidR="00CE63B6" w:rsidRPr="000E2069">
        <w:rPr>
          <w:lang w:val="en-GB"/>
        </w:rPr>
        <w:t> 2014</w:t>
      </w:r>
      <w:r w:rsidR="00CF5007" w:rsidRPr="000E2069">
        <w:rPr>
          <w:lang w:val="en-GB"/>
        </w:rPr>
        <w:t xml:space="preserve">. </w:t>
      </w:r>
    </w:p>
    <w:p w:rsidR="00EE6240" w:rsidRPr="000E2069" w:rsidRDefault="00ED7E90" w:rsidP="00EE6240">
      <w:pPr>
        <w:spacing w:before="240"/>
        <w:rPr>
          <w:b/>
          <w:lang w:val="en-GB"/>
        </w:rPr>
      </w:pPr>
      <w:r w:rsidRPr="000E2069">
        <w:rPr>
          <w:b/>
          <w:lang w:val="en-GB"/>
        </w:rPr>
        <w:lastRenderedPageBreak/>
        <w:t xml:space="preserve">Structure of the supply in </w:t>
      </w:r>
      <w:r w:rsidR="00EE6240" w:rsidRPr="000E2069">
        <w:rPr>
          <w:b/>
          <w:lang w:val="en-GB"/>
        </w:rPr>
        <w:t>2014</w:t>
      </w:r>
    </w:p>
    <w:p w:rsidR="009214F3" w:rsidRPr="000E2069" w:rsidRDefault="00CE63B6" w:rsidP="007D4D92">
      <w:pPr>
        <w:spacing w:before="240"/>
        <w:rPr>
          <w:lang w:val="en-GB"/>
        </w:rPr>
      </w:pPr>
      <w:r w:rsidRPr="000E2069">
        <w:rPr>
          <w:lang w:val="en-GB"/>
        </w:rPr>
        <w:t xml:space="preserve">The </w:t>
      </w:r>
      <w:r w:rsidRPr="000E2069">
        <w:rPr>
          <w:b/>
          <w:lang w:val="en-GB"/>
        </w:rPr>
        <w:t>gross value added</w:t>
      </w:r>
      <w:r w:rsidRPr="000E2069">
        <w:rPr>
          <w:lang w:val="en-GB"/>
        </w:rPr>
        <w:t xml:space="preserve"> </w:t>
      </w:r>
      <w:r w:rsidR="00076310" w:rsidRPr="000E2069">
        <w:rPr>
          <w:lang w:val="en-GB"/>
        </w:rPr>
        <w:t>in 2014</w:t>
      </w:r>
      <w:r w:rsidR="00076310">
        <w:rPr>
          <w:lang w:val="en-GB"/>
        </w:rPr>
        <w:t xml:space="preserve"> </w:t>
      </w:r>
      <w:r w:rsidRPr="000E2069">
        <w:rPr>
          <w:lang w:val="en-GB"/>
        </w:rPr>
        <w:t>increased by 2.6% compared to that for the previous year.</w:t>
      </w:r>
      <w:r w:rsidR="00767F55" w:rsidRPr="000E2069">
        <w:rPr>
          <w:lang w:val="en-GB"/>
        </w:rPr>
        <w:t xml:space="preserve"> </w:t>
      </w:r>
      <w:r w:rsidR="00E83382">
        <w:rPr>
          <w:lang w:val="en-GB"/>
        </w:rPr>
        <w:t>The </w:t>
      </w:r>
      <w:r w:rsidR="00652859" w:rsidRPr="000E2069">
        <w:rPr>
          <w:lang w:val="en-GB"/>
        </w:rPr>
        <w:t xml:space="preserve">recovered growth in manufacturing had the crucial effect on the development of the total value added. In the course of all quarters of </w:t>
      </w:r>
      <w:r w:rsidR="00252870" w:rsidRPr="000E2069">
        <w:rPr>
          <w:lang w:val="en-GB"/>
        </w:rPr>
        <w:t xml:space="preserve">2014 </w:t>
      </w:r>
      <w:r w:rsidR="00652859" w:rsidRPr="000E2069">
        <w:rPr>
          <w:lang w:val="en-GB"/>
        </w:rPr>
        <w:t>the contribution of manufacturing to the GDP growth was over one half of it. Except for financial and insurance acti</w:t>
      </w:r>
      <w:r w:rsidR="00E83382">
        <w:rPr>
          <w:lang w:val="en-GB"/>
        </w:rPr>
        <w:t>vities, all major activities of </w:t>
      </w:r>
      <w:r w:rsidR="00652859" w:rsidRPr="000E2069">
        <w:rPr>
          <w:lang w:val="en-GB"/>
        </w:rPr>
        <w:t xml:space="preserve">services </w:t>
      </w:r>
      <w:r w:rsidR="000E2069" w:rsidRPr="000E2069">
        <w:rPr>
          <w:lang w:val="en-GB"/>
        </w:rPr>
        <w:t>brought</w:t>
      </w:r>
      <w:r w:rsidR="00652859" w:rsidRPr="000E2069">
        <w:rPr>
          <w:lang w:val="en-GB"/>
        </w:rPr>
        <w:t xml:space="preserve"> </w:t>
      </w:r>
      <w:r w:rsidR="00076310">
        <w:rPr>
          <w:lang w:val="en-GB"/>
        </w:rPr>
        <w:t>some</w:t>
      </w:r>
      <w:r w:rsidR="00652859" w:rsidRPr="000E2069">
        <w:rPr>
          <w:lang w:val="en-GB"/>
        </w:rPr>
        <w:t xml:space="preserve"> contribution to the growth, especially </w:t>
      </w:r>
      <w:r w:rsidR="000E2069" w:rsidRPr="000E2069">
        <w:rPr>
          <w:lang w:val="en-GB"/>
        </w:rPr>
        <w:t xml:space="preserve">public </w:t>
      </w:r>
      <w:r w:rsidR="00652859" w:rsidRPr="000E2069">
        <w:rPr>
          <w:lang w:val="en-GB"/>
        </w:rPr>
        <w:t>administration and defence; compulsory social security</w:t>
      </w:r>
      <w:r w:rsidR="007455BC" w:rsidRPr="000E2069">
        <w:rPr>
          <w:lang w:val="en-GB"/>
        </w:rPr>
        <w:t xml:space="preserve"> a</w:t>
      </w:r>
      <w:r w:rsidR="000E2069" w:rsidRPr="000E2069">
        <w:rPr>
          <w:lang w:val="en-GB"/>
        </w:rPr>
        <w:t>nd</w:t>
      </w:r>
      <w:r w:rsidR="007455BC" w:rsidRPr="000E2069">
        <w:rPr>
          <w:lang w:val="en-GB"/>
        </w:rPr>
        <w:t xml:space="preserve"> </w:t>
      </w:r>
      <w:r w:rsidR="000E2069" w:rsidRPr="000E2069">
        <w:rPr>
          <w:lang w:val="en-GB"/>
        </w:rPr>
        <w:t>human health and social work activities</w:t>
      </w:r>
      <w:r w:rsidR="007455BC" w:rsidRPr="000E2069">
        <w:rPr>
          <w:lang w:val="en-GB"/>
        </w:rPr>
        <w:t xml:space="preserve">, </w:t>
      </w:r>
      <w:r w:rsidR="000E2069" w:rsidRPr="000E2069">
        <w:rPr>
          <w:lang w:val="en-GB"/>
        </w:rPr>
        <w:t xml:space="preserve">transportation and storage, wholesale and retail trade; repair of motor vehicles and motorcycles, </w:t>
      </w:r>
      <w:r w:rsidR="007455BC" w:rsidRPr="000E2069">
        <w:rPr>
          <w:lang w:val="en-GB"/>
        </w:rPr>
        <w:t>a</w:t>
      </w:r>
      <w:r w:rsidR="000E2069" w:rsidRPr="000E2069">
        <w:rPr>
          <w:lang w:val="en-GB"/>
        </w:rPr>
        <w:t>nd</w:t>
      </w:r>
      <w:r w:rsidR="007455BC" w:rsidRPr="000E2069">
        <w:rPr>
          <w:lang w:val="en-GB"/>
        </w:rPr>
        <w:t xml:space="preserve"> </w:t>
      </w:r>
      <w:r w:rsidR="000E2069" w:rsidRPr="000E2069">
        <w:rPr>
          <w:lang w:val="en-GB"/>
        </w:rPr>
        <w:t>services for enterprises</w:t>
      </w:r>
      <w:r w:rsidR="007455BC" w:rsidRPr="000E2069">
        <w:rPr>
          <w:lang w:val="en-GB"/>
        </w:rPr>
        <w:t>.</w:t>
      </w:r>
    </w:p>
    <w:p w:rsidR="00091AE4" w:rsidRPr="000E2069" w:rsidRDefault="00E6528D" w:rsidP="007D4D92">
      <w:pPr>
        <w:spacing w:before="240"/>
        <w:rPr>
          <w:lang w:val="en-GB"/>
        </w:rPr>
      </w:pPr>
      <w:r>
        <w:rPr>
          <w:b/>
          <w:lang w:val="en-GB"/>
        </w:rPr>
        <w:t>T</w:t>
      </w:r>
      <w:r w:rsidR="000E2069" w:rsidRPr="000E2069">
        <w:rPr>
          <w:b/>
          <w:lang w:val="en-GB"/>
        </w:rPr>
        <w:t xml:space="preserve">axes </w:t>
      </w:r>
      <w:r w:rsidR="00076310">
        <w:rPr>
          <w:b/>
          <w:lang w:val="en-GB"/>
        </w:rPr>
        <w:t>on</w:t>
      </w:r>
      <w:r w:rsidR="000E2069" w:rsidRPr="000E2069">
        <w:rPr>
          <w:b/>
          <w:lang w:val="en-GB"/>
        </w:rPr>
        <w:t xml:space="preserve"> products</w:t>
      </w:r>
      <w:r w:rsidR="000E2069" w:rsidRPr="000E2069">
        <w:rPr>
          <w:lang w:val="en-GB"/>
        </w:rPr>
        <w:t xml:space="preserve"> declined by </w:t>
      </w:r>
      <w:r w:rsidR="00134B5E" w:rsidRPr="000E2069">
        <w:rPr>
          <w:lang w:val="en-GB"/>
        </w:rPr>
        <w:t>1</w:t>
      </w:r>
      <w:r w:rsidR="000E2069" w:rsidRPr="000E2069">
        <w:rPr>
          <w:lang w:val="en-GB"/>
        </w:rPr>
        <w:t>.</w:t>
      </w:r>
      <w:r w:rsidR="00134B5E" w:rsidRPr="000E2069">
        <w:rPr>
          <w:lang w:val="en-GB"/>
        </w:rPr>
        <w:t>6%</w:t>
      </w:r>
      <w:r w:rsidR="00076310">
        <w:rPr>
          <w:lang w:val="en-GB"/>
        </w:rPr>
        <w:t>, y-o-y,</w:t>
      </w:r>
      <w:r w:rsidR="00134B5E" w:rsidRPr="000E2069">
        <w:rPr>
          <w:lang w:val="en-GB"/>
        </w:rPr>
        <w:t xml:space="preserve"> </w:t>
      </w:r>
      <w:r w:rsidR="000E2069" w:rsidRPr="000E2069">
        <w:rPr>
          <w:lang w:val="en-GB"/>
        </w:rPr>
        <w:t xml:space="preserve">while developments of respective taxes were rather differentiated. In 2014 the y-o-y higher collection of almost all types of taxes on products was higher yet not enough to compensate a drop in the collection of excise tax </w:t>
      </w:r>
      <w:r w:rsidR="00E83382">
        <w:rPr>
          <w:lang w:val="en-GB"/>
        </w:rPr>
        <w:t>on</w:t>
      </w:r>
      <w:r w:rsidR="000E2069" w:rsidRPr="000E2069">
        <w:rPr>
          <w:lang w:val="en-GB"/>
        </w:rPr>
        <w:t xml:space="preserve"> tobacco products caused by a limited option to pre-stock</w:t>
      </w:r>
      <w:r w:rsidR="00134B5E" w:rsidRPr="000E2069">
        <w:rPr>
          <w:lang w:val="en-GB"/>
        </w:rPr>
        <w:t xml:space="preserve">, </w:t>
      </w:r>
      <w:r w:rsidR="000E2069" w:rsidRPr="000E2069">
        <w:rPr>
          <w:lang w:val="en-GB"/>
        </w:rPr>
        <w:t>which was allowed in the previous years</w:t>
      </w:r>
      <w:r w:rsidR="00134B5E" w:rsidRPr="000E2069">
        <w:rPr>
          <w:lang w:val="en-GB"/>
        </w:rPr>
        <w:t>.</w:t>
      </w:r>
    </w:p>
    <w:p w:rsidR="007E3AC5" w:rsidRPr="000E2069" w:rsidRDefault="001F7E3A" w:rsidP="007D4D92">
      <w:pPr>
        <w:spacing w:before="240"/>
        <w:rPr>
          <w:lang w:val="en-GB"/>
        </w:rPr>
      </w:pPr>
      <w:r w:rsidRPr="000E2069">
        <w:rPr>
          <w:lang w:val="en-GB"/>
        </w:rPr>
        <w:t>In</w:t>
      </w:r>
      <w:r w:rsidR="00CF5683" w:rsidRPr="000E2069">
        <w:rPr>
          <w:lang w:val="en-GB"/>
        </w:rPr>
        <w:t xml:space="preserve"> </w:t>
      </w:r>
      <w:r w:rsidRPr="000E2069">
        <w:rPr>
          <w:lang w:val="en-GB"/>
        </w:rPr>
        <w:t xml:space="preserve">2014 in </w:t>
      </w:r>
      <w:r w:rsidRPr="000E2069">
        <w:rPr>
          <w:b/>
          <w:lang w:val="en-GB"/>
        </w:rPr>
        <w:t>current prices</w:t>
      </w:r>
      <w:r w:rsidR="00CF5683" w:rsidRPr="000E2069">
        <w:rPr>
          <w:lang w:val="en-GB"/>
        </w:rPr>
        <w:t xml:space="preserve"> </w:t>
      </w:r>
      <w:r w:rsidRPr="000E2069">
        <w:rPr>
          <w:lang w:val="en-GB"/>
        </w:rPr>
        <w:t>the domestic economy generated the</w:t>
      </w:r>
      <w:r w:rsidR="00E83382">
        <w:rPr>
          <w:lang w:val="en-GB"/>
        </w:rPr>
        <w:t xml:space="preserve"> GDP of CZK 4 267 billion, i.e. </w:t>
      </w:r>
      <w:r w:rsidRPr="000E2069">
        <w:rPr>
          <w:lang w:val="en-GB"/>
        </w:rPr>
        <w:t xml:space="preserve">by 4.4% more than in </w:t>
      </w:r>
      <w:r w:rsidR="00CF5683" w:rsidRPr="000E2069">
        <w:rPr>
          <w:lang w:val="en-GB"/>
        </w:rPr>
        <w:t xml:space="preserve">2013. </w:t>
      </w:r>
      <w:r w:rsidRPr="000E2069">
        <w:rPr>
          <w:lang w:val="en-GB"/>
        </w:rPr>
        <w:t>The price level as measured by the GDP deflator increase</w:t>
      </w:r>
      <w:r w:rsidR="00047453">
        <w:rPr>
          <w:lang w:val="en-GB"/>
        </w:rPr>
        <w:t>d by </w:t>
      </w:r>
      <w:r w:rsidR="007E3AC5" w:rsidRPr="000E2069">
        <w:rPr>
          <w:lang w:val="en-GB"/>
        </w:rPr>
        <w:t>2</w:t>
      </w:r>
      <w:r w:rsidRPr="000E2069">
        <w:rPr>
          <w:lang w:val="en-GB"/>
        </w:rPr>
        <w:t>.</w:t>
      </w:r>
      <w:r w:rsidR="007E3AC5" w:rsidRPr="000E2069">
        <w:rPr>
          <w:lang w:val="en-GB"/>
        </w:rPr>
        <w:t>3%</w:t>
      </w:r>
      <w:r w:rsidRPr="000E2069">
        <w:rPr>
          <w:lang w:val="en-GB"/>
        </w:rPr>
        <w:t>, y-o-y</w:t>
      </w:r>
      <w:r w:rsidR="007E3AC5" w:rsidRPr="000E2069">
        <w:rPr>
          <w:lang w:val="en-GB"/>
        </w:rPr>
        <w:t>.</w:t>
      </w:r>
    </w:p>
    <w:p w:rsidR="00091AE4" w:rsidRPr="000E2069" w:rsidRDefault="00ED7E90" w:rsidP="007D4D92">
      <w:pPr>
        <w:spacing w:before="240"/>
        <w:rPr>
          <w:lang w:val="en-GB"/>
        </w:rPr>
      </w:pPr>
      <w:r w:rsidRPr="000E2069">
        <w:rPr>
          <w:b/>
          <w:lang w:val="en-GB"/>
        </w:rPr>
        <w:t xml:space="preserve">Total employment, </w:t>
      </w:r>
      <w:r w:rsidRPr="000E2069">
        <w:rPr>
          <w:lang w:val="en-GB"/>
        </w:rPr>
        <w:t xml:space="preserve">in terms of national accounts, that includes employees and </w:t>
      </w:r>
      <w:r w:rsidR="00E83382">
        <w:rPr>
          <w:lang w:val="en-GB"/>
        </w:rPr>
        <w:t>self-employed</w:t>
      </w:r>
      <w:r w:rsidR="00CF5683" w:rsidRPr="000E2069">
        <w:rPr>
          <w:lang w:val="en-GB"/>
        </w:rPr>
        <w:t xml:space="preserve">, </w:t>
      </w:r>
      <w:r w:rsidRPr="000E2069">
        <w:rPr>
          <w:lang w:val="en-GB"/>
        </w:rPr>
        <w:t>increased on average by 0.4% to reach 5</w:t>
      </w:r>
      <w:r w:rsidR="00076310">
        <w:rPr>
          <w:lang w:val="en-GB"/>
        </w:rPr>
        <w:t> </w:t>
      </w:r>
      <w:r w:rsidRPr="000E2069">
        <w:rPr>
          <w:lang w:val="en-GB"/>
        </w:rPr>
        <w:t>105</w:t>
      </w:r>
      <w:r w:rsidR="00076310">
        <w:rPr>
          <w:lang w:val="en-GB"/>
        </w:rPr>
        <w:t> </w:t>
      </w:r>
      <w:r w:rsidRPr="000E2069">
        <w:rPr>
          <w:lang w:val="en-GB"/>
        </w:rPr>
        <w:t>thousand</w:t>
      </w:r>
      <w:r w:rsidR="00076310">
        <w:rPr>
          <w:lang w:val="en-GB"/>
        </w:rPr>
        <w:t> </w:t>
      </w:r>
      <w:r w:rsidRPr="000E2069">
        <w:rPr>
          <w:lang w:val="en-GB"/>
        </w:rPr>
        <w:t>persons compared to the previous year</w:t>
      </w:r>
      <w:r w:rsidR="00CF5683" w:rsidRPr="000E2069">
        <w:rPr>
          <w:lang w:val="en-GB"/>
        </w:rPr>
        <w:t xml:space="preserve">. </w:t>
      </w:r>
      <w:r w:rsidRPr="000E2069">
        <w:rPr>
          <w:lang w:val="en-GB"/>
        </w:rPr>
        <w:t>The number of hours worked increased by 1.0% in total</w:t>
      </w:r>
      <w:r w:rsidR="00CF5683" w:rsidRPr="000E2069">
        <w:rPr>
          <w:lang w:val="en-GB"/>
        </w:rPr>
        <w:t>.</w:t>
      </w:r>
    </w:p>
    <w:p w:rsidR="002670D3" w:rsidRPr="000E2069" w:rsidRDefault="002670D3" w:rsidP="000E3F14">
      <w:pPr>
        <w:spacing w:before="240" w:after="240"/>
        <w:rPr>
          <w:b/>
          <w:lang w:val="en-GB"/>
        </w:rPr>
      </w:pPr>
    </w:p>
    <w:p w:rsidR="00F06BF3" w:rsidRPr="000E2069" w:rsidRDefault="00F06BF3" w:rsidP="000E3F14">
      <w:pPr>
        <w:spacing w:before="240" w:after="240"/>
        <w:rPr>
          <w:b/>
          <w:lang w:val="en-GB"/>
        </w:rPr>
      </w:pPr>
    </w:p>
    <w:p w:rsidR="00F06BF3" w:rsidRPr="000E2069" w:rsidRDefault="00F06BF3" w:rsidP="000E3F14">
      <w:pPr>
        <w:spacing w:before="240" w:after="240"/>
        <w:rPr>
          <w:b/>
          <w:lang w:val="en-GB"/>
        </w:rPr>
      </w:pPr>
    </w:p>
    <w:p w:rsidR="00F06BF3" w:rsidRPr="000E2069" w:rsidRDefault="00F06BF3" w:rsidP="000E3F14">
      <w:pPr>
        <w:spacing w:before="240" w:after="240"/>
        <w:rPr>
          <w:b/>
          <w:lang w:val="en-GB"/>
        </w:rPr>
      </w:pPr>
    </w:p>
    <w:p w:rsidR="00F06BF3" w:rsidRPr="000E2069" w:rsidRDefault="00F06BF3" w:rsidP="000E3F14">
      <w:pPr>
        <w:spacing w:before="240" w:after="240"/>
        <w:rPr>
          <w:b/>
          <w:lang w:val="en-GB"/>
        </w:rPr>
      </w:pPr>
    </w:p>
    <w:p w:rsidR="00114088" w:rsidRPr="000E2069" w:rsidRDefault="00114088" w:rsidP="00114088">
      <w:pPr>
        <w:pBdr>
          <w:top w:val="single" w:sz="4" w:space="1" w:color="auto"/>
        </w:pBdr>
        <w:spacing w:before="120"/>
        <w:ind w:left="4111" w:hanging="4111"/>
        <w:rPr>
          <w:i/>
          <w:iCs/>
          <w:lang w:val="en-GB"/>
        </w:rPr>
      </w:pPr>
      <w:r w:rsidRPr="000E2069">
        <w:rPr>
          <w:i/>
          <w:iCs/>
          <w:lang w:val="en-GB"/>
        </w:rPr>
        <w:t xml:space="preserve">Contact person: </w:t>
      </w:r>
      <w:r w:rsidRPr="000E2069">
        <w:rPr>
          <w:i/>
          <w:iCs/>
          <w:lang w:val="en-GB"/>
        </w:rPr>
        <w:tab/>
      </w:r>
      <w:r w:rsidRPr="000E2069">
        <w:rPr>
          <w:i/>
          <w:lang w:val="en-GB"/>
        </w:rPr>
        <w:t>Vladimír Kermiet</w:t>
      </w:r>
      <w:r w:rsidRPr="000E2069">
        <w:rPr>
          <w:i/>
          <w:iCs/>
          <w:lang w:val="en-GB"/>
        </w:rPr>
        <w:t xml:space="preserve">, Director of the National Accounts Department, phone number: (+420) 274 054 274, e-mail: </w:t>
      </w:r>
      <w:hyperlink r:id="rId8" w:history="1">
        <w:r w:rsidRPr="000E2069">
          <w:rPr>
            <w:i/>
            <w:lang w:val="en-GB"/>
          </w:rPr>
          <w:t>vladimir.kermiet@czso.cz</w:t>
        </w:r>
      </w:hyperlink>
    </w:p>
    <w:p w:rsidR="00114088" w:rsidRPr="000E2069" w:rsidRDefault="00114088" w:rsidP="00114088">
      <w:pPr>
        <w:ind w:left="4111" w:hanging="4111"/>
        <w:rPr>
          <w:i/>
          <w:iCs/>
          <w:lang w:val="en-GB"/>
        </w:rPr>
      </w:pPr>
      <w:r w:rsidRPr="000E2069">
        <w:rPr>
          <w:i/>
          <w:iCs/>
          <w:lang w:val="en-GB"/>
        </w:rPr>
        <w:t xml:space="preserve">Used data sources updated as at: </w:t>
      </w:r>
      <w:r w:rsidRPr="000E2069">
        <w:rPr>
          <w:i/>
          <w:iCs/>
          <w:lang w:val="en-GB"/>
        </w:rPr>
        <w:tab/>
      </w:r>
      <w:r w:rsidR="00F06BF3" w:rsidRPr="000E2069">
        <w:rPr>
          <w:i/>
          <w:iCs/>
          <w:lang w:val="en-GB"/>
        </w:rPr>
        <w:t>23</w:t>
      </w:r>
      <w:r w:rsidRPr="000E2069">
        <w:rPr>
          <w:i/>
          <w:iCs/>
          <w:lang w:val="en-GB"/>
        </w:rPr>
        <w:t xml:space="preserve"> February 2015</w:t>
      </w:r>
    </w:p>
    <w:p w:rsidR="00114088" w:rsidRPr="000E2069" w:rsidRDefault="00114088" w:rsidP="00114088">
      <w:pPr>
        <w:ind w:left="4111" w:hanging="4111"/>
        <w:rPr>
          <w:i/>
          <w:iCs/>
          <w:lang w:val="en-GB"/>
        </w:rPr>
      </w:pPr>
      <w:r w:rsidRPr="000E2069">
        <w:rPr>
          <w:i/>
          <w:iCs/>
          <w:lang w:val="en-GB"/>
        </w:rPr>
        <w:t xml:space="preserve">Related CZSO web page: </w:t>
      </w:r>
      <w:r w:rsidRPr="000E2069">
        <w:rPr>
          <w:i/>
          <w:iCs/>
          <w:lang w:val="en-GB"/>
        </w:rPr>
        <w:tab/>
      </w:r>
      <w:hyperlink r:id="rId9" w:history="1">
        <w:r w:rsidRPr="000E2069">
          <w:rPr>
            <w:i/>
            <w:lang w:val="en-GB"/>
          </w:rPr>
          <w:t>www.czso.cz/csu/csu.nsf/engkalendar/aktual-hdp</w:t>
        </w:r>
      </w:hyperlink>
      <w:r w:rsidRPr="000E2069">
        <w:rPr>
          <w:i/>
          <w:iCs/>
          <w:lang w:val="en-GB"/>
        </w:rPr>
        <w:t xml:space="preserve"> </w:t>
      </w:r>
    </w:p>
    <w:p w:rsidR="00114088" w:rsidRPr="000E2069" w:rsidRDefault="00114088" w:rsidP="00114088">
      <w:pPr>
        <w:ind w:left="4111" w:hanging="4111"/>
        <w:rPr>
          <w:i/>
          <w:iCs/>
          <w:lang w:val="en-GB"/>
        </w:rPr>
      </w:pPr>
      <w:r w:rsidRPr="000E2069">
        <w:rPr>
          <w:i/>
          <w:iCs/>
          <w:lang w:val="en-GB"/>
        </w:rPr>
        <w:t xml:space="preserve">Next News Release will be published on: </w:t>
      </w:r>
      <w:r w:rsidRPr="000E2069">
        <w:rPr>
          <w:i/>
          <w:iCs/>
          <w:lang w:val="en-GB"/>
        </w:rPr>
        <w:tab/>
      </w:r>
      <w:r w:rsidR="00F06BF3" w:rsidRPr="000E2069">
        <w:rPr>
          <w:i/>
          <w:iCs/>
          <w:lang w:val="en-GB"/>
        </w:rPr>
        <w:t>30</w:t>
      </w:r>
      <w:r w:rsidRPr="000E2069">
        <w:rPr>
          <w:i/>
          <w:iCs/>
          <w:lang w:val="en-GB"/>
        </w:rPr>
        <w:t xml:space="preserve"> </w:t>
      </w:r>
      <w:r w:rsidR="00F06BF3" w:rsidRPr="000E2069">
        <w:rPr>
          <w:i/>
          <w:iCs/>
          <w:lang w:val="en-GB"/>
        </w:rPr>
        <w:t>March</w:t>
      </w:r>
      <w:r w:rsidRPr="000E2069">
        <w:rPr>
          <w:i/>
          <w:iCs/>
          <w:lang w:val="en-GB"/>
        </w:rPr>
        <w:t xml:space="preserve"> 2015 (</w:t>
      </w:r>
      <w:r w:rsidR="00F06BF3" w:rsidRPr="000E2069">
        <w:rPr>
          <w:i/>
          <w:lang w:val="en-GB"/>
        </w:rPr>
        <w:t>Quarterly National Accounts for the 4th Quarter of 2014</w:t>
      </w:r>
      <w:r w:rsidRPr="000E2069">
        <w:rPr>
          <w:i/>
          <w:iCs/>
          <w:lang w:val="en-GB"/>
        </w:rPr>
        <w:t>)</w:t>
      </w:r>
    </w:p>
    <w:sectPr w:rsidR="00114088" w:rsidRPr="000E2069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DC" w:rsidRDefault="000479DC" w:rsidP="00BA6370">
      <w:r>
        <w:separator/>
      </w:r>
    </w:p>
  </w:endnote>
  <w:endnote w:type="continuationSeparator" w:id="0">
    <w:p w:rsidR="000479DC" w:rsidRDefault="000479D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DC" w:rsidRDefault="001F393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left:0;text-align:left;margin-left:99.3pt;margin-top:763.2pt;width:426.2pt;height:45.9pt;z-index:25166080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0479DC" w:rsidRPr="00950030" w:rsidRDefault="000479DC" w:rsidP="00762253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</w:pPr>
                <w:r w:rsidRPr="00950030"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  <w:t>Information Services Unit – Headquarters</w:t>
                </w:r>
              </w:p>
              <w:p w:rsidR="000479DC" w:rsidRPr="00950030" w:rsidRDefault="000479DC" w:rsidP="00762253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950030">
                  <w:rPr>
                    <w:rFonts w:cs="Arial"/>
                    <w:sz w:val="15"/>
                    <w:szCs w:val="15"/>
                    <w:lang w:val="en-GB"/>
                  </w:rPr>
                  <w:t xml:space="preserve">Are you interested in the latest data connected with inflation, GDP, population, wages and much more? </w:t>
                </w:r>
              </w:p>
              <w:p w:rsidR="000479DC" w:rsidRPr="00950030" w:rsidRDefault="000479DC" w:rsidP="00762253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950030">
                  <w:rPr>
                    <w:rFonts w:cs="Arial"/>
                    <w:sz w:val="15"/>
                    <w:szCs w:val="15"/>
                    <w:lang w:val="en-GB"/>
                  </w:rPr>
                  <w:t xml:space="preserve">You can find them on pages of the Czech Statistical Office on the Internet: </w:t>
                </w:r>
                <w:r w:rsidRPr="00950030">
                  <w:rPr>
                    <w:rFonts w:cs="Arial"/>
                    <w:b/>
                    <w:color w:val="BD1B21"/>
                    <w:sz w:val="15"/>
                    <w:szCs w:val="15"/>
                    <w:lang w:val="en-GB"/>
                  </w:rPr>
                  <w:t>www.czso.cz</w:t>
                </w:r>
                <w:r w:rsidRPr="00950030">
                  <w:rPr>
                    <w:rFonts w:cs="Arial"/>
                    <w:color w:val="BD1B21"/>
                    <w:sz w:val="15"/>
                    <w:szCs w:val="15"/>
                    <w:lang w:val="en-GB"/>
                  </w:rPr>
                  <w:t xml:space="preserve"> </w:t>
                </w:r>
              </w:p>
              <w:p w:rsidR="000479DC" w:rsidRPr="000172E7" w:rsidRDefault="000479DC" w:rsidP="00762253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950030">
                  <w:rPr>
                    <w:rFonts w:cs="Arial"/>
                    <w:sz w:val="15"/>
                    <w:szCs w:val="15"/>
                    <w:lang w:val="en-GB"/>
                  </w:rPr>
                  <w:t xml:space="preserve">tel: +420 274 052 304, +420 274 052 425, e-mail: </w:t>
                </w:r>
                <w:hyperlink r:id="rId1" w:history="1">
                  <w:r w:rsidRPr="00950030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en-GB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1F393A">
                  <w:rPr>
                    <w:rFonts w:cs="Arial"/>
                    <w:noProof/>
                    <w:szCs w:val="15"/>
                  </w:rPr>
                  <w:t>1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DC" w:rsidRDefault="001F393A" w:rsidP="00BA6370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1" type="#_x0000_t202" style="position:absolute;left:0;text-align:left;margin-left:99.3pt;margin-top:763.2pt;width:426.2pt;height:45.9pt;z-index:25165977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  <v:textbox inset="0,0,0,0">
              <w:txbxContent>
                <w:p w:rsidR="000479DC" w:rsidRPr="00950030" w:rsidRDefault="000479DC" w:rsidP="00762253">
                  <w:pPr>
                    <w:spacing w:line="220" w:lineRule="atLeast"/>
                    <w:rPr>
                      <w:rFonts w:cs="Arial"/>
                      <w:b/>
                      <w:bCs/>
                      <w:sz w:val="15"/>
                      <w:szCs w:val="15"/>
                      <w:lang w:val="en-GB"/>
                    </w:rPr>
                  </w:pPr>
                  <w:r w:rsidRPr="00950030">
                    <w:rPr>
                      <w:rFonts w:cs="Arial"/>
                      <w:b/>
                      <w:bCs/>
                      <w:sz w:val="15"/>
                      <w:szCs w:val="15"/>
                      <w:lang w:val="en-GB"/>
                    </w:rPr>
                    <w:t>Information Services Unit – Headquarters</w:t>
                  </w:r>
                </w:p>
                <w:p w:rsidR="000479DC" w:rsidRPr="00950030" w:rsidRDefault="000479DC" w:rsidP="00762253">
                  <w:pPr>
                    <w:spacing w:line="220" w:lineRule="atLeast"/>
                    <w:rPr>
                      <w:rFonts w:cs="Arial"/>
                      <w:sz w:val="15"/>
                      <w:szCs w:val="15"/>
                      <w:lang w:val="en-GB"/>
                    </w:rPr>
                  </w:pPr>
                  <w:r w:rsidRPr="00950030">
                    <w:rPr>
                      <w:rFonts w:cs="Arial"/>
                      <w:sz w:val="15"/>
                      <w:szCs w:val="15"/>
                      <w:lang w:val="en-GB"/>
                    </w:rPr>
                    <w:t xml:space="preserve">Are you interested in the latest data connected with inflation, GDP, population, wages and much more? </w:t>
                  </w:r>
                </w:p>
                <w:p w:rsidR="000479DC" w:rsidRPr="00950030" w:rsidRDefault="000479DC" w:rsidP="00762253">
                  <w:pPr>
                    <w:spacing w:line="220" w:lineRule="atLeast"/>
                    <w:rPr>
                      <w:rFonts w:cs="Arial"/>
                      <w:sz w:val="15"/>
                      <w:szCs w:val="15"/>
                      <w:lang w:val="en-GB"/>
                    </w:rPr>
                  </w:pPr>
                  <w:r w:rsidRPr="00950030">
                    <w:rPr>
                      <w:rFonts w:cs="Arial"/>
                      <w:sz w:val="15"/>
                      <w:szCs w:val="15"/>
                      <w:lang w:val="en-GB"/>
                    </w:rPr>
                    <w:t xml:space="preserve">You can find them on pages of the Czech Statistical Office on the Internet: </w:t>
                  </w:r>
                  <w:r w:rsidRPr="00950030">
                    <w:rPr>
                      <w:rFonts w:cs="Arial"/>
                      <w:b/>
                      <w:color w:val="BD1B21"/>
                      <w:sz w:val="15"/>
                      <w:szCs w:val="15"/>
                      <w:lang w:val="en-GB"/>
                    </w:rPr>
                    <w:t>www.czso.cz</w:t>
                  </w:r>
                  <w:r w:rsidRPr="00950030">
                    <w:rPr>
                      <w:rFonts w:cs="Arial"/>
                      <w:color w:val="BD1B21"/>
                      <w:sz w:val="15"/>
                      <w:szCs w:val="15"/>
                      <w:lang w:val="en-GB"/>
                    </w:rPr>
                    <w:t xml:space="preserve"> </w:t>
                  </w:r>
                </w:p>
                <w:p w:rsidR="000479DC" w:rsidRPr="000172E7" w:rsidRDefault="000479DC" w:rsidP="00762253">
                  <w:pPr>
                    <w:tabs>
                      <w:tab w:val="right" w:pos="8505"/>
                    </w:tabs>
                    <w:spacing w:line="220" w:lineRule="atLeast"/>
                    <w:rPr>
                      <w:rFonts w:cs="Arial"/>
                    </w:rPr>
                  </w:pPr>
                  <w:r w:rsidRPr="00950030">
                    <w:rPr>
                      <w:rFonts w:cs="Arial"/>
                      <w:sz w:val="15"/>
                      <w:szCs w:val="15"/>
                      <w:lang w:val="en-GB"/>
                    </w:rPr>
                    <w:t xml:space="preserve">tel: +420 274 052 304, +420 274 052 425, e-mail: </w:t>
                  </w:r>
                  <w:hyperlink r:id="rId1" w:history="1">
                    <w:r w:rsidRPr="00950030">
                      <w:rPr>
                        <w:rStyle w:val="Hypertextovodkaz"/>
                        <w:rFonts w:cs="Arial"/>
                        <w:color w:val="0071BC"/>
                        <w:sz w:val="15"/>
                        <w:szCs w:val="15"/>
                        <w:lang w:val="en-GB"/>
                      </w:rPr>
                      <w:t>infoservis@czso.cz</w:t>
                    </w:r>
                  </w:hyperlink>
                  <w:r>
                    <w:rPr>
                      <w:rFonts w:cs="Arial"/>
                      <w:sz w:val="15"/>
                      <w:szCs w:val="15"/>
                    </w:rPr>
                    <w:tab/>
                  </w:r>
                  <w:r w:rsidRPr="007E75DE">
                    <w:rPr>
                      <w:rFonts w:cs="Arial"/>
                      <w:szCs w:val="15"/>
                    </w:rPr>
                    <w:fldChar w:fldCharType="begin"/>
                  </w:r>
                  <w:r w:rsidRPr="007E75DE">
                    <w:rPr>
                      <w:rFonts w:cs="Arial"/>
                      <w:szCs w:val="15"/>
                    </w:rPr>
                    <w:instrText xml:space="preserve"> PAGE   \* MERGEFORMAT </w:instrText>
                  </w:r>
                  <w:r w:rsidRPr="007E75DE">
                    <w:rPr>
                      <w:rFonts w:cs="Arial"/>
                      <w:szCs w:val="15"/>
                    </w:rPr>
                    <w:fldChar w:fldCharType="separate"/>
                  </w:r>
                  <w:r w:rsidR="001F393A">
                    <w:rPr>
                      <w:rFonts w:cs="Arial"/>
                      <w:noProof/>
                      <w:szCs w:val="15"/>
                    </w:rPr>
                    <w:t>1</w:t>
                  </w:r>
                  <w:r w:rsidRPr="007E75DE">
                    <w:rPr>
                      <w:rFonts w:cs="Arial"/>
                      <w:szCs w:val="15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0479DC">
        <w:separator/>
      </w:r>
    </w:p>
  </w:footnote>
  <w:footnote w:type="continuationSeparator" w:id="0">
    <w:p w:rsidR="000479DC" w:rsidRDefault="000479DC" w:rsidP="00BA6370">
      <w:r>
        <w:continuationSeparator/>
      </w:r>
    </w:p>
  </w:footnote>
  <w:footnote w:id="1">
    <w:p w:rsidR="000479DC" w:rsidRPr="00114088" w:rsidRDefault="000479DC">
      <w:pPr>
        <w:pStyle w:val="Textpoznpodarou"/>
        <w:rPr>
          <w:lang w:val="en-GB"/>
        </w:rPr>
      </w:pPr>
      <w:r w:rsidRPr="00114088">
        <w:rPr>
          <w:rStyle w:val="Znakapoznpodarou"/>
          <w:rFonts w:ascii="Arial" w:hAnsi="Arial" w:cs="Arial"/>
          <w:lang w:val="en-GB"/>
        </w:rPr>
        <w:footnoteRef/>
      </w:r>
      <w:r w:rsidRPr="00114088">
        <w:rPr>
          <w:rFonts w:ascii="Arial" w:hAnsi="Arial" w:cs="Arial"/>
          <w:lang w:val="en-GB"/>
        </w:rPr>
        <w:t xml:space="preserve"> </w:t>
      </w:r>
      <w:r w:rsidRPr="00114088">
        <w:rPr>
          <w:rFonts w:ascii="Arial" w:hAnsi="Arial" w:cs="Arial"/>
          <w:i/>
          <w:iCs/>
          <w:lang w:val="en-GB"/>
        </w:rPr>
        <w:t>Unless otherwise stated, all data presented in this News Release are adjusted for price, seasonal, and calendar effects</w:t>
      </w:r>
      <w:r w:rsidRPr="00114088">
        <w:rPr>
          <w:rFonts w:ascii="Arial" w:hAnsi="Arial" w:cs="Arial"/>
          <w:i/>
          <w:sz w:val="18"/>
          <w:szCs w:val="18"/>
          <w:lang w:val="en-GB"/>
        </w:rPr>
        <w:t xml:space="preserve"> (the number of working days in the whole year 2014 was identical with that in the whole year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DC" w:rsidRDefault="001F393A">
    <w:pPr>
      <w:pStyle w:val="Zhlav"/>
    </w:pPr>
    <w:r>
      <w:rPr>
        <w:noProof/>
        <w:lang w:eastAsia="cs-CZ"/>
      </w:rPr>
      <w:pict>
        <v:group id="_x0000_s2081" style="position:absolute;left:0;text-align:left;margin-left:-69.5pt;margin-top:7.95pt;width:496.95pt;height:80.05pt;z-index:251658752" coordorigin="595,879" coordsize="9939,1601">
          <v:rect id="_x0000_s2082" style="position:absolute;left:1956;top:1911;width:8578;height:569;mso-position-horizontal-relative:page;mso-position-vertical-relative:page" fillcolor="#0071bc" stroked="f"/>
          <v:shape id="_x0000_s208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4" style="position:absolute;left:1217;top:882;width:660;height:153" fillcolor="#0071bc" stroked="f"/>
          <v:rect id="_x0000_s2085" style="position:absolute;left:595;top:1111;width:1282;height:153" fillcolor="#0071bc" stroked="f"/>
          <v:rect id="_x0000_s2086" style="position:absolute;left:1158;top:1340;width:719;height:153" fillcolor="#0071bc" stroked="f"/>
          <v:shape id="_x0000_s208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9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63D"/>
    <w:rsid w:val="0000717E"/>
    <w:rsid w:val="00014E06"/>
    <w:rsid w:val="00034D8B"/>
    <w:rsid w:val="00043BEE"/>
    <w:rsid w:val="00043BF4"/>
    <w:rsid w:val="00047453"/>
    <w:rsid w:val="000479DC"/>
    <w:rsid w:val="00047D80"/>
    <w:rsid w:val="00051BF8"/>
    <w:rsid w:val="00054C09"/>
    <w:rsid w:val="00061A0B"/>
    <w:rsid w:val="000722FC"/>
    <w:rsid w:val="0007579E"/>
    <w:rsid w:val="00076310"/>
    <w:rsid w:val="000843A5"/>
    <w:rsid w:val="00091AE4"/>
    <w:rsid w:val="00096D6C"/>
    <w:rsid w:val="000A017A"/>
    <w:rsid w:val="000A049D"/>
    <w:rsid w:val="000A06B6"/>
    <w:rsid w:val="000B6F63"/>
    <w:rsid w:val="000D093F"/>
    <w:rsid w:val="000D474E"/>
    <w:rsid w:val="000E0A6F"/>
    <w:rsid w:val="000E2069"/>
    <w:rsid w:val="000E3F14"/>
    <w:rsid w:val="000F3C03"/>
    <w:rsid w:val="000F40A2"/>
    <w:rsid w:val="0010691B"/>
    <w:rsid w:val="001129CD"/>
    <w:rsid w:val="00114088"/>
    <w:rsid w:val="001339F5"/>
    <w:rsid w:val="00134B5E"/>
    <w:rsid w:val="001404AB"/>
    <w:rsid w:val="00141E19"/>
    <w:rsid w:val="0014500D"/>
    <w:rsid w:val="00155461"/>
    <w:rsid w:val="0017231D"/>
    <w:rsid w:val="00174B0F"/>
    <w:rsid w:val="001810DC"/>
    <w:rsid w:val="001A081C"/>
    <w:rsid w:val="001B0D74"/>
    <w:rsid w:val="001B607F"/>
    <w:rsid w:val="001D369A"/>
    <w:rsid w:val="001D5D32"/>
    <w:rsid w:val="001F08B3"/>
    <w:rsid w:val="001F2FE0"/>
    <w:rsid w:val="001F393A"/>
    <w:rsid w:val="001F3E65"/>
    <w:rsid w:val="001F7E3A"/>
    <w:rsid w:val="002070FB"/>
    <w:rsid w:val="002108BA"/>
    <w:rsid w:val="00210BFE"/>
    <w:rsid w:val="00211FF5"/>
    <w:rsid w:val="00213729"/>
    <w:rsid w:val="00220125"/>
    <w:rsid w:val="002257E4"/>
    <w:rsid w:val="002275D1"/>
    <w:rsid w:val="002406FA"/>
    <w:rsid w:val="0024621D"/>
    <w:rsid w:val="00252870"/>
    <w:rsid w:val="002670D3"/>
    <w:rsid w:val="002838A3"/>
    <w:rsid w:val="002B2E47"/>
    <w:rsid w:val="002B5F5F"/>
    <w:rsid w:val="002C4028"/>
    <w:rsid w:val="002C464E"/>
    <w:rsid w:val="002C4AB2"/>
    <w:rsid w:val="002C4D56"/>
    <w:rsid w:val="002D3236"/>
    <w:rsid w:val="002E7FB0"/>
    <w:rsid w:val="002F79DB"/>
    <w:rsid w:val="00300671"/>
    <w:rsid w:val="00304ECA"/>
    <w:rsid w:val="003301A3"/>
    <w:rsid w:val="00353C42"/>
    <w:rsid w:val="0036777B"/>
    <w:rsid w:val="00375FF4"/>
    <w:rsid w:val="0038282A"/>
    <w:rsid w:val="00391B31"/>
    <w:rsid w:val="00397580"/>
    <w:rsid w:val="003A45C8"/>
    <w:rsid w:val="003B663D"/>
    <w:rsid w:val="003B7A62"/>
    <w:rsid w:val="003C145E"/>
    <w:rsid w:val="003C28A5"/>
    <w:rsid w:val="003C2DCF"/>
    <w:rsid w:val="003C7FE7"/>
    <w:rsid w:val="003D0499"/>
    <w:rsid w:val="003D1E34"/>
    <w:rsid w:val="003D3576"/>
    <w:rsid w:val="003E00CA"/>
    <w:rsid w:val="003F526A"/>
    <w:rsid w:val="0040018A"/>
    <w:rsid w:val="0040070C"/>
    <w:rsid w:val="00405244"/>
    <w:rsid w:val="00405FA3"/>
    <w:rsid w:val="004115BC"/>
    <w:rsid w:val="00415085"/>
    <w:rsid w:val="00431FD4"/>
    <w:rsid w:val="00432127"/>
    <w:rsid w:val="00437B8B"/>
    <w:rsid w:val="004436EE"/>
    <w:rsid w:val="004477AB"/>
    <w:rsid w:val="00452DED"/>
    <w:rsid w:val="0045547F"/>
    <w:rsid w:val="00456129"/>
    <w:rsid w:val="0047105F"/>
    <w:rsid w:val="00473746"/>
    <w:rsid w:val="004920AD"/>
    <w:rsid w:val="00497D8A"/>
    <w:rsid w:val="004A53B7"/>
    <w:rsid w:val="004C561B"/>
    <w:rsid w:val="004D05B3"/>
    <w:rsid w:val="004E2343"/>
    <w:rsid w:val="004E479E"/>
    <w:rsid w:val="004F1187"/>
    <w:rsid w:val="004F78E6"/>
    <w:rsid w:val="0050420E"/>
    <w:rsid w:val="005050E4"/>
    <w:rsid w:val="00512D99"/>
    <w:rsid w:val="00514822"/>
    <w:rsid w:val="005153B2"/>
    <w:rsid w:val="0053065D"/>
    <w:rsid w:val="00531DBB"/>
    <w:rsid w:val="0053232C"/>
    <w:rsid w:val="00537CCC"/>
    <w:rsid w:val="005413D3"/>
    <w:rsid w:val="00562CF9"/>
    <w:rsid w:val="00572CF7"/>
    <w:rsid w:val="005B1ABE"/>
    <w:rsid w:val="005D6F46"/>
    <w:rsid w:val="005E67B8"/>
    <w:rsid w:val="005E7AB9"/>
    <w:rsid w:val="005F79FB"/>
    <w:rsid w:val="00601187"/>
    <w:rsid w:val="00603390"/>
    <w:rsid w:val="00604406"/>
    <w:rsid w:val="00605F4A"/>
    <w:rsid w:val="00607822"/>
    <w:rsid w:val="006103AA"/>
    <w:rsid w:val="00613BBF"/>
    <w:rsid w:val="006220FD"/>
    <w:rsid w:val="00622B80"/>
    <w:rsid w:val="0064139A"/>
    <w:rsid w:val="00642D05"/>
    <w:rsid w:val="0064672C"/>
    <w:rsid w:val="00651A74"/>
    <w:rsid w:val="00652859"/>
    <w:rsid w:val="00661736"/>
    <w:rsid w:val="00663E01"/>
    <w:rsid w:val="006668BE"/>
    <w:rsid w:val="0067555B"/>
    <w:rsid w:val="0068097B"/>
    <w:rsid w:val="006914A9"/>
    <w:rsid w:val="006917B5"/>
    <w:rsid w:val="006931CF"/>
    <w:rsid w:val="00696720"/>
    <w:rsid w:val="006A3542"/>
    <w:rsid w:val="006B469F"/>
    <w:rsid w:val="006B4921"/>
    <w:rsid w:val="006B6B2B"/>
    <w:rsid w:val="006D6F63"/>
    <w:rsid w:val="006E024F"/>
    <w:rsid w:val="006E4E81"/>
    <w:rsid w:val="006F5C43"/>
    <w:rsid w:val="00705CE8"/>
    <w:rsid w:val="00707513"/>
    <w:rsid w:val="00707F7D"/>
    <w:rsid w:val="00711051"/>
    <w:rsid w:val="00715877"/>
    <w:rsid w:val="00717EC5"/>
    <w:rsid w:val="007435E2"/>
    <w:rsid w:val="007455BC"/>
    <w:rsid w:val="00754C20"/>
    <w:rsid w:val="007569B0"/>
    <w:rsid w:val="00762253"/>
    <w:rsid w:val="007631A3"/>
    <w:rsid w:val="00767F55"/>
    <w:rsid w:val="007769BE"/>
    <w:rsid w:val="007A3377"/>
    <w:rsid w:val="007A57F2"/>
    <w:rsid w:val="007B1333"/>
    <w:rsid w:val="007B5025"/>
    <w:rsid w:val="007D101E"/>
    <w:rsid w:val="007D4D92"/>
    <w:rsid w:val="007E3AC5"/>
    <w:rsid w:val="007E7469"/>
    <w:rsid w:val="007F4AEB"/>
    <w:rsid w:val="007F75B2"/>
    <w:rsid w:val="008034B5"/>
    <w:rsid w:val="00803993"/>
    <w:rsid w:val="008043C4"/>
    <w:rsid w:val="0081453E"/>
    <w:rsid w:val="00831B1B"/>
    <w:rsid w:val="008330DD"/>
    <w:rsid w:val="00833B6C"/>
    <w:rsid w:val="00836CC0"/>
    <w:rsid w:val="00843C7B"/>
    <w:rsid w:val="008445F1"/>
    <w:rsid w:val="00855FB3"/>
    <w:rsid w:val="00861D0E"/>
    <w:rsid w:val="008662BB"/>
    <w:rsid w:val="008664AD"/>
    <w:rsid w:val="00867569"/>
    <w:rsid w:val="008716ED"/>
    <w:rsid w:val="00875050"/>
    <w:rsid w:val="008807F8"/>
    <w:rsid w:val="00886379"/>
    <w:rsid w:val="008A468F"/>
    <w:rsid w:val="008A5C66"/>
    <w:rsid w:val="008A750A"/>
    <w:rsid w:val="008B3970"/>
    <w:rsid w:val="008C384C"/>
    <w:rsid w:val="008C60F2"/>
    <w:rsid w:val="008D0F11"/>
    <w:rsid w:val="008E5263"/>
    <w:rsid w:val="008E7C78"/>
    <w:rsid w:val="008F513A"/>
    <w:rsid w:val="008F73B4"/>
    <w:rsid w:val="008F7A7C"/>
    <w:rsid w:val="0090247C"/>
    <w:rsid w:val="009067F3"/>
    <w:rsid w:val="009214F3"/>
    <w:rsid w:val="00924378"/>
    <w:rsid w:val="00953E53"/>
    <w:rsid w:val="00965A28"/>
    <w:rsid w:val="00977A2B"/>
    <w:rsid w:val="00981B8B"/>
    <w:rsid w:val="009A1852"/>
    <w:rsid w:val="009B55B1"/>
    <w:rsid w:val="009C29D7"/>
    <w:rsid w:val="009C491B"/>
    <w:rsid w:val="009D1AA1"/>
    <w:rsid w:val="009E08F2"/>
    <w:rsid w:val="009E424F"/>
    <w:rsid w:val="009E7F60"/>
    <w:rsid w:val="00A21DE9"/>
    <w:rsid w:val="00A235BD"/>
    <w:rsid w:val="00A2475C"/>
    <w:rsid w:val="00A32542"/>
    <w:rsid w:val="00A4343D"/>
    <w:rsid w:val="00A46C29"/>
    <w:rsid w:val="00A502F1"/>
    <w:rsid w:val="00A50BDA"/>
    <w:rsid w:val="00A56CDF"/>
    <w:rsid w:val="00A602E4"/>
    <w:rsid w:val="00A6212A"/>
    <w:rsid w:val="00A70A83"/>
    <w:rsid w:val="00A81B53"/>
    <w:rsid w:val="00A81E9B"/>
    <w:rsid w:val="00A81EB3"/>
    <w:rsid w:val="00A871B5"/>
    <w:rsid w:val="00AA0EB5"/>
    <w:rsid w:val="00AA25BA"/>
    <w:rsid w:val="00AB1F19"/>
    <w:rsid w:val="00AB2EC1"/>
    <w:rsid w:val="00AB3410"/>
    <w:rsid w:val="00AB4E61"/>
    <w:rsid w:val="00AB7D0D"/>
    <w:rsid w:val="00AE57C1"/>
    <w:rsid w:val="00AF2F48"/>
    <w:rsid w:val="00B00C1D"/>
    <w:rsid w:val="00B11886"/>
    <w:rsid w:val="00B15815"/>
    <w:rsid w:val="00B3768E"/>
    <w:rsid w:val="00B46BB6"/>
    <w:rsid w:val="00B54EFC"/>
    <w:rsid w:val="00B55375"/>
    <w:rsid w:val="00B632CC"/>
    <w:rsid w:val="00B6391C"/>
    <w:rsid w:val="00B67880"/>
    <w:rsid w:val="00B71B0D"/>
    <w:rsid w:val="00BA12F1"/>
    <w:rsid w:val="00BA29A0"/>
    <w:rsid w:val="00BA439F"/>
    <w:rsid w:val="00BA6370"/>
    <w:rsid w:val="00BB05C9"/>
    <w:rsid w:val="00C044BB"/>
    <w:rsid w:val="00C04EE7"/>
    <w:rsid w:val="00C1793B"/>
    <w:rsid w:val="00C25C7A"/>
    <w:rsid w:val="00C25E7E"/>
    <w:rsid w:val="00C269D4"/>
    <w:rsid w:val="00C26F50"/>
    <w:rsid w:val="00C4160D"/>
    <w:rsid w:val="00C41D34"/>
    <w:rsid w:val="00C44192"/>
    <w:rsid w:val="00C74EF0"/>
    <w:rsid w:val="00C8406E"/>
    <w:rsid w:val="00C85661"/>
    <w:rsid w:val="00C93A36"/>
    <w:rsid w:val="00CA4877"/>
    <w:rsid w:val="00CB2709"/>
    <w:rsid w:val="00CB6F89"/>
    <w:rsid w:val="00CE228C"/>
    <w:rsid w:val="00CE63B6"/>
    <w:rsid w:val="00CE71D9"/>
    <w:rsid w:val="00CF5007"/>
    <w:rsid w:val="00CF545B"/>
    <w:rsid w:val="00CF5683"/>
    <w:rsid w:val="00D05B81"/>
    <w:rsid w:val="00D209A7"/>
    <w:rsid w:val="00D20C3F"/>
    <w:rsid w:val="00D27D69"/>
    <w:rsid w:val="00D448C2"/>
    <w:rsid w:val="00D51A9D"/>
    <w:rsid w:val="00D54ECF"/>
    <w:rsid w:val="00D666C3"/>
    <w:rsid w:val="00D7632F"/>
    <w:rsid w:val="00D84CF6"/>
    <w:rsid w:val="00D9189F"/>
    <w:rsid w:val="00DA0F2E"/>
    <w:rsid w:val="00DB5FD4"/>
    <w:rsid w:val="00DB6231"/>
    <w:rsid w:val="00DB7F9F"/>
    <w:rsid w:val="00DD5EF9"/>
    <w:rsid w:val="00DE6098"/>
    <w:rsid w:val="00DF47FE"/>
    <w:rsid w:val="00DF5340"/>
    <w:rsid w:val="00E0156A"/>
    <w:rsid w:val="00E26704"/>
    <w:rsid w:val="00E31980"/>
    <w:rsid w:val="00E34CE0"/>
    <w:rsid w:val="00E45511"/>
    <w:rsid w:val="00E55634"/>
    <w:rsid w:val="00E612E7"/>
    <w:rsid w:val="00E6423C"/>
    <w:rsid w:val="00E6528D"/>
    <w:rsid w:val="00E83382"/>
    <w:rsid w:val="00E93830"/>
    <w:rsid w:val="00E93E0E"/>
    <w:rsid w:val="00EA3E2D"/>
    <w:rsid w:val="00EA6510"/>
    <w:rsid w:val="00EA73FA"/>
    <w:rsid w:val="00EB1ED3"/>
    <w:rsid w:val="00ED4013"/>
    <w:rsid w:val="00ED6C63"/>
    <w:rsid w:val="00ED7E90"/>
    <w:rsid w:val="00EE1D62"/>
    <w:rsid w:val="00EE6240"/>
    <w:rsid w:val="00F069D2"/>
    <w:rsid w:val="00F06BF3"/>
    <w:rsid w:val="00F170B0"/>
    <w:rsid w:val="00F31E08"/>
    <w:rsid w:val="00F340B2"/>
    <w:rsid w:val="00F35D70"/>
    <w:rsid w:val="00F454E4"/>
    <w:rsid w:val="00F4725F"/>
    <w:rsid w:val="00F513E2"/>
    <w:rsid w:val="00F52572"/>
    <w:rsid w:val="00F55F6E"/>
    <w:rsid w:val="00F75F2A"/>
    <w:rsid w:val="00F86A31"/>
    <w:rsid w:val="00F932C3"/>
    <w:rsid w:val="00FA0FA1"/>
    <w:rsid w:val="00FB687C"/>
    <w:rsid w:val="00FD7C6F"/>
    <w:rsid w:val="00FE1C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04ECA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304EC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304EC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04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zso.cz/csu/csu.nsf/engkalendar/aktual-hdp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VYS\RI\&#352;ablony\&#345;&#237;jen_2013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E0D4-EFA6-44D7-9A86-70E52BBE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18</TotalTime>
  <Pages>3</Pages>
  <Words>1009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Švecová</dc:creator>
  <cp:lastModifiedBy>svecova8495</cp:lastModifiedBy>
  <cp:revision>6</cp:revision>
  <cp:lastPrinted>2015-02-26T11:00:00Z</cp:lastPrinted>
  <dcterms:created xsi:type="dcterms:W3CDTF">2015-02-26T17:17:00Z</dcterms:created>
  <dcterms:modified xsi:type="dcterms:W3CDTF">2015-02-26T17:40:00Z</dcterms:modified>
</cp:coreProperties>
</file>