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569" w:rsidRDefault="00B9436B" w:rsidP="00867569">
      <w:pPr>
        <w:pStyle w:val="Datum"/>
      </w:pPr>
      <w:r>
        <w:t>January</w:t>
      </w:r>
      <w:r w:rsidR="00070C41">
        <w:t xml:space="preserve"> 1</w:t>
      </w:r>
      <w:r>
        <w:t>3</w:t>
      </w:r>
      <w:r w:rsidR="00070C41">
        <w:t>, 201</w:t>
      </w:r>
      <w:r>
        <w:t>6</w:t>
      </w:r>
    </w:p>
    <w:p w:rsidR="008B3970" w:rsidRDefault="00573EEE" w:rsidP="008B3970">
      <w:pPr>
        <w:pStyle w:val="Nzev"/>
      </w:pPr>
      <w:r>
        <w:t xml:space="preserve">Government deficit and debt – </w:t>
      </w:r>
      <w:r w:rsidR="00B9436B">
        <w:t>3</w:t>
      </w:r>
      <w:r>
        <w:t>. quarter of 2015</w:t>
      </w:r>
    </w:p>
    <w:p w:rsidR="00573EEE" w:rsidRPr="008B3970" w:rsidRDefault="006B6EE5" w:rsidP="00573EEE">
      <w:pPr>
        <w:pStyle w:val="Podtitulek"/>
        <w:rPr>
          <w:color w:val="BD1B21"/>
        </w:rPr>
      </w:pPr>
      <w:r>
        <w:t>Balance</w:t>
      </w:r>
      <w:r w:rsidR="006E445B">
        <w:t xml:space="preserve"> repeatedly</w:t>
      </w:r>
      <w:r>
        <w:t xml:space="preserve"> in surplus, indebtedness</w:t>
      </w:r>
      <w:r w:rsidR="006E445B">
        <w:t xml:space="preserve"> continues to decline</w:t>
      </w:r>
    </w:p>
    <w:p w:rsidR="00573EEE" w:rsidRDefault="006B6EE5" w:rsidP="00573EEE">
      <w:r w:rsidRPr="006B6EE5">
        <w:t xml:space="preserve">In the second quarter 2015, </w:t>
      </w:r>
      <w:r>
        <w:rPr>
          <w:b/>
        </w:rPr>
        <w:t xml:space="preserve">balance </w:t>
      </w:r>
      <w:r w:rsidR="00573EEE">
        <w:rPr>
          <w:b/>
        </w:rPr>
        <w:t xml:space="preserve">of government institutions </w:t>
      </w:r>
      <w:r w:rsidR="00573EEE">
        <w:t xml:space="preserve">expressed as a percentage of GDP has reached </w:t>
      </w:r>
      <w:r w:rsidRPr="006B6EE5">
        <w:rPr>
          <w:b/>
        </w:rPr>
        <w:t>surplus</w:t>
      </w:r>
      <w:r>
        <w:t xml:space="preserve"> </w:t>
      </w:r>
      <w:r w:rsidR="006510EF">
        <w:rPr>
          <w:b/>
        </w:rPr>
        <w:t xml:space="preserve">0.91 </w:t>
      </w:r>
      <w:r w:rsidR="00070C41">
        <w:rPr>
          <w:b/>
        </w:rPr>
        <w:t>percent</w:t>
      </w:r>
      <w:r w:rsidR="00573EEE">
        <w:t xml:space="preserve">. Compared to the </w:t>
      </w:r>
      <w:r w:rsidR="006510EF">
        <w:t>third</w:t>
      </w:r>
      <w:r>
        <w:t xml:space="preserve"> </w:t>
      </w:r>
      <w:r w:rsidR="00573EEE">
        <w:t xml:space="preserve">quarter of 2014, deficit has been </w:t>
      </w:r>
      <w:r w:rsidR="00070C41">
        <w:t xml:space="preserve">reduced by </w:t>
      </w:r>
      <w:r w:rsidR="00021A4A">
        <w:t>almost</w:t>
      </w:r>
      <w:r w:rsidR="00070C41">
        <w:t xml:space="preserve"> </w:t>
      </w:r>
      <w:r w:rsidR="006510EF">
        <w:t>0.9</w:t>
      </w:r>
      <w:r w:rsidR="00070C41">
        <w:t xml:space="preserve"> percentage points</w:t>
      </w:r>
      <w:r w:rsidR="00FA5E5D">
        <w:t xml:space="preserve"> (p.p.)</w:t>
      </w:r>
      <w:r w:rsidR="00070C41">
        <w:t xml:space="preserve">. </w:t>
      </w:r>
      <w:r w:rsidR="006510EF">
        <w:t>Revisions of previous quarters of the current year result from updates of data sources.</w:t>
      </w:r>
    </w:p>
    <w:p w:rsidR="00070C41" w:rsidRDefault="00070C41" w:rsidP="00573EEE"/>
    <w:p w:rsidR="00070C41" w:rsidRPr="00043BF4" w:rsidRDefault="00070C41" w:rsidP="00070C41">
      <w:pPr>
        <w:pStyle w:val="TabulkaGraf"/>
      </w:pPr>
      <w:r>
        <w:t xml:space="preserve">Surplus/Deficit of government institutions, the Czech Republic, </w:t>
      </w:r>
      <w:r w:rsidR="003B7A7A">
        <w:t>3</w:t>
      </w:r>
      <w:r>
        <w:t>.Q2014-</w:t>
      </w:r>
      <w:r w:rsidR="003B7A7A">
        <w:t>3</w:t>
      </w:r>
      <w:r>
        <w:t>.Q2015</w:t>
      </w:r>
    </w:p>
    <w:tbl>
      <w:tblPr>
        <w:tblStyle w:val="Mkatabulky"/>
        <w:tblW w:w="8789" w:type="dxa"/>
        <w:tblInd w:w="-176" w:type="dxa"/>
        <w:tblLook w:val="04A0" w:firstRow="1" w:lastRow="0" w:firstColumn="1" w:lastColumn="0" w:noHBand="0" w:noVBand="1"/>
      </w:tblPr>
      <w:tblGrid>
        <w:gridCol w:w="2269"/>
        <w:gridCol w:w="850"/>
        <w:gridCol w:w="1134"/>
        <w:gridCol w:w="1134"/>
        <w:gridCol w:w="1134"/>
        <w:gridCol w:w="1134"/>
        <w:gridCol w:w="1134"/>
      </w:tblGrid>
      <w:tr w:rsidR="003B7A7A" w:rsidTr="006510EF">
        <w:tc>
          <w:tcPr>
            <w:tcW w:w="2269" w:type="dxa"/>
            <w:vMerge w:val="restart"/>
            <w:vAlign w:val="center"/>
          </w:tcPr>
          <w:p w:rsidR="003B7A7A" w:rsidRDefault="003B7A7A" w:rsidP="00B539C1">
            <w:pPr>
              <w:jc w:val="center"/>
            </w:pPr>
          </w:p>
        </w:tc>
        <w:tc>
          <w:tcPr>
            <w:tcW w:w="850" w:type="dxa"/>
            <w:vMerge w:val="restart"/>
            <w:vAlign w:val="center"/>
          </w:tcPr>
          <w:p w:rsidR="003B7A7A" w:rsidRDefault="003B7A7A" w:rsidP="00B539C1">
            <w:pPr>
              <w:jc w:val="center"/>
            </w:pPr>
            <w:r>
              <w:t>Unit</w:t>
            </w:r>
          </w:p>
        </w:tc>
        <w:tc>
          <w:tcPr>
            <w:tcW w:w="2268" w:type="dxa"/>
            <w:gridSpan w:val="2"/>
          </w:tcPr>
          <w:p w:rsidR="003B7A7A" w:rsidRDefault="003B7A7A" w:rsidP="00B539C1">
            <w:pPr>
              <w:spacing w:line="240" w:lineRule="auto"/>
              <w:jc w:val="center"/>
              <w:rPr>
                <w:szCs w:val="20"/>
                <w:lang w:eastAsia="cs-CZ"/>
              </w:rPr>
            </w:pPr>
            <w:r>
              <w:rPr>
                <w:szCs w:val="20"/>
                <w:lang w:eastAsia="cs-CZ"/>
              </w:rPr>
              <w:t>2014</w:t>
            </w:r>
          </w:p>
        </w:tc>
        <w:tc>
          <w:tcPr>
            <w:tcW w:w="3402" w:type="dxa"/>
            <w:gridSpan w:val="3"/>
          </w:tcPr>
          <w:p w:rsidR="003B7A7A" w:rsidRDefault="003B7A7A" w:rsidP="00B539C1">
            <w:pPr>
              <w:jc w:val="center"/>
            </w:pPr>
            <w:r>
              <w:t>2015</w:t>
            </w:r>
          </w:p>
        </w:tc>
      </w:tr>
      <w:tr w:rsidR="003B7A7A" w:rsidTr="006510EF">
        <w:trPr>
          <w:trHeight w:val="338"/>
        </w:trPr>
        <w:tc>
          <w:tcPr>
            <w:tcW w:w="2269" w:type="dxa"/>
            <w:vMerge/>
          </w:tcPr>
          <w:p w:rsidR="003B7A7A" w:rsidRDefault="003B7A7A" w:rsidP="00B539C1"/>
        </w:tc>
        <w:tc>
          <w:tcPr>
            <w:tcW w:w="850" w:type="dxa"/>
            <w:vMerge/>
          </w:tcPr>
          <w:p w:rsidR="003B7A7A" w:rsidRDefault="003B7A7A" w:rsidP="00B539C1"/>
        </w:tc>
        <w:tc>
          <w:tcPr>
            <w:tcW w:w="1134" w:type="dxa"/>
          </w:tcPr>
          <w:p w:rsidR="003B7A7A" w:rsidRDefault="003B7A7A" w:rsidP="003B7A7A">
            <w:pPr>
              <w:jc w:val="center"/>
            </w:pPr>
            <w:r>
              <w:t>3. quarter</w:t>
            </w:r>
          </w:p>
        </w:tc>
        <w:tc>
          <w:tcPr>
            <w:tcW w:w="1134" w:type="dxa"/>
          </w:tcPr>
          <w:p w:rsidR="003B7A7A" w:rsidRDefault="003B7A7A" w:rsidP="00B539C1">
            <w:pPr>
              <w:jc w:val="center"/>
            </w:pPr>
            <w:r>
              <w:t>4. quarter</w:t>
            </w:r>
          </w:p>
        </w:tc>
        <w:tc>
          <w:tcPr>
            <w:tcW w:w="1134" w:type="dxa"/>
          </w:tcPr>
          <w:p w:rsidR="003B7A7A" w:rsidRDefault="003B7A7A" w:rsidP="00B539C1">
            <w:pPr>
              <w:jc w:val="center"/>
            </w:pPr>
            <w:r>
              <w:t>1. quarter</w:t>
            </w:r>
          </w:p>
        </w:tc>
        <w:tc>
          <w:tcPr>
            <w:tcW w:w="1134" w:type="dxa"/>
          </w:tcPr>
          <w:p w:rsidR="003B7A7A" w:rsidRDefault="003B7A7A" w:rsidP="00B539C1">
            <w:pPr>
              <w:jc w:val="center"/>
            </w:pPr>
            <w:r>
              <w:t>2. quarter</w:t>
            </w:r>
          </w:p>
        </w:tc>
        <w:tc>
          <w:tcPr>
            <w:tcW w:w="1134" w:type="dxa"/>
          </w:tcPr>
          <w:p w:rsidR="003B7A7A" w:rsidRDefault="003B7A7A" w:rsidP="00B539C1">
            <w:pPr>
              <w:jc w:val="center"/>
            </w:pPr>
            <w:r>
              <w:t>3. quarter</w:t>
            </w:r>
          </w:p>
        </w:tc>
      </w:tr>
      <w:tr w:rsidR="003B7A7A" w:rsidTr="006510EF">
        <w:tc>
          <w:tcPr>
            <w:tcW w:w="2269" w:type="dxa"/>
            <w:vMerge w:val="restart"/>
          </w:tcPr>
          <w:p w:rsidR="003B7A7A" w:rsidRDefault="003B7A7A" w:rsidP="00B539C1">
            <w:pPr>
              <w:jc w:val="left"/>
            </w:pPr>
            <w:r w:rsidRPr="00B07B5B">
              <w:rPr>
                <w:rFonts w:cs="Arial"/>
                <w:szCs w:val="20"/>
              </w:rPr>
              <w:t xml:space="preserve">Net </w:t>
            </w:r>
            <w:r>
              <w:rPr>
                <w:rFonts w:cs="Arial"/>
                <w:szCs w:val="20"/>
              </w:rPr>
              <w:t>lending/</w:t>
            </w:r>
            <w:r w:rsidRPr="00B07B5B">
              <w:rPr>
                <w:rFonts w:cs="Arial"/>
                <w:szCs w:val="20"/>
              </w:rPr>
              <w:t>borrowing</w:t>
            </w:r>
            <w:r>
              <w:rPr>
                <w:rFonts w:cs="Arial"/>
                <w:szCs w:val="20"/>
              </w:rPr>
              <w:t xml:space="preserve"> </w:t>
            </w:r>
            <w:r w:rsidRPr="00B07B5B">
              <w:rPr>
                <w:rFonts w:cs="Arial"/>
                <w:szCs w:val="20"/>
              </w:rPr>
              <w:t>(</w:t>
            </w:r>
            <w:r>
              <w:rPr>
                <w:rFonts w:cs="Arial"/>
                <w:szCs w:val="20"/>
              </w:rPr>
              <w:t>surplus/deficit</w:t>
            </w:r>
            <w:r w:rsidRPr="00B07B5B">
              <w:rPr>
                <w:rFonts w:cs="Arial"/>
                <w:szCs w:val="20"/>
              </w:rPr>
              <w:t xml:space="preserve">) </w:t>
            </w:r>
            <w:r>
              <w:rPr>
                <w:rFonts w:cs="Arial"/>
                <w:szCs w:val="20"/>
              </w:rPr>
              <w:t>of general government</w:t>
            </w:r>
          </w:p>
        </w:tc>
        <w:tc>
          <w:tcPr>
            <w:tcW w:w="850" w:type="dxa"/>
          </w:tcPr>
          <w:p w:rsidR="003B7A7A" w:rsidRDefault="003B7A7A" w:rsidP="00B539C1">
            <w:pPr>
              <w:jc w:val="center"/>
            </w:pPr>
            <w:r>
              <w:t>CZK mill.</w:t>
            </w:r>
          </w:p>
        </w:tc>
        <w:tc>
          <w:tcPr>
            <w:tcW w:w="1134" w:type="dxa"/>
            <w:vAlign w:val="center"/>
          </w:tcPr>
          <w:p w:rsidR="003B7A7A" w:rsidRDefault="003B7A7A" w:rsidP="003B7A7A">
            <w:pPr>
              <w:jc w:val="center"/>
            </w:pPr>
            <w:r>
              <w:t>98</w:t>
            </w:r>
          </w:p>
        </w:tc>
        <w:tc>
          <w:tcPr>
            <w:tcW w:w="1134" w:type="dxa"/>
            <w:vAlign w:val="center"/>
          </w:tcPr>
          <w:p w:rsidR="003B7A7A" w:rsidRDefault="003B7A7A" w:rsidP="003B7A7A">
            <w:pPr>
              <w:jc w:val="center"/>
            </w:pPr>
            <w:r>
              <w:t>-39 624</w:t>
            </w:r>
          </w:p>
        </w:tc>
        <w:tc>
          <w:tcPr>
            <w:tcW w:w="1134" w:type="dxa"/>
            <w:vAlign w:val="center"/>
          </w:tcPr>
          <w:p w:rsidR="003B7A7A" w:rsidRDefault="003B7A7A" w:rsidP="003B7A7A">
            <w:pPr>
              <w:jc w:val="center"/>
            </w:pPr>
            <w:r>
              <w:t>-13 971</w:t>
            </w:r>
          </w:p>
        </w:tc>
        <w:tc>
          <w:tcPr>
            <w:tcW w:w="1134" w:type="dxa"/>
            <w:vAlign w:val="center"/>
          </w:tcPr>
          <w:p w:rsidR="003B7A7A" w:rsidRDefault="003B7A7A" w:rsidP="003B7A7A">
            <w:pPr>
              <w:jc w:val="center"/>
            </w:pPr>
            <w:r>
              <w:t>13 732</w:t>
            </w:r>
          </w:p>
        </w:tc>
        <w:tc>
          <w:tcPr>
            <w:tcW w:w="1134" w:type="dxa"/>
            <w:vAlign w:val="center"/>
          </w:tcPr>
          <w:p w:rsidR="003B7A7A" w:rsidRDefault="003B7A7A" w:rsidP="003B7A7A">
            <w:pPr>
              <w:jc w:val="center"/>
            </w:pPr>
            <w:r>
              <w:t>10 448</w:t>
            </w:r>
          </w:p>
        </w:tc>
      </w:tr>
      <w:tr w:rsidR="003B7A7A" w:rsidTr="006510EF">
        <w:tc>
          <w:tcPr>
            <w:tcW w:w="2269" w:type="dxa"/>
            <w:vMerge/>
          </w:tcPr>
          <w:p w:rsidR="003B7A7A" w:rsidRDefault="003B7A7A" w:rsidP="00B539C1"/>
        </w:tc>
        <w:tc>
          <w:tcPr>
            <w:tcW w:w="850" w:type="dxa"/>
          </w:tcPr>
          <w:p w:rsidR="003B7A7A" w:rsidRDefault="003B7A7A" w:rsidP="003B7A7A">
            <w:pPr>
              <w:jc w:val="center"/>
            </w:pPr>
            <w:r>
              <w:t>% of GDP</w:t>
            </w:r>
          </w:p>
        </w:tc>
        <w:tc>
          <w:tcPr>
            <w:tcW w:w="1134" w:type="dxa"/>
            <w:vAlign w:val="center"/>
          </w:tcPr>
          <w:p w:rsidR="003B7A7A" w:rsidRDefault="003B7A7A" w:rsidP="003B7A7A">
            <w:pPr>
              <w:jc w:val="center"/>
            </w:pPr>
            <w:r>
              <w:t>0,01</w:t>
            </w:r>
          </w:p>
        </w:tc>
        <w:tc>
          <w:tcPr>
            <w:tcW w:w="1134" w:type="dxa"/>
            <w:vAlign w:val="center"/>
          </w:tcPr>
          <w:p w:rsidR="003B7A7A" w:rsidRDefault="003B7A7A" w:rsidP="003B7A7A">
            <w:pPr>
              <w:jc w:val="center"/>
            </w:pPr>
            <w:r>
              <w:t>-3,54</w:t>
            </w:r>
          </w:p>
        </w:tc>
        <w:tc>
          <w:tcPr>
            <w:tcW w:w="1134" w:type="dxa"/>
            <w:vAlign w:val="center"/>
          </w:tcPr>
          <w:p w:rsidR="003B7A7A" w:rsidRDefault="003B7A7A" w:rsidP="003B7A7A">
            <w:pPr>
              <w:jc w:val="center"/>
            </w:pPr>
            <w:r>
              <w:t>-1,35</w:t>
            </w:r>
          </w:p>
        </w:tc>
        <w:tc>
          <w:tcPr>
            <w:tcW w:w="1134" w:type="dxa"/>
            <w:vAlign w:val="center"/>
          </w:tcPr>
          <w:p w:rsidR="003B7A7A" w:rsidRDefault="003B7A7A" w:rsidP="003B7A7A">
            <w:pPr>
              <w:jc w:val="center"/>
            </w:pPr>
            <w:r>
              <w:t>1,22</w:t>
            </w:r>
          </w:p>
        </w:tc>
        <w:tc>
          <w:tcPr>
            <w:tcW w:w="1134" w:type="dxa"/>
            <w:vAlign w:val="center"/>
          </w:tcPr>
          <w:p w:rsidR="003B7A7A" w:rsidRDefault="003B7A7A" w:rsidP="003B7A7A">
            <w:pPr>
              <w:jc w:val="center"/>
            </w:pPr>
            <w:r>
              <w:t>0,91</w:t>
            </w:r>
          </w:p>
        </w:tc>
      </w:tr>
    </w:tbl>
    <w:p w:rsidR="003B7A7A" w:rsidRPr="00EE0960" w:rsidRDefault="003B7A7A" w:rsidP="003B7A7A">
      <w:pPr>
        <w:rPr>
          <w:i/>
        </w:rPr>
      </w:pPr>
      <w:r w:rsidRPr="00EE0960">
        <w:rPr>
          <w:i/>
        </w:rPr>
        <w:t xml:space="preserve">Notice: data </w:t>
      </w:r>
      <w:r>
        <w:rPr>
          <w:i/>
        </w:rPr>
        <w:t>are not seasonally-adjusted; data cannot be compared quarter-to-quarter</w:t>
      </w:r>
    </w:p>
    <w:p w:rsidR="00EE0960" w:rsidRDefault="00EE0960" w:rsidP="00070C41"/>
    <w:p w:rsidR="006E445B" w:rsidRDefault="00910828" w:rsidP="00070C41">
      <w:r>
        <w:t xml:space="preserve">Final balance has been improved at </w:t>
      </w:r>
      <w:r w:rsidR="006E445B">
        <w:t>central government level (annually by CZK 11.5 mill.)</w:t>
      </w:r>
      <w:r w:rsidR="006B6EE5">
        <w:t xml:space="preserve">, </w:t>
      </w:r>
      <w:r w:rsidR="006E445B">
        <w:t xml:space="preserve">while in other subsectors (i.e. local government and health insurance companies) relevant financial indicator has worsened. </w:t>
      </w:r>
      <w:r w:rsidR="0044277F">
        <w:t>On the resources side, the annual growth by 5.8</w:t>
      </w:r>
      <w:r w:rsidR="00DE3BD8">
        <w:t xml:space="preserve"> %</w:t>
      </w:r>
      <w:r w:rsidR="0044277F">
        <w:t xml:space="preserve"> in total revenues</w:t>
      </w:r>
      <w:r w:rsidR="00DE3BD8">
        <w:t xml:space="preserve"> of government institutions </w:t>
      </w:r>
      <w:r w:rsidR="0044277F">
        <w:t>has been driven mainly by</w:t>
      </w:r>
      <w:r w:rsidR="007B16E7">
        <w:t xml:space="preserve"> </w:t>
      </w:r>
      <w:r w:rsidR="0044277F">
        <w:t xml:space="preserve">rising tax revenues and </w:t>
      </w:r>
      <w:r w:rsidR="007B16E7">
        <w:t>a higher drawdown of EU funds.</w:t>
      </w:r>
      <w:r w:rsidR="0044277F">
        <w:t xml:space="preserve"> On the expenditure side, mainly </w:t>
      </w:r>
      <w:r w:rsidR="00DE3BD8">
        <w:t xml:space="preserve">government investments </w:t>
      </w:r>
      <w:r w:rsidR="006E445B">
        <w:t xml:space="preserve">account for the annual growth </w:t>
      </w:r>
      <w:r w:rsidR="0044277F">
        <w:t>in</w:t>
      </w:r>
      <w:r w:rsidR="006E445B">
        <w:t xml:space="preserve"> </w:t>
      </w:r>
      <w:r w:rsidR="0044277F">
        <w:t xml:space="preserve">total </w:t>
      </w:r>
      <w:r w:rsidR="006E445B">
        <w:t xml:space="preserve">government </w:t>
      </w:r>
      <w:r w:rsidR="0044277F">
        <w:t xml:space="preserve">expenditures </w:t>
      </w:r>
      <w:r w:rsidR="006E445B">
        <w:t xml:space="preserve">by </w:t>
      </w:r>
      <w:r w:rsidR="0044277F">
        <w:t>3.5</w:t>
      </w:r>
      <w:r w:rsidR="006E445B">
        <w:t xml:space="preserve"> %.</w:t>
      </w:r>
    </w:p>
    <w:p w:rsidR="006E445B" w:rsidRDefault="006E445B" w:rsidP="00070C41"/>
    <w:p w:rsidR="00070C41" w:rsidRDefault="00ED31AC" w:rsidP="00070C41">
      <w:r>
        <w:t xml:space="preserve">The Czech </w:t>
      </w:r>
      <w:r w:rsidRPr="00ED31AC">
        <w:rPr>
          <w:b/>
        </w:rPr>
        <w:t>government consolidated</w:t>
      </w:r>
      <w:r>
        <w:t xml:space="preserve"> </w:t>
      </w:r>
      <w:r w:rsidRPr="00ED31AC">
        <w:rPr>
          <w:b/>
        </w:rPr>
        <w:t xml:space="preserve">gross debt </w:t>
      </w:r>
      <w:r>
        <w:t xml:space="preserve">has </w:t>
      </w:r>
      <w:r w:rsidR="000676A2">
        <w:t xml:space="preserve">decreased on the annual basis by </w:t>
      </w:r>
      <w:r w:rsidR="00DE3BD8">
        <w:t>1.87</w:t>
      </w:r>
      <w:r w:rsidR="000676A2">
        <w:t xml:space="preserve"> percentage point to </w:t>
      </w:r>
      <w:r w:rsidR="000676A2">
        <w:rPr>
          <w:b/>
        </w:rPr>
        <w:t>41</w:t>
      </w:r>
      <w:r w:rsidR="00B82653">
        <w:rPr>
          <w:b/>
        </w:rPr>
        <w:t>.</w:t>
      </w:r>
      <w:r w:rsidR="00DE3BD8">
        <w:rPr>
          <w:b/>
        </w:rPr>
        <w:t>42</w:t>
      </w:r>
      <w:r w:rsidR="00B82653" w:rsidRPr="00B82653">
        <w:rPr>
          <w:b/>
        </w:rPr>
        <w:t xml:space="preserve"> percent of GDP</w:t>
      </w:r>
      <w:r>
        <w:t>.</w:t>
      </w:r>
      <w:r w:rsidR="000676A2">
        <w:t xml:space="preserve"> Decreasing trend is driven mainly by rising nominal GDP and </w:t>
      </w:r>
      <w:r>
        <w:t>stabilised</w:t>
      </w:r>
      <w:r w:rsidR="00DE3BD8">
        <w:t xml:space="preserve"> nominal</w:t>
      </w:r>
      <w:r>
        <w:t xml:space="preserve"> level of the state debt constituting a dominant part of the total government debt.</w:t>
      </w:r>
      <w:r w:rsidR="000676A2">
        <w:t xml:space="preserve"> Compared to the first quarter 2015, the indebtedness has been reduced by 0.</w:t>
      </w:r>
      <w:r w:rsidR="00DE3BD8">
        <w:t>41</w:t>
      </w:r>
      <w:r w:rsidR="000676A2">
        <w:t xml:space="preserve"> p.p.</w:t>
      </w:r>
    </w:p>
    <w:p w:rsidR="00ED31AC" w:rsidRDefault="00ED31AC" w:rsidP="00070C41"/>
    <w:p w:rsidR="00070C41" w:rsidRPr="00043BF4" w:rsidRDefault="00ED31AC" w:rsidP="00070C41">
      <w:pPr>
        <w:pStyle w:val="TabulkaGraf"/>
      </w:pPr>
      <w:r>
        <w:t xml:space="preserve">Debt of government institutions, the Czech Republic </w:t>
      </w:r>
      <w:r w:rsidR="00AB61B6">
        <w:t>3</w:t>
      </w:r>
      <w:r w:rsidR="00070C41">
        <w:t>.Q2014-</w:t>
      </w:r>
      <w:r w:rsidR="00AB61B6">
        <w:t>3</w:t>
      </w:r>
      <w:r w:rsidR="00070C41">
        <w:t>.Q2015</w:t>
      </w:r>
    </w:p>
    <w:tbl>
      <w:tblPr>
        <w:tblStyle w:val="Mkatabulky"/>
        <w:tblW w:w="8931" w:type="dxa"/>
        <w:tblInd w:w="-176" w:type="dxa"/>
        <w:tblLayout w:type="fixed"/>
        <w:tblLook w:val="04A0" w:firstRow="1" w:lastRow="0" w:firstColumn="1" w:lastColumn="0" w:noHBand="0" w:noVBand="1"/>
      </w:tblPr>
      <w:tblGrid>
        <w:gridCol w:w="2146"/>
        <w:gridCol w:w="1109"/>
        <w:gridCol w:w="1140"/>
        <w:gridCol w:w="1134"/>
        <w:gridCol w:w="1134"/>
        <w:gridCol w:w="1134"/>
        <w:gridCol w:w="1134"/>
      </w:tblGrid>
      <w:tr w:rsidR="00AB61B6" w:rsidTr="00075887">
        <w:tc>
          <w:tcPr>
            <w:tcW w:w="2146" w:type="dxa"/>
            <w:vMerge w:val="restart"/>
            <w:vAlign w:val="center"/>
          </w:tcPr>
          <w:p w:rsidR="00AB61B6" w:rsidRDefault="00AB61B6" w:rsidP="00075887">
            <w:pPr>
              <w:jc w:val="center"/>
            </w:pPr>
          </w:p>
        </w:tc>
        <w:tc>
          <w:tcPr>
            <w:tcW w:w="1109" w:type="dxa"/>
            <w:vMerge w:val="restart"/>
            <w:vAlign w:val="center"/>
          </w:tcPr>
          <w:p w:rsidR="00AB61B6" w:rsidRDefault="00AB61B6" w:rsidP="00075887">
            <w:pPr>
              <w:jc w:val="center"/>
            </w:pPr>
            <w:r>
              <w:t>Unit</w:t>
            </w:r>
          </w:p>
        </w:tc>
        <w:tc>
          <w:tcPr>
            <w:tcW w:w="2274" w:type="dxa"/>
            <w:gridSpan w:val="2"/>
          </w:tcPr>
          <w:p w:rsidR="00AB61B6" w:rsidRDefault="00AB61B6" w:rsidP="00075887">
            <w:pPr>
              <w:spacing w:line="240" w:lineRule="auto"/>
              <w:jc w:val="center"/>
              <w:rPr>
                <w:szCs w:val="20"/>
                <w:lang w:eastAsia="cs-CZ"/>
              </w:rPr>
            </w:pPr>
            <w:r>
              <w:t>2014</w:t>
            </w:r>
          </w:p>
        </w:tc>
        <w:tc>
          <w:tcPr>
            <w:tcW w:w="3402" w:type="dxa"/>
            <w:gridSpan w:val="3"/>
          </w:tcPr>
          <w:p w:rsidR="00AB61B6" w:rsidRDefault="00AB61B6" w:rsidP="00075887">
            <w:pPr>
              <w:jc w:val="center"/>
            </w:pPr>
            <w:r>
              <w:t>2015</w:t>
            </w:r>
          </w:p>
        </w:tc>
      </w:tr>
      <w:tr w:rsidR="00AB61B6" w:rsidTr="00075887">
        <w:tc>
          <w:tcPr>
            <w:tcW w:w="2146" w:type="dxa"/>
            <w:vMerge/>
          </w:tcPr>
          <w:p w:rsidR="00AB61B6" w:rsidRDefault="00AB61B6" w:rsidP="00075887"/>
        </w:tc>
        <w:tc>
          <w:tcPr>
            <w:tcW w:w="1109" w:type="dxa"/>
            <w:vMerge/>
          </w:tcPr>
          <w:p w:rsidR="00AB61B6" w:rsidRDefault="00AB61B6" w:rsidP="00075887"/>
        </w:tc>
        <w:tc>
          <w:tcPr>
            <w:tcW w:w="1140" w:type="dxa"/>
          </w:tcPr>
          <w:p w:rsidR="00AB61B6" w:rsidRPr="00B02827" w:rsidRDefault="00AB61B6" w:rsidP="00AB61B6">
            <w:pPr>
              <w:jc w:val="center"/>
            </w:pPr>
            <w:r w:rsidRPr="00B02827">
              <w:t xml:space="preserve">3. </w:t>
            </w:r>
            <w:r>
              <w:t>quarter</w:t>
            </w:r>
          </w:p>
        </w:tc>
        <w:tc>
          <w:tcPr>
            <w:tcW w:w="1134" w:type="dxa"/>
          </w:tcPr>
          <w:p w:rsidR="00AB61B6" w:rsidRDefault="00AB61B6" w:rsidP="00075887">
            <w:pPr>
              <w:jc w:val="center"/>
            </w:pPr>
            <w:r>
              <w:t>4. quarter</w:t>
            </w:r>
          </w:p>
        </w:tc>
        <w:tc>
          <w:tcPr>
            <w:tcW w:w="1134" w:type="dxa"/>
          </w:tcPr>
          <w:p w:rsidR="00AB61B6" w:rsidRDefault="00AB61B6" w:rsidP="00075887">
            <w:pPr>
              <w:jc w:val="center"/>
            </w:pPr>
            <w:r>
              <w:t>1. quarter</w:t>
            </w:r>
          </w:p>
        </w:tc>
        <w:tc>
          <w:tcPr>
            <w:tcW w:w="1134" w:type="dxa"/>
          </w:tcPr>
          <w:p w:rsidR="00AB61B6" w:rsidRDefault="00AB61B6" w:rsidP="00075887">
            <w:pPr>
              <w:jc w:val="center"/>
            </w:pPr>
            <w:r>
              <w:t>2. quarter</w:t>
            </w:r>
          </w:p>
        </w:tc>
        <w:tc>
          <w:tcPr>
            <w:tcW w:w="1134" w:type="dxa"/>
          </w:tcPr>
          <w:p w:rsidR="00AB61B6" w:rsidRDefault="00AB61B6" w:rsidP="00075887">
            <w:pPr>
              <w:jc w:val="center"/>
            </w:pPr>
            <w:r>
              <w:t>3. quarter</w:t>
            </w:r>
          </w:p>
        </w:tc>
      </w:tr>
      <w:tr w:rsidR="00AB61B6" w:rsidTr="00075887">
        <w:trPr>
          <w:trHeight w:val="56"/>
        </w:trPr>
        <w:tc>
          <w:tcPr>
            <w:tcW w:w="2146" w:type="dxa"/>
            <w:vMerge w:val="restart"/>
          </w:tcPr>
          <w:p w:rsidR="00AB61B6" w:rsidRPr="00EE6451" w:rsidRDefault="00AB61B6" w:rsidP="00075887">
            <w:pPr>
              <w:jc w:val="left"/>
            </w:pPr>
            <w:r>
              <w:rPr>
                <w:rFonts w:cs="Arial"/>
                <w:szCs w:val="20"/>
              </w:rPr>
              <w:t>Consolidated gross government debt</w:t>
            </w:r>
          </w:p>
        </w:tc>
        <w:tc>
          <w:tcPr>
            <w:tcW w:w="1109" w:type="dxa"/>
          </w:tcPr>
          <w:p w:rsidR="00AB61B6" w:rsidRPr="00EE6451" w:rsidRDefault="00AB61B6" w:rsidP="00075887">
            <w:pPr>
              <w:jc w:val="center"/>
            </w:pPr>
            <w:r>
              <w:t>CZK mill.</w:t>
            </w:r>
          </w:p>
        </w:tc>
        <w:tc>
          <w:tcPr>
            <w:tcW w:w="1140" w:type="dxa"/>
            <w:vAlign w:val="center"/>
          </w:tcPr>
          <w:p w:rsidR="00AB61B6" w:rsidRPr="00B02827" w:rsidRDefault="00AB61B6" w:rsidP="00075887">
            <w:pPr>
              <w:jc w:val="center"/>
            </w:pPr>
            <w:r w:rsidRPr="00B02827">
              <w:t>1 830 097</w:t>
            </w:r>
          </w:p>
        </w:tc>
        <w:tc>
          <w:tcPr>
            <w:tcW w:w="1134" w:type="dxa"/>
            <w:vAlign w:val="center"/>
          </w:tcPr>
          <w:p w:rsidR="00AB61B6" w:rsidRPr="00A4439D" w:rsidRDefault="00AB61B6" w:rsidP="00075887">
            <w:pPr>
              <w:jc w:val="center"/>
            </w:pPr>
            <w:r w:rsidRPr="00A4439D">
              <w:t>1 821 3</w:t>
            </w:r>
            <w:r>
              <w:t>27</w:t>
            </w:r>
          </w:p>
        </w:tc>
        <w:tc>
          <w:tcPr>
            <w:tcW w:w="1134" w:type="dxa"/>
            <w:vAlign w:val="center"/>
          </w:tcPr>
          <w:p w:rsidR="00AB61B6" w:rsidRPr="00A4439D" w:rsidRDefault="00AB61B6" w:rsidP="00075887">
            <w:pPr>
              <w:jc w:val="center"/>
            </w:pPr>
            <w:r w:rsidRPr="00A4439D">
              <w:t>1</w:t>
            </w:r>
            <w:r>
              <w:t> 836 141</w:t>
            </w:r>
          </w:p>
        </w:tc>
        <w:tc>
          <w:tcPr>
            <w:tcW w:w="1134" w:type="dxa"/>
            <w:vAlign w:val="center"/>
          </w:tcPr>
          <w:p w:rsidR="00AB61B6" w:rsidRDefault="00AB61B6" w:rsidP="00075887">
            <w:pPr>
              <w:jc w:val="center"/>
            </w:pPr>
            <w:r>
              <w:t>1 828 704</w:t>
            </w:r>
          </w:p>
        </w:tc>
        <w:tc>
          <w:tcPr>
            <w:tcW w:w="1134" w:type="dxa"/>
            <w:vAlign w:val="center"/>
          </w:tcPr>
          <w:p w:rsidR="00AB61B6" w:rsidRDefault="00AB61B6" w:rsidP="00075887">
            <w:pPr>
              <w:jc w:val="center"/>
            </w:pPr>
            <w:r>
              <w:t>1 831 313</w:t>
            </w:r>
          </w:p>
        </w:tc>
      </w:tr>
      <w:tr w:rsidR="00AB61B6" w:rsidTr="00075887">
        <w:trPr>
          <w:trHeight w:val="53"/>
        </w:trPr>
        <w:tc>
          <w:tcPr>
            <w:tcW w:w="2146" w:type="dxa"/>
            <w:vMerge/>
          </w:tcPr>
          <w:p w:rsidR="00AB61B6" w:rsidRPr="00EE6451" w:rsidRDefault="00AB61B6" w:rsidP="00075887"/>
        </w:tc>
        <w:tc>
          <w:tcPr>
            <w:tcW w:w="1109" w:type="dxa"/>
          </w:tcPr>
          <w:p w:rsidR="00AB61B6" w:rsidRPr="00EE6451" w:rsidRDefault="00AB61B6" w:rsidP="00075887">
            <w:pPr>
              <w:jc w:val="center"/>
            </w:pPr>
            <w:r w:rsidRPr="00EE6451">
              <w:t xml:space="preserve">% </w:t>
            </w:r>
            <w:r>
              <w:t>of GDP</w:t>
            </w:r>
          </w:p>
        </w:tc>
        <w:tc>
          <w:tcPr>
            <w:tcW w:w="1140" w:type="dxa"/>
            <w:vAlign w:val="center"/>
          </w:tcPr>
          <w:p w:rsidR="00AB61B6" w:rsidRPr="00B02827" w:rsidRDefault="00AB61B6" w:rsidP="00075887">
            <w:pPr>
              <w:jc w:val="center"/>
            </w:pPr>
            <w:r>
              <w:t>43,29</w:t>
            </w:r>
          </w:p>
        </w:tc>
        <w:tc>
          <w:tcPr>
            <w:tcW w:w="1134" w:type="dxa"/>
            <w:vAlign w:val="center"/>
          </w:tcPr>
          <w:p w:rsidR="00AB61B6" w:rsidRPr="00A4439D" w:rsidRDefault="00AB61B6" w:rsidP="00075887">
            <w:pPr>
              <w:jc w:val="center"/>
            </w:pPr>
            <w:r>
              <w:t>42,75</w:t>
            </w:r>
          </w:p>
        </w:tc>
        <w:tc>
          <w:tcPr>
            <w:tcW w:w="1134" w:type="dxa"/>
            <w:vAlign w:val="center"/>
          </w:tcPr>
          <w:p w:rsidR="00AB61B6" w:rsidRPr="00A4439D" w:rsidRDefault="00AB61B6" w:rsidP="00075887">
            <w:pPr>
              <w:jc w:val="center"/>
            </w:pPr>
            <w:r>
              <w:t>42,55</w:t>
            </w:r>
          </w:p>
        </w:tc>
        <w:tc>
          <w:tcPr>
            <w:tcW w:w="1134" w:type="dxa"/>
            <w:vAlign w:val="center"/>
          </w:tcPr>
          <w:p w:rsidR="00AB61B6" w:rsidRDefault="00AB61B6" w:rsidP="00075887">
            <w:pPr>
              <w:jc w:val="center"/>
            </w:pPr>
            <w:r>
              <w:t>41,83</w:t>
            </w:r>
          </w:p>
        </w:tc>
        <w:tc>
          <w:tcPr>
            <w:tcW w:w="1134" w:type="dxa"/>
            <w:vAlign w:val="center"/>
          </w:tcPr>
          <w:p w:rsidR="00AB61B6" w:rsidRDefault="00AB61B6" w:rsidP="00075887">
            <w:pPr>
              <w:jc w:val="center"/>
            </w:pPr>
            <w:r>
              <w:t>41,42</w:t>
            </w:r>
          </w:p>
        </w:tc>
      </w:tr>
    </w:tbl>
    <w:p w:rsidR="00AB61B6" w:rsidRDefault="00AB61B6" w:rsidP="00070C41"/>
    <w:p w:rsidR="00ED31AC" w:rsidRDefault="00ED31AC" w:rsidP="00070C41">
      <w:r>
        <w:t xml:space="preserve">Shares of relevant instruments on the total debt remain stable over time with dominant position of debt securities (90 percent). </w:t>
      </w:r>
    </w:p>
    <w:p w:rsidR="00ED31AC" w:rsidRDefault="00ED31AC" w:rsidP="00070C41"/>
    <w:p w:rsidR="00070C41" w:rsidRDefault="00070C41" w:rsidP="00070C41"/>
    <w:p w:rsidR="00070C41" w:rsidRDefault="00506517" w:rsidP="00070C41">
      <w:r>
        <w:rPr>
          <w:noProof/>
          <w:lang w:eastAsia="cs-CZ"/>
        </w:rPr>
        <w:lastRenderedPageBreak/>
        <w:pict>
          <v:shapetype id="_x0000_t32" coordsize="21600,21600" o:spt="32" o:oned="t" path="m,l21600,21600e" filled="f">
            <v:path arrowok="t" fillok="f" o:connecttype="none"/>
            <o:lock v:ext="edit" shapetype="t"/>
          </v:shapetype>
          <v:shape id="_x0000_s1026" type="#_x0000_t32" style="position:absolute;left:0;text-align:left;margin-left:65.3pt;margin-top:3.1pt;width:302.5pt;height:0;z-index:251659264" o:connectortype="straight"/>
        </w:pict>
      </w:r>
    </w:p>
    <w:p w:rsidR="00ED31AC" w:rsidRDefault="00ED31AC" w:rsidP="00070C41"/>
    <w:p w:rsidR="00B82653" w:rsidRPr="00B82653" w:rsidRDefault="009A2048" w:rsidP="00B82653">
      <w:pPr>
        <w:pStyle w:val="Zkladntext"/>
        <w:spacing w:line="276" w:lineRule="auto"/>
        <w:rPr>
          <w:rFonts w:ascii="Arial" w:hAnsi="Arial" w:cs="Arial"/>
          <w:sz w:val="20"/>
          <w:szCs w:val="20"/>
        </w:rPr>
      </w:pPr>
      <w:r w:rsidRPr="00B82653">
        <w:rPr>
          <w:rFonts w:ascii="Arial" w:hAnsi="Arial" w:cs="Arial"/>
          <w:sz w:val="20"/>
          <w:szCs w:val="20"/>
        </w:rPr>
        <w:t xml:space="preserve">Indicators of government deficit and debt mentioned above are based on the accrual basis as requested by the methodology ESA2010 and the Manual on government deficit and debt. </w:t>
      </w:r>
      <w:r w:rsidR="00B82653">
        <w:rPr>
          <w:rFonts w:ascii="Arial" w:hAnsi="Arial" w:cs="Arial"/>
          <w:sz w:val="20"/>
          <w:szCs w:val="20"/>
        </w:rPr>
        <w:t xml:space="preserve">Accrual accounting records flows at the time economic value is created, transformed, exchanged, transferred or extinguished. </w:t>
      </w:r>
      <w:r w:rsidR="00B82653" w:rsidRPr="00B82653">
        <w:rPr>
          <w:rFonts w:ascii="Arial" w:hAnsi="Arial" w:cs="Arial"/>
          <w:sz w:val="20"/>
          <w:szCs w:val="20"/>
        </w:rPr>
        <w:t xml:space="preserve">Government surplus/deficit is represented by </w:t>
      </w:r>
      <w:r w:rsidR="00B82653">
        <w:rPr>
          <w:rFonts w:ascii="Arial" w:hAnsi="Arial" w:cs="Arial"/>
          <w:sz w:val="20"/>
          <w:szCs w:val="20"/>
        </w:rPr>
        <w:t xml:space="preserve">the </w:t>
      </w:r>
      <w:r w:rsidR="00B82653" w:rsidRPr="00B82653">
        <w:rPr>
          <w:rFonts w:ascii="Arial" w:hAnsi="Arial" w:cs="Arial"/>
          <w:sz w:val="20"/>
          <w:szCs w:val="20"/>
        </w:rPr>
        <w:t xml:space="preserve">item B.9 “net borrowing (-) or net lending (+)” in national accounts. It refers to the ability of general government sector to finance other sectors (+) or the need of general government sector to be financed (-) by other economic sectors. </w:t>
      </w:r>
      <w:r w:rsidRPr="00B82653">
        <w:rPr>
          <w:rFonts w:ascii="Arial" w:hAnsi="Arial" w:cs="Arial"/>
          <w:sz w:val="20"/>
          <w:szCs w:val="20"/>
        </w:rPr>
        <w:t xml:space="preserve">From the methodological point of view, the published indicators are fully consistent with the annual indicators used for the EDP purposes. </w:t>
      </w:r>
    </w:p>
    <w:p w:rsidR="009A2048" w:rsidRPr="00B82653" w:rsidRDefault="009A2048" w:rsidP="00B82653">
      <w:pPr>
        <w:pStyle w:val="Zkladntext"/>
        <w:spacing w:line="276" w:lineRule="auto"/>
        <w:rPr>
          <w:rFonts w:ascii="Arial" w:hAnsi="Arial" w:cs="Arial"/>
          <w:sz w:val="20"/>
          <w:szCs w:val="20"/>
        </w:rPr>
      </w:pPr>
      <w:r w:rsidRPr="00B82653">
        <w:rPr>
          <w:rFonts w:ascii="Arial" w:hAnsi="Arial" w:cs="Arial"/>
          <w:sz w:val="20"/>
          <w:szCs w:val="20"/>
        </w:rPr>
        <w:t xml:space="preserve">Deficit is compared with nominal GDP in given quarter. The amount of consolidated debt defined as sum of the items Currency and deposits, Debt securities and Loans, is compared with the sum of nominal GDP for the last four quarter. Fiscal indicators of quarterly government deficit and debt are regularly published within the Transmission programme (table 25, table 28) on the web </w:t>
      </w:r>
      <w:hyperlink r:id="rId8" w:history="1">
        <w:r w:rsidRPr="00B82653">
          <w:rPr>
            <w:rStyle w:val="Hypertextovodkaz"/>
            <w:rFonts w:ascii="Arial" w:hAnsi="Arial" w:cs="Arial"/>
            <w:sz w:val="20"/>
            <w:szCs w:val="20"/>
          </w:rPr>
          <w:t>www.czso.cz</w:t>
        </w:r>
      </w:hyperlink>
      <w:r w:rsidRPr="00B82653">
        <w:rPr>
          <w:rFonts w:ascii="Arial" w:hAnsi="Arial" w:cs="Arial"/>
          <w:sz w:val="20"/>
          <w:szCs w:val="20"/>
        </w:rPr>
        <w:t xml:space="preserve"> in the section “GDP, Nati</w:t>
      </w:r>
      <w:r w:rsidR="00B82653">
        <w:rPr>
          <w:rFonts w:ascii="Arial" w:hAnsi="Arial" w:cs="Arial"/>
          <w:sz w:val="20"/>
          <w:szCs w:val="20"/>
        </w:rPr>
        <w:t>onal Accounts” (</w:t>
      </w:r>
      <w:hyperlink r:id="rId9" w:history="1">
        <w:r w:rsidR="00B82653" w:rsidRPr="006A19F4">
          <w:rPr>
            <w:rStyle w:val="Hypertextovodkaz"/>
            <w:rFonts w:ascii="Arial" w:hAnsi="Arial" w:cs="Arial"/>
            <w:sz w:val="20"/>
            <w:szCs w:val="20"/>
          </w:rPr>
          <w:t>http://apl.czso.cz/pll/rocenka/rocenka.indexnu_gov?mylang=EN</w:t>
        </w:r>
      </w:hyperlink>
      <w:r w:rsidR="00B82653">
        <w:rPr>
          <w:rFonts w:ascii="Arial" w:hAnsi="Arial" w:cs="Arial"/>
          <w:sz w:val="20"/>
          <w:szCs w:val="20"/>
        </w:rPr>
        <w:t>)</w:t>
      </w:r>
    </w:p>
    <w:p w:rsidR="00070C41" w:rsidRDefault="00070C41" w:rsidP="009A2048"/>
    <w:p w:rsidR="00070C41" w:rsidRDefault="00070C41" w:rsidP="00070C41">
      <w:pPr>
        <w:pStyle w:val="Poznmky0"/>
      </w:pPr>
      <w:r>
        <w:t>Notices:</w:t>
      </w:r>
    </w:p>
    <w:p w:rsidR="00506517" w:rsidRDefault="00070C41" w:rsidP="00070C41">
      <w:pPr>
        <w:rPr>
          <w:rStyle w:val="Hypertextovodkaz"/>
          <w:i/>
          <w:iCs/>
        </w:rPr>
      </w:pPr>
      <w:r>
        <w:rPr>
          <w:i/>
          <w:iCs/>
        </w:rPr>
        <w:t>Responsible manager</w:t>
      </w:r>
      <w:r w:rsidRPr="00F665DC">
        <w:rPr>
          <w:i/>
          <w:iCs/>
        </w:rPr>
        <w:t xml:space="preserve">: </w:t>
      </w:r>
      <w:r>
        <w:rPr>
          <w:i/>
          <w:iCs/>
        </w:rPr>
        <w:t>Vaclav Rybacek, Ph.D.</w:t>
      </w:r>
      <w:r w:rsidRPr="00F665DC">
        <w:rPr>
          <w:i/>
          <w:iCs/>
        </w:rPr>
        <w:t>, tel.: 274052</w:t>
      </w:r>
      <w:r>
        <w:rPr>
          <w:i/>
          <w:iCs/>
        </w:rPr>
        <w:t>5</w:t>
      </w:r>
      <w:r w:rsidRPr="00F665DC">
        <w:rPr>
          <w:i/>
          <w:iCs/>
        </w:rPr>
        <w:t>9</w:t>
      </w:r>
      <w:r>
        <w:rPr>
          <w:i/>
          <w:iCs/>
        </w:rPr>
        <w:t>6</w:t>
      </w:r>
      <w:r w:rsidRPr="00F665DC">
        <w:rPr>
          <w:i/>
          <w:iCs/>
        </w:rPr>
        <w:t xml:space="preserve">, e-mail: </w:t>
      </w:r>
      <w:hyperlink r:id="rId10" w:history="1">
        <w:r w:rsidRPr="000249DE">
          <w:rPr>
            <w:rStyle w:val="Hypertextovodkaz"/>
            <w:i/>
            <w:iCs/>
          </w:rPr>
          <w:t>vaclav.rybacek@czso.cz</w:t>
        </w:r>
      </w:hyperlink>
    </w:p>
    <w:p w:rsidR="00070C41" w:rsidRDefault="00506517" w:rsidP="00070C41">
      <w:pPr>
        <w:rPr>
          <w:i/>
          <w:iCs/>
        </w:rPr>
      </w:pPr>
      <w:r>
        <w:rPr>
          <w:i/>
          <w:iCs/>
        </w:rPr>
        <w:t>Contact person</w:t>
      </w:r>
      <w:r w:rsidRPr="00F665DC">
        <w:rPr>
          <w:i/>
          <w:iCs/>
        </w:rPr>
        <w:t xml:space="preserve">: </w:t>
      </w:r>
      <w:r>
        <w:rPr>
          <w:i/>
          <w:iCs/>
        </w:rPr>
        <w:t>Marie Trejbalova, tel.: 274052706</w:t>
      </w:r>
      <w:r w:rsidRPr="00F665DC">
        <w:rPr>
          <w:i/>
          <w:iCs/>
        </w:rPr>
        <w:t xml:space="preserve">, e-mail: </w:t>
      </w:r>
      <w:hyperlink r:id="rId11" w:history="1">
        <w:r w:rsidRPr="000249DE">
          <w:rPr>
            <w:rStyle w:val="Hypertextovodkaz"/>
            <w:i/>
            <w:iCs/>
          </w:rPr>
          <w:t>marie.trejbalova@czso.cz</w:t>
        </w:r>
      </w:hyperlink>
      <w:bookmarkStart w:id="0" w:name="_GoBack"/>
      <w:bookmarkEnd w:id="0"/>
      <w:r w:rsidR="00070C41" w:rsidRPr="00F665DC">
        <w:br/>
      </w:r>
      <w:r w:rsidR="00070C41">
        <w:rPr>
          <w:i/>
          <w:iCs/>
        </w:rPr>
        <w:t xml:space="preserve">Coming News Release </w:t>
      </w:r>
      <w:r w:rsidR="00070C41" w:rsidRPr="00F665DC">
        <w:rPr>
          <w:i/>
          <w:iCs/>
        </w:rPr>
        <w:t xml:space="preserve">: </w:t>
      </w:r>
      <w:r w:rsidR="00DE3BD8">
        <w:rPr>
          <w:i/>
          <w:iCs/>
        </w:rPr>
        <w:t>01</w:t>
      </w:r>
      <w:r w:rsidR="00070C41">
        <w:rPr>
          <w:i/>
          <w:iCs/>
        </w:rPr>
        <w:t>.</w:t>
      </w:r>
      <w:r w:rsidR="00DE3BD8">
        <w:rPr>
          <w:i/>
          <w:iCs/>
        </w:rPr>
        <w:t xml:space="preserve"> 04.</w:t>
      </w:r>
      <w:r w:rsidR="00070C41">
        <w:rPr>
          <w:i/>
          <w:iCs/>
        </w:rPr>
        <w:t xml:space="preserve"> 2015</w:t>
      </w:r>
    </w:p>
    <w:p w:rsidR="00070C41" w:rsidRDefault="00070C41" w:rsidP="00070C41">
      <w:pPr>
        <w:rPr>
          <w:i/>
          <w:iCs/>
        </w:rPr>
      </w:pPr>
    </w:p>
    <w:p w:rsidR="00070C41" w:rsidRPr="004920AD" w:rsidRDefault="00070C41" w:rsidP="00070C41">
      <w:r>
        <w:t xml:space="preserve">This press release </w:t>
      </w:r>
      <w:r w:rsidR="00D71581">
        <w:t>has</w:t>
      </w:r>
      <w:r>
        <w:t xml:space="preserve"> not </w:t>
      </w:r>
      <w:r w:rsidR="00D71581">
        <w:t xml:space="preserve">been </w:t>
      </w:r>
      <w:r>
        <w:t>edited for language.</w:t>
      </w:r>
    </w:p>
    <w:p w:rsidR="00D209A7" w:rsidRPr="004920AD" w:rsidRDefault="00D209A7" w:rsidP="00070C41">
      <w:pPr>
        <w:pStyle w:val="Poznmky0"/>
      </w:pPr>
    </w:p>
    <w:sectPr w:rsidR="00D209A7" w:rsidRPr="004920AD" w:rsidSect="00405244">
      <w:headerReference w:type="default" r:id="rId12"/>
      <w:footerReference w:type="default" r:id="rId13"/>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725F" w:rsidRDefault="00CD725F" w:rsidP="00BA6370">
      <w:r>
        <w:separator/>
      </w:r>
    </w:p>
  </w:endnote>
  <w:endnote w:type="continuationSeparator" w:id="0">
    <w:p w:rsidR="00CD725F" w:rsidRDefault="00CD725F"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506517">
    <w:pPr>
      <w:pStyle w:val="Zpat"/>
    </w:pPr>
    <w:r>
      <w:rPr>
        <w:noProof/>
        <w:lang w:val="cs-CZ" w:eastAsia="cs-CZ"/>
      </w:rPr>
      <w:pict>
        <v:shapetype id="_x0000_t202" coordsize="21600,21600" o:spt="202" path="m,l,21600r21600,l21600,xe">
          <v:stroke joinstyle="miter"/>
          <v:path gradientshapeok="t" o:connecttype="rect"/>
        </v:shapetype>
        <v:shape id="Textové pole 2" o:spid="_x0000_s2090" type="#_x0000_t202" style="position:absolute;left:0;text-align:left;margin-left:99.3pt;margin-top:763.2pt;width:426.2pt;height:45.9pt;z-index:251657728;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" filled="f" stroked="f">
          <v:textbox inset="0,0,0,0">
            <w:txbxContent>
              <w:p w:rsidR="00380178" w:rsidRPr="00D52A09" w:rsidRDefault="00380178" w:rsidP="00380178">
                <w:pPr>
                  <w:spacing w:line="220" w:lineRule="atLeast"/>
                  <w:rPr>
                    <w:rFonts w:cs="Arial"/>
                    <w:b/>
                    <w:bCs/>
                    <w:sz w:val="15"/>
                    <w:szCs w:val="15"/>
                  </w:rPr>
                </w:pPr>
                <w:r w:rsidRPr="00D52A09">
                  <w:rPr>
                    <w:rFonts w:cs="Arial"/>
                    <w:b/>
                    <w:bCs/>
                    <w:sz w:val="15"/>
                    <w:szCs w:val="15"/>
                  </w:rPr>
                  <w:t>Information Services Unit – Headquarters</w:t>
                </w:r>
              </w:p>
              <w:p w:rsidR="00380178" w:rsidRDefault="00380178" w:rsidP="00380178">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in industry </w:t>
                </w:r>
                <w:r w:rsidRPr="00D52A09">
                  <w:rPr>
                    <w:rFonts w:cs="Arial"/>
                    <w:sz w:val="15"/>
                    <w:szCs w:val="15"/>
                  </w:rPr>
                  <w:t xml:space="preserve">and much more? </w:t>
                </w:r>
              </w:p>
              <w:p w:rsidR="00380178" w:rsidRPr="00D52A09" w:rsidRDefault="00380178" w:rsidP="00380178">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380178" w:rsidRPr="000172E7" w:rsidRDefault="00380178" w:rsidP="00380178">
                <w:pPr>
                  <w:tabs>
                    <w:tab w:val="right" w:pos="8505"/>
                  </w:tabs>
                  <w:spacing w:line="220" w:lineRule="atLeast"/>
                  <w:rPr>
                    <w:rFonts w:cs="Arial"/>
                  </w:rPr>
                </w:pPr>
                <w:r w:rsidRPr="00D52A09">
                  <w:rPr>
                    <w:rFonts w:cs="Arial"/>
                    <w:sz w:val="15"/>
                    <w:szCs w:val="15"/>
                  </w:rPr>
                  <w:t xml:space="preserve">tel: +420 274 052 304, </w:t>
                </w:r>
                <w:r w:rsidRPr="005061C8">
                  <w:rPr>
                    <w:rFonts w:cs="Arial"/>
                    <w:sz w:val="15"/>
                    <w:szCs w:val="15"/>
                  </w:rPr>
                  <w:t xml:space="preserve">e-mail: </w:t>
                </w:r>
                <w:hyperlink r:id="rId1" w:history="1">
                  <w:r w:rsidRPr="002D37F5">
                    <w:rPr>
                      <w:rStyle w:val="Hypertextovodkaz"/>
                      <w:rFonts w:cs="Arial"/>
                      <w:color w:val="0071BC"/>
                      <w:sz w:val="15"/>
                      <w:szCs w:val="15"/>
                    </w:rPr>
                    <w:t>infoservis@czso.cz</w:t>
                  </w:r>
                </w:hyperlink>
                <w:r>
                  <w:rPr>
                    <w:rFonts w:cs="Arial"/>
                    <w:sz w:val="15"/>
                    <w:szCs w:val="15"/>
                  </w:rPr>
                  <w:tab/>
                </w:r>
                <w:r w:rsidR="00123849" w:rsidRPr="007E75DE">
                  <w:rPr>
                    <w:rFonts w:cs="Arial"/>
                    <w:szCs w:val="15"/>
                  </w:rPr>
                  <w:fldChar w:fldCharType="begin"/>
                </w:r>
                <w:r w:rsidRPr="007E75DE">
                  <w:rPr>
                    <w:rFonts w:cs="Arial"/>
                    <w:szCs w:val="15"/>
                  </w:rPr>
                  <w:instrText xml:space="preserve"> PAGE   \* MERGEFORMAT </w:instrText>
                </w:r>
                <w:r w:rsidR="00123849" w:rsidRPr="007E75DE">
                  <w:rPr>
                    <w:rFonts w:cs="Arial"/>
                    <w:szCs w:val="15"/>
                  </w:rPr>
                  <w:fldChar w:fldCharType="separate"/>
                </w:r>
                <w:r w:rsidR="00506517">
                  <w:rPr>
                    <w:rFonts w:cs="Arial"/>
                    <w:noProof/>
                    <w:szCs w:val="15"/>
                  </w:rPr>
                  <w:t>2</w:t>
                </w:r>
                <w:r w:rsidR="00123849" w:rsidRPr="007E75DE">
                  <w:rPr>
                    <w:rFonts w:cs="Arial"/>
                    <w:szCs w:val="15"/>
                  </w:rPr>
                  <w:fldChar w:fldCharType="end"/>
                </w:r>
              </w:p>
            </w:txbxContent>
          </v:textbox>
          <w10:wrap anchorx="page" anchory="page"/>
        </v:shape>
      </w:pict>
    </w:r>
    <w:r>
      <w:rPr>
        <w:noProof/>
      </w:rPr>
      <w:pict>
        <v:line id="Přímá spojnice 2" o:spid="_x0000_s2049" style="position:absolute;left:0;text-align:left;flip:y;z-index:251656704;visibility:visible;mso-wrap-distance-top:-3e-5mm;mso-wrap-distance-bottom:-3e-5mm;mso-position-horizontal-relative:page;mso-position-vertical-relative:page;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" strokecolor="#0071bc" strokeweight="1.5pt">
          <o:lock v:ext="edit" shapetype="f"/>
          <w10:wrap anchorx="page" anchory="page"/>
        </v:lin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725F" w:rsidRDefault="00CD725F" w:rsidP="00BA6370">
      <w:r>
        <w:separator/>
      </w:r>
    </w:p>
  </w:footnote>
  <w:footnote w:type="continuationSeparator" w:id="0">
    <w:p w:rsidR="00CD725F" w:rsidRDefault="00CD725F"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499" w:rsidRDefault="00506517">
    <w:pPr>
      <w:pStyle w:val="Zhlav"/>
    </w:pPr>
    <w:r>
      <w:rPr>
        <w:noProof/>
        <w:lang w:val="cs-CZ" w:eastAsia="cs-CZ"/>
      </w:rPr>
      <w:pict>
        <v:group id="_x0000_s2094" style="position:absolute;left:0;text-align:left;margin-left:-69.5pt;margin-top:7.95pt;width:496.95pt;height:80.05pt;z-index:251658752" coordorigin="595,879" coordsize="9939,1601">
          <v:rect id="_x0000_s2081" style="position:absolute;left:1956;top:1911;width:8578;height:569;mso-position-horizontal-relative:page;mso-position-vertical-relative:page" fillcolor="#0071bc" stroked="f"/>
          <v:shape id="_x0000_s2082" style="position:absolute;left:2177;top:2104;width:1943;height:198;mso-position-vertical:absolute;mso-position-vertical-relative:page" coordsize="3885,394"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lock v:ext="edit" verticies="t"/>
          </v:shape>
          <v:rect id="_x0000_s2083" style="position:absolute;left:1217;top:882;width:660;height:153" fillcolor="#0071bc" stroked="f"/>
          <v:rect id="_x0000_s2084" style="position:absolute;left:595;top:1111;width:1282;height:153" fillcolor="#0071bc" stroked="f"/>
          <v:rect id="_x0000_s2085" style="position:absolute;left:1158;top:1340;width:719;height:153" fillcolor="#0071bc" stroked="f"/>
          <v:shape id="_x0000_s2086" style="position:absolute;left:1947;top:1335;width:718;height:163" coordsize="1435,325"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r,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r,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lock v:ext="edit" verticies="t"/>
          </v:shape>
          <v:shape id="_x0000_s2087" style="position:absolute;left:1947;top:1107;width:1274;height:161" coordsize="2548,322"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lock v:ext="edit" verticies="t"/>
          </v:shape>
          <v:shape id="_x0000_s2088" style="position:absolute;left:1947;top:879;width:664;height:160" coordsize="1327,321"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lock v:ext="edit" verticies="t"/>
          </v:shape>
          <v:shape id="_x0000_s2089" style="position:absolute;left:6504;top:1379;width:4016;height:156;mso-position-horizontal:absolute" coordsize="8032,313"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r,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r,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r,xm6472,42r8,1l6486,44r6,4l6498,53r5,5l6506,64r2,8l6510,79r-2,8l6506,94r-3,6l6498,105r-6,5l6486,114r-6,1l6472,116r-7,-1l6457,114r-6,-4l6445,105r-4,-5l6437,93r-2,-6l6435,78r,-6l6437,64r4,-6l6446,53r5,-5l6457,44r8,-1l6472,42r,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r,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r,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r,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r,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r,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r,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r,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r,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r,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r,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r,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r,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r,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lock v:ext="edit" verticies="t"/>
          </v:shap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TrackMoves/>
  <w:defaultTabStop w:val="720"/>
  <w:hyphenationZone w:val="425"/>
  <w:characterSpacingControl w:val="doNotCompress"/>
  <w:hdrShapeDefaults>
    <o:shapedefaults v:ext="edit" spidmax="2096">
      <o:colormru v:ext="edit" colors="#0071bc"/>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D725F"/>
    <w:rsid w:val="00021A4A"/>
    <w:rsid w:val="00043BF4"/>
    <w:rsid w:val="000676A2"/>
    <w:rsid w:val="00070C41"/>
    <w:rsid w:val="000843A5"/>
    <w:rsid w:val="00091722"/>
    <w:rsid w:val="000B6F63"/>
    <w:rsid w:val="000C7DD1"/>
    <w:rsid w:val="00116ED1"/>
    <w:rsid w:val="00123849"/>
    <w:rsid w:val="0013242C"/>
    <w:rsid w:val="001404AB"/>
    <w:rsid w:val="0017231D"/>
    <w:rsid w:val="00176E26"/>
    <w:rsid w:val="0018061F"/>
    <w:rsid w:val="001810DC"/>
    <w:rsid w:val="001B607F"/>
    <w:rsid w:val="001C71FD"/>
    <w:rsid w:val="001D369A"/>
    <w:rsid w:val="001F08B3"/>
    <w:rsid w:val="002070FB"/>
    <w:rsid w:val="00213729"/>
    <w:rsid w:val="002406FA"/>
    <w:rsid w:val="00297900"/>
    <w:rsid w:val="002B2E47"/>
    <w:rsid w:val="002D37F5"/>
    <w:rsid w:val="0032398D"/>
    <w:rsid w:val="003301A3"/>
    <w:rsid w:val="0036777B"/>
    <w:rsid w:val="00380178"/>
    <w:rsid w:val="0038282A"/>
    <w:rsid w:val="00397580"/>
    <w:rsid w:val="003A45C8"/>
    <w:rsid w:val="003B7A7A"/>
    <w:rsid w:val="003B7F42"/>
    <w:rsid w:val="003C2DCF"/>
    <w:rsid w:val="003C3372"/>
    <w:rsid w:val="003C7FE7"/>
    <w:rsid w:val="003D0499"/>
    <w:rsid w:val="003D3576"/>
    <w:rsid w:val="003F526A"/>
    <w:rsid w:val="00405244"/>
    <w:rsid w:val="00436D82"/>
    <w:rsid w:val="0044277F"/>
    <w:rsid w:val="004436EE"/>
    <w:rsid w:val="0045547F"/>
    <w:rsid w:val="004920AD"/>
    <w:rsid w:val="004D05B3"/>
    <w:rsid w:val="004E479E"/>
    <w:rsid w:val="004F78E6"/>
    <w:rsid w:val="00506517"/>
    <w:rsid w:val="00512D99"/>
    <w:rsid w:val="00531DBB"/>
    <w:rsid w:val="00564213"/>
    <w:rsid w:val="00573EEE"/>
    <w:rsid w:val="005B2F08"/>
    <w:rsid w:val="005F79FB"/>
    <w:rsid w:val="00604406"/>
    <w:rsid w:val="00605F4A"/>
    <w:rsid w:val="00607822"/>
    <w:rsid w:val="006103AA"/>
    <w:rsid w:val="00613BBF"/>
    <w:rsid w:val="00622B80"/>
    <w:rsid w:val="0064139A"/>
    <w:rsid w:val="006510EF"/>
    <w:rsid w:val="006B6EE5"/>
    <w:rsid w:val="006D5C60"/>
    <w:rsid w:val="006E024F"/>
    <w:rsid w:val="006E445B"/>
    <w:rsid w:val="006E4E81"/>
    <w:rsid w:val="00707F7D"/>
    <w:rsid w:val="00717EC5"/>
    <w:rsid w:val="00755D8B"/>
    <w:rsid w:val="00760610"/>
    <w:rsid w:val="00763787"/>
    <w:rsid w:val="007945AC"/>
    <w:rsid w:val="007A0CA5"/>
    <w:rsid w:val="007A57F2"/>
    <w:rsid w:val="007B1333"/>
    <w:rsid w:val="007B16E7"/>
    <w:rsid w:val="007F4AEB"/>
    <w:rsid w:val="007F75B2"/>
    <w:rsid w:val="008043C4"/>
    <w:rsid w:val="00831B1B"/>
    <w:rsid w:val="00855FB3"/>
    <w:rsid w:val="00861D0E"/>
    <w:rsid w:val="00867569"/>
    <w:rsid w:val="00885C0D"/>
    <w:rsid w:val="00886C45"/>
    <w:rsid w:val="008A750A"/>
    <w:rsid w:val="008B3970"/>
    <w:rsid w:val="008C384C"/>
    <w:rsid w:val="008D0F11"/>
    <w:rsid w:val="008F73B4"/>
    <w:rsid w:val="009035E8"/>
    <w:rsid w:val="00910828"/>
    <w:rsid w:val="00971374"/>
    <w:rsid w:val="009A2048"/>
    <w:rsid w:val="009B55B1"/>
    <w:rsid w:val="009E39C5"/>
    <w:rsid w:val="009F1C6F"/>
    <w:rsid w:val="00A07BA7"/>
    <w:rsid w:val="00A4343D"/>
    <w:rsid w:val="00A502F1"/>
    <w:rsid w:val="00A51E12"/>
    <w:rsid w:val="00A70A83"/>
    <w:rsid w:val="00A81EB3"/>
    <w:rsid w:val="00AB6196"/>
    <w:rsid w:val="00AB61B6"/>
    <w:rsid w:val="00AC3140"/>
    <w:rsid w:val="00B00C1D"/>
    <w:rsid w:val="00B5538B"/>
    <w:rsid w:val="00B632CC"/>
    <w:rsid w:val="00B82653"/>
    <w:rsid w:val="00B9436B"/>
    <w:rsid w:val="00BA12F1"/>
    <w:rsid w:val="00BA439F"/>
    <w:rsid w:val="00BA6370"/>
    <w:rsid w:val="00C269D4"/>
    <w:rsid w:val="00C4160D"/>
    <w:rsid w:val="00C61E61"/>
    <w:rsid w:val="00C657E4"/>
    <w:rsid w:val="00C8406E"/>
    <w:rsid w:val="00CB2709"/>
    <w:rsid w:val="00CB6F89"/>
    <w:rsid w:val="00CD725F"/>
    <w:rsid w:val="00CE228C"/>
    <w:rsid w:val="00CE71D9"/>
    <w:rsid w:val="00CF545B"/>
    <w:rsid w:val="00D209A7"/>
    <w:rsid w:val="00D27D69"/>
    <w:rsid w:val="00D448C2"/>
    <w:rsid w:val="00D666C3"/>
    <w:rsid w:val="00D71581"/>
    <w:rsid w:val="00D811AB"/>
    <w:rsid w:val="00DE3BD8"/>
    <w:rsid w:val="00DF47FE"/>
    <w:rsid w:val="00E0156A"/>
    <w:rsid w:val="00E26704"/>
    <w:rsid w:val="00E31980"/>
    <w:rsid w:val="00E6423C"/>
    <w:rsid w:val="00E71483"/>
    <w:rsid w:val="00E93830"/>
    <w:rsid w:val="00E93E0E"/>
    <w:rsid w:val="00EB1A25"/>
    <w:rsid w:val="00EB1ED3"/>
    <w:rsid w:val="00ED31AC"/>
    <w:rsid w:val="00EE0960"/>
    <w:rsid w:val="00EE70B7"/>
    <w:rsid w:val="00F04886"/>
    <w:rsid w:val="00F314B7"/>
    <w:rsid w:val="00F83C49"/>
    <w:rsid w:val="00FA5E5D"/>
    <w:rsid w:val="00FB687C"/>
    <w:rsid w:val="00FE114D"/>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96">
      <o:colormru v:ext="edit" colors="#0071bc"/>
    </o:shapedefaults>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iPriority w:val="99"/>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table" w:styleId="Mkatabulky">
    <w:name w:val="Table Grid"/>
    <w:basedOn w:val="Normlntabulka"/>
    <w:uiPriority w:val="59"/>
    <w:rsid w:val="00070C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kladntext">
    <w:name w:val="Body Text"/>
    <w:basedOn w:val="Normln"/>
    <w:link w:val="ZkladntextChar"/>
    <w:rsid w:val="00B82653"/>
    <w:pPr>
      <w:spacing w:line="240" w:lineRule="auto"/>
    </w:pPr>
    <w:rPr>
      <w:rFonts w:ascii="Times New Roman" w:eastAsia="Times New Roman" w:hAnsi="Times New Roman"/>
      <w:sz w:val="24"/>
      <w:szCs w:val="24"/>
      <w:lang w:eastAsia="cs-CZ"/>
    </w:rPr>
  </w:style>
  <w:style w:type="character" w:customStyle="1" w:styleId="ZkladntextChar">
    <w:name w:val="Základní text Char"/>
    <w:basedOn w:val="Standardnpsmoodstavce"/>
    <w:link w:val="Zkladntext"/>
    <w:rsid w:val="00B82653"/>
    <w:rPr>
      <w:rFonts w:ascii="Times New Roman" w:eastAsia="Times New Roman" w:hAnsi="Times New Roman"/>
      <w:sz w:val="24"/>
      <w:szCs w:val="24"/>
      <w:lang w:val="en-GB"/>
    </w:rPr>
  </w:style>
  <w:style w:type="character" w:styleId="Sledovanodkaz">
    <w:name w:val="FollowedHyperlink"/>
    <w:basedOn w:val="Standardnpsmoodstavce"/>
    <w:uiPriority w:val="99"/>
    <w:semiHidden/>
    <w:unhideWhenUsed/>
    <w:rsid w:val="00886C4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zso.cz"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ie.trejbalova@czso.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aclav.rybacek@czso.cz" TargetMode="External"/><Relationship Id="rId4" Type="http://schemas.openxmlformats.org/officeDocument/2006/relationships/settings" Target="settings.xml"/><Relationship Id="rId9" Type="http://schemas.openxmlformats.org/officeDocument/2006/relationships/hyperlink" Target="http://apl.czso.cz/pll/rocenka/rocenka.indexnu_gov?mylang=EN"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foservis@czso.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463F5-A249-4EE8-855E-E70EA41DF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2</Pages>
  <Words>558</Words>
  <Characters>3299</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3850</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Václav Rybáček</dc:creator>
  <cp:lastModifiedBy>Václav Rybáček</cp:lastModifiedBy>
  <cp:revision>20</cp:revision>
  <dcterms:created xsi:type="dcterms:W3CDTF">2015-06-29T08:20:00Z</dcterms:created>
  <dcterms:modified xsi:type="dcterms:W3CDTF">2016-01-12T09:10:00Z</dcterms:modified>
</cp:coreProperties>
</file>