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6B6EE5" w:rsidP="00867569">
      <w:pPr>
        <w:pStyle w:val="Datum"/>
      </w:pPr>
      <w:r>
        <w:t>April</w:t>
      </w:r>
      <w:r w:rsidR="00070C41">
        <w:t xml:space="preserve"> 1, 2015</w:t>
      </w:r>
    </w:p>
    <w:p w:rsidR="008B3970" w:rsidRDefault="00573EEE" w:rsidP="008B3970">
      <w:pPr>
        <w:pStyle w:val="Nzev"/>
      </w:pPr>
      <w:proofErr w:type="gramStart"/>
      <w:r>
        <w:t xml:space="preserve">Government deficit and debt – </w:t>
      </w:r>
      <w:r w:rsidR="006B6EE5">
        <w:t>2</w:t>
      </w:r>
      <w:r>
        <w:t>.</w:t>
      </w:r>
      <w:proofErr w:type="gramEnd"/>
      <w:r>
        <w:t xml:space="preserve"> </w:t>
      </w:r>
      <w:proofErr w:type="gramStart"/>
      <w:r>
        <w:t>quarter</w:t>
      </w:r>
      <w:proofErr w:type="gramEnd"/>
      <w:r>
        <w:t xml:space="preserve"> of 2015</w:t>
      </w:r>
    </w:p>
    <w:p w:rsidR="00573EEE" w:rsidRPr="008B3970" w:rsidRDefault="006B6EE5" w:rsidP="00573EEE">
      <w:pPr>
        <w:pStyle w:val="Podtitulek"/>
        <w:rPr>
          <w:color w:val="BD1B21"/>
        </w:rPr>
      </w:pPr>
      <w:r>
        <w:t>Balance in surplus, annual decrease in indebtedness</w:t>
      </w:r>
    </w:p>
    <w:p w:rsidR="00573EEE" w:rsidRDefault="006B6EE5" w:rsidP="00573EEE">
      <w:r w:rsidRPr="006B6EE5">
        <w:t xml:space="preserve">In the second quarter 2015, </w:t>
      </w:r>
      <w:r>
        <w:rPr>
          <w:b/>
        </w:rPr>
        <w:t xml:space="preserve">balance </w:t>
      </w:r>
      <w:r w:rsidR="00573EEE">
        <w:rPr>
          <w:b/>
        </w:rPr>
        <w:t xml:space="preserve">of government institutions </w:t>
      </w:r>
      <w:r w:rsidR="00573EEE">
        <w:t xml:space="preserve">expressed as a percentage of GDP has reached </w:t>
      </w:r>
      <w:r w:rsidRPr="006B6EE5">
        <w:rPr>
          <w:b/>
        </w:rPr>
        <w:t>surplus</w:t>
      </w:r>
      <w:r>
        <w:t xml:space="preserve"> </w:t>
      </w:r>
      <w:r w:rsidR="00573EEE" w:rsidRPr="00070C41">
        <w:rPr>
          <w:b/>
        </w:rPr>
        <w:t>1.</w:t>
      </w:r>
      <w:r>
        <w:rPr>
          <w:b/>
        </w:rPr>
        <w:t>39</w:t>
      </w:r>
      <w:r w:rsidR="00573EEE" w:rsidRPr="00070C41">
        <w:rPr>
          <w:b/>
        </w:rPr>
        <w:t xml:space="preserve"> </w:t>
      </w:r>
      <w:r w:rsidR="00070C41">
        <w:rPr>
          <w:b/>
        </w:rPr>
        <w:t>percent</w:t>
      </w:r>
      <w:r w:rsidR="00573EEE">
        <w:t xml:space="preserve">. Compared to the </w:t>
      </w:r>
      <w:r>
        <w:t xml:space="preserve">second </w:t>
      </w:r>
      <w:r w:rsidR="00573EEE">
        <w:t xml:space="preserve">quarter of 2014, deficit has been </w:t>
      </w:r>
      <w:r w:rsidR="00070C41">
        <w:t xml:space="preserve">reduced by </w:t>
      </w:r>
      <w:r w:rsidR="00021A4A">
        <w:t>almost</w:t>
      </w:r>
      <w:r w:rsidR="00070C41">
        <w:t xml:space="preserve"> </w:t>
      </w:r>
      <w:r>
        <w:t>2.01</w:t>
      </w:r>
      <w:r w:rsidR="00070C41">
        <w:t xml:space="preserve"> percentage points</w:t>
      </w:r>
      <w:r w:rsidR="00FA5E5D">
        <w:t xml:space="preserve"> (p.p.)</w:t>
      </w:r>
      <w:r w:rsidR="00070C41">
        <w:t xml:space="preserve">. </w:t>
      </w:r>
    </w:p>
    <w:p w:rsidR="00070C41" w:rsidRDefault="00070C41" w:rsidP="00573EEE"/>
    <w:p w:rsidR="00070C41" w:rsidRPr="00043BF4" w:rsidRDefault="00070C41" w:rsidP="00070C41">
      <w:pPr>
        <w:pStyle w:val="TabulkaGraf"/>
      </w:pPr>
      <w:r>
        <w:t xml:space="preserve">Surplus/Deficit of government institutions, the Czech Republic, </w:t>
      </w:r>
      <w:r w:rsidR="006B6EE5">
        <w:t>2</w:t>
      </w:r>
      <w:r>
        <w:t>.Q2014-</w:t>
      </w:r>
      <w:r w:rsidR="006B6EE5">
        <w:t>2</w:t>
      </w:r>
      <w:r>
        <w:t>.Q2015</w:t>
      </w:r>
    </w:p>
    <w:tbl>
      <w:tblPr>
        <w:tblStyle w:val="Mkatabulky"/>
        <w:tblW w:w="0" w:type="auto"/>
        <w:tblLook w:val="04A0" w:firstRow="1" w:lastRow="0" w:firstColumn="1" w:lastColumn="0" w:noHBand="0" w:noVBand="1"/>
      </w:tblPr>
      <w:tblGrid>
        <w:gridCol w:w="2518"/>
        <w:gridCol w:w="1156"/>
        <w:gridCol w:w="973"/>
        <w:gridCol w:w="993"/>
        <w:gridCol w:w="998"/>
        <w:gridCol w:w="993"/>
        <w:gridCol w:w="993"/>
      </w:tblGrid>
      <w:tr w:rsidR="006B6EE5" w:rsidTr="0000635E">
        <w:tc>
          <w:tcPr>
            <w:tcW w:w="2518" w:type="dxa"/>
            <w:vMerge w:val="restart"/>
            <w:vAlign w:val="center"/>
          </w:tcPr>
          <w:p w:rsidR="006B6EE5" w:rsidRDefault="006B6EE5" w:rsidP="0000635E">
            <w:pPr>
              <w:jc w:val="center"/>
            </w:pPr>
          </w:p>
        </w:tc>
        <w:tc>
          <w:tcPr>
            <w:tcW w:w="1156" w:type="dxa"/>
            <w:vMerge w:val="restart"/>
            <w:vAlign w:val="center"/>
          </w:tcPr>
          <w:p w:rsidR="006B6EE5" w:rsidRDefault="006B6EE5" w:rsidP="0000635E">
            <w:pPr>
              <w:jc w:val="center"/>
            </w:pPr>
            <w:r>
              <w:t>Unit</w:t>
            </w:r>
          </w:p>
        </w:tc>
        <w:tc>
          <w:tcPr>
            <w:tcW w:w="2964" w:type="dxa"/>
            <w:gridSpan w:val="3"/>
          </w:tcPr>
          <w:p w:rsidR="006B6EE5" w:rsidRDefault="006B6EE5" w:rsidP="0000635E">
            <w:pPr>
              <w:spacing w:line="240" w:lineRule="auto"/>
              <w:jc w:val="center"/>
              <w:rPr>
                <w:szCs w:val="20"/>
                <w:lang w:eastAsia="cs-CZ"/>
              </w:rPr>
            </w:pPr>
            <w:r>
              <w:t>2014</w:t>
            </w:r>
          </w:p>
        </w:tc>
        <w:tc>
          <w:tcPr>
            <w:tcW w:w="1986" w:type="dxa"/>
            <w:gridSpan w:val="2"/>
          </w:tcPr>
          <w:p w:rsidR="006B6EE5" w:rsidRDefault="006B6EE5" w:rsidP="0000635E">
            <w:pPr>
              <w:jc w:val="center"/>
            </w:pPr>
            <w:r>
              <w:t>2015</w:t>
            </w:r>
          </w:p>
        </w:tc>
      </w:tr>
      <w:tr w:rsidR="006B6EE5" w:rsidTr="0000635E">
        <w:tc>
          <w:tcPr>
            <w:tcW w:w="2518" w:type="dxa"/>
            <w:vMerge/>
          </w:tcPr>
          <w:p w:rsidR="006B6EE5" w:rsidRDefault="006B6EE5" w:rsidP="0000635E"/>
        </w:tc>
        <w:tc>
          <w:tcPr>
            <w:tcW w:w="1156" w:type="dxa"/>
            <w:vMerge/>
          </w:tcPr>
          <w:p w:rsidR="006B6EE5" w:rsidRDefault="006B6EE5" w:rsidP="0000635E"/>
        </w:tc>
        <w:tc>
          <w:tcPr>
            <w:tcW w:w="973" w:type="dxa"/>
          </w:tcPr>
          <w:p w:rsidR="006B6EE5" w:rsidRDefault="006B6EE5" w:rsidP="006B6EE5">
            <w:pPr>
              <w:jc w:val="center"/>
            </w:pPr>
            <w:r>
              <w:t xml:space="preserve">2. </w:t>
            </w:r>
            <w:r>
              <w:t>quarter</w:t>
            </w:r>
          </w:p>
        </w:tc>
        <w:tc>
          <w:tcPr>
            <w:tcW w:w="993" w:type="dxa"/>
          </w:tcPr>
          <w:p w:rsidR="006B6EE5" w:rsidRDefault="006B6EE5" w:rsidP="006B6EE5">
            <w:pPr>
              <w:jc w:val="center"/>
            </w:pPr>
            <w:r>
              <w:t xml:space="preserve">3. </w:t>
            </w:r>
            <w:r>
              <w:t>quarter</w:t>
            </w:r>
          </w:p>
        </w:tc>
        <w:tc>
          <w:tcPr>
            <w:tcW w:w="998" w:type="dxa"/>
          </w:tcPr>
          <w:p w:rsidR="006B6EE5" w:rsidRDefault="006B6EE5" w:rsidP="006B6EE5">
            <w:pPr>
              <w:jc w:val="center"/>
            </w:pPr>
            <w:r>
              <w:t xml:space="preserve">4. </w:t>
            </w:r>
            <w:r>
              <w:t>quarter</w:t>
            </w:r>
          </w:p>
        </w:tc>
        <w:tc>
          <w:tcPr>
            <w:tcW w:w="993" w:type="dxa"/>
          </w:tcPr>
          <w:p w:rsidR="006B6EE5" w:rsidRDefault="006B6EE5" w:rsidP="006B6EE5">
            <w:pPr>
              <w:jc w:val="center"/>
            </w:pPr>
            <w:r>
              <w:t xml:space="preserve">1. </w:t>
            </w:r>
            <w:r>
              <w:t>quarter</w:t>
            </w:r>
          </w:p>
        </w:tc>
        <w:tc>
          <w:tcPr>
            <w:tcW w:w="993" w:type="dxa"/>
          </w:tcPr>
          <w:p w:rsidR="006B6EE5" w:rsidRDefault="006B6EE5" w:rsidP="006B6EE5">
            <w:pPr>
              <w:jc w:val="center"/>
            </w:pPr>
            <w:r>
              <w:t xml:space="preserve">2. </w:t>
            </w:r>
            <w:r>
              <w:t>quarter</w:t>
            </w:r>
          </w:p>
        </w:tc>
      </w:tr>
      <w:tr w:rsidR="006B6EE5" w:rsidTr="0000635E">
        <w:tc>
          <w:tcPr>
            <w:tcW w:w="2518" w:type="dxa"/>
            <w:vMerge w:val="restart"/>
          </w:tcPr>
          <w:p w:rsidR="006B6EE5" w:rsidRDefault="006B6EE5" w:rsidP="0000635E">
            <w:pPr>
              <w:jc w:val="left"/>
            </w:pPr>
            <w:r w:rsidRPr="00B07B5B">
              <w:rPr>
                <w:rFonts w:cs="Arial"/>
                <w:szCs w:val="20"/>
              </w:rPr>
              <w:t xml:space="preserve">Net </w:t>
            </w:r>
            <w:r>
              <w:rPr>
                <w:rFonts w:cs="Arial"/>
                <w:szCs w:val="20"/>
              </w:rPr>
              <w:t>lending/</w:t>
            </w:r>
            <w:r w:rsidRPr="00B07B5B">
              <w:rPr>
                <w:rFonts w:cs="Arial"/>
                <w:szCs w:val="20"/>
              </w:rPr>
              <w:t>borrowing</w:t>
            </w:r>
            <w:r>
              <w:rPr>
                <w:rFonts w:cs="Arial"/>
                <w:szCs w:val="20"/>
              </w:rPr>
              <w:t xml:space="preserve"> </w:t>
            </w:r>
            <w:r w:rsidRPr="00B07B5B">
              <w:rPr>
                <w:rFonts w:cs="Arial"/>
                <w:szCs w:val="20"/>
              </w:rPr>
              <w:t>(</w:t>
            </w:r>
            <w:r>
              <w:rPr>
                <w:rFonts w:cs="Arial"/>
                <w:szCs w:val="20"/>
              </w:rPr>
              <w:t>surplus/deficit</w:t>
            </w:r>
            <w:r w:rsidRPr="00B07B5B">
              <w:rPr>
                <w:rFonts w:cs="Arial"/>
                <w:szCs w:val="20"/>
              </w:rPr>
              <w:t xml:space="preserve">) </w:t>
            </w:r>
            <w:r>
              <w:rPr>
                <w:rFonts w:cs="Arial"/>
                <w:szCs w:val="20"/>
              </w:rPr>
              <w:t>of general government</w:t>
            </w:r>
          </w:p>
        </w:tc>
        <w:tc>
          <w:tcPr>
            <w:tcW w:w="1156" w:type="dxa"/>
          </w:tcPr>
          <w:p w:rsidR="006B6EE5" w:rsidRDefault="006B6EE5" w:rsidP="0000635E">
            <w:pPr>
              <w:jc w:val="center"/>
            </w:pPr>
            <w:proofErr w:type="spellStart"/>
            <w:r>
              <w:t>CZK</w:t>
            </w:r>
            <w:proofErr w:type="spellEnd"/>
            <w:r>
              <w:t xml:space="preserve"> mill.</w:t>
            </w:r>
          </w:p>
        </w:tc>
        <w:tc>
          <w:tcPr>
            <w:tcW w:w="973" w:type="dxa"/>
          </w:tcPr>
          <w:p w:rsidR="006B6EE5" w:rsidRDefault="006B6EE5" w:rsidP="0000635E">
            <w:pPr>
              <w:jc w:val="center"/>
            </w:pPr>
            <w:r>
              <w:t>-6 635</w:t>
            </w:r>
          </w:p>
        </w:tc>
        <w:tc>
          <w:tcPr>
            <w:tcW w:w="993" w:type="dxa"/>
          </w:tcPr>
          <w:p w:rsidR="006B6EE5" w:rsidRDefault="006B6EE5" w:rsidP="0000635E">
            <w:pPr>
              <w:jc w:val="center"/>
            </w:pPr>
            <w:r>
              <w:t>98</w:t>
            </w:r>
          </w:p>
        </w:tc>
        <w:tc>
          <w:tcPr>
            <w:tcW w:w="998" w:type="dxa"/>
          </w:tcPr>
          <w:p w:rsidR="006B6EE5" w:rsidRDefault="006B6EE5" w:rsidP="0000635E">
            <w:pPr>
              <w:jc w:val="center"/>
            </w:pPr>
            <w:r>
              <w:t>-39 624</w:t>
            </w:r>
          </w:p>
        </w:tc>
        <w:tc>
          <w:tcPr>
            <w:tcW w:w="993" w:type="dxa"/>
          </w:tcPr>
          <w:p w:rsidR="006B6EE5" w:rsidRDefault="006B6EE5" w:rsidP="0000635E">
            <w:pPr>
              <w:jc w:val="center"/>
            </w:pPr>
            <w:r>
              <w:t>-15 352</w:t>
            </w:r>
          </w:p>
        </w:tc>
        <w:tc>
          <w:tcPr>
            <w:tcW w:w="993" w:type="dxa"/>
          </w:tcPr>
          <w:p w:rsidR="006B6EE5" w:rsidRDefault="006B6EE5" w:rsidP="0000635E">
            <w:pPr>
              <w:jc w:val="center"/>
            </w:pPr>
            <w:r>
              <w:t>15 649</w:t>
            </w:r>
          </w:p>
        </w:tc>
      </w:tr>
      <w:tr w:rsidR="006B6EE5" w:rsidTr="0000635E">
        <w:tc>
          <w:tcPr>
            <w:tcW w:w="2518" w:type="dxa"/>
            <w:vMerge/>
          </w:tcPr>
          <w:p w:rsidR="006B6EE5" w:rsidRDefault="006B6EE5" w:rsidP="0000635E"/>
        </w:tc>
        <w:tc>
          <w:tcPr>
            <w:tcW w:w="1156" w:type="dxa"/>
          </w:tcPr>
          <w:p w:rsidR="006B6EE5" w:rsidRDefault="006B6EE5" w:rsidP="006B6EE5">
            <w:pPr>
              <w:jc w:val="center"/>
            </w:pPr>
            <w:r>
              <w:t xml:space="preserve">% </w:t>
            </w:r>
            <w:r>
              <w:t>of GDP</w:t>
            </w:r>
          </w:p>
        </w:tc>
        <w:tc>
          <w:tcPr>
            <w:tcW w:w="973" w:type="dxa"/>
          </w:tcPr>
          <w:p w:rsidR="006B6EE5" w:rsidRDefault="006B6EE5" w:rsidP="006B6EE5">
            <w:pPr>
              <w:jc w:val="center"/>
            </w:pPr>
            <w:r>
              <w:t>-0</w:t>
            </w:r>
            <w:r>
              <w:t>.</w:t>
            </w:r>
            <w:r>
              <w:t>62</w:t>
            </w:r>
          </w:p>
        </w:tc>
        <w:tc>
          <w:tcPr>
            <w:tcW w:w="993" w:type="dxa"/>
          </w:tcPr>
          <w:p w:rsidR="006B6EE5" w:rsidRDefault="006B6EE5" w:rsidP="006B6EE5">
            <w:pPr>
              <w:jc w:val="center"/>
            </w:pPr>
            <w:r>
              <w:t>0</w:t>
            </w:r>
            <w:r>
              <w:t>.</w:t>
            </w:r>
            <w:r>
              <w:t>01</w:t>
            </w:r>
          </w:p>
        </w:tc>
        <w:tc>
          <w:tcPr>
            <w:tcW w:w="998" w:type="dxa"/>
          </w:tcPr>
          <w:p w:rsidR="006B6EE5" w:rsidRDefault="006B6EE5" w:rsidP="006B6EE5">
            <w:pPr>
              <w:jc w:val="center"/>
            </w:pPr>
            <w:r>
              <w:t>-3</w:t>
            </w:r>
            <w:r>
              <w:t>.</w:t>
            </w:r>
            <w:r>
              <w:t>54</w:t>
            </w:r>
          </w:p>
        </w:tc>
        <w:tc>
          <w:tcPr>
            <w:tcW w:w="993" w:type="dxa"/>
          </w:tcPr>
          <w:p w:rsidR="006B6EE5" w:rsidRDefault="006B6EE5" w:rsidP="006B6EE5">
            <w:pPr>
              <w:jc w:val="center"/>
            </w:pPr>
            <w:r>
              <w:t>-1</w:t>
            </w:r>
            <w:r>
              <w:t>.</w:t>
            </w:r>
            <w:r>
              <w:t>48</w:t>
            </w:r>
          </w:p>
        </w:tc>
        <w:tc>
          <w:tcPr>
            <w:tcW w:w="993" w:type="dxa"/>
          </w:tcPr>
          <w:p w:rsidR="006B6EE5" w:rsidRDefault="006B6EE5" w:rsidP="006B6EE5">
            <w:pPr>
              <w:jc w:val="center"/>
            </w:pPr>
            <w:r>
              <w:t>1</w:t>
            </w:r>
            <w:r>
              <w:t>.</w:t>
            </w:r>
            <w:r>
              <w:t>39</w:t>
            </w:r>
          </w:p>
        </w:tc>
      </w:tr>
    </w:tbl>
    <w:p w:rsidR="00070C41" w:rsidRPr="00EE0960" w:rsidRDefault="00EE0960" w:rsidP="00070C41">
      <w:pPr>
        <w:rPr>
          <w:i/>
        </w:rPr>
      </w:pPr>
      <w:r w:rsidRPr="00EE0960">
        <w:rPr>
          <w:i/>
        </w:rPr>
        <w:t xml:space="preserve">Notice: data </w:t>
      </w:r>
      <w:r>
        <w:rPr>
          <w:i/>
        </w:rPr>
        <w:t>are not seasonally-adjusted; data cannot be compared quarter-to-quarter</w:t>
      </w:r>
    </w:p>
    <w:p w:rsidR="00EE0960" w:rsidRDefault="00EE0960" w:rsidP="00070C41"/>
    <w:p w:rsidR="00B82653" w:rsidRDefault="00910828" w:rsidP="00070C41">
      <w:r>
        <w:t xml:space="preserve">Final balance has been improved at </w:t>
      </w:r>
      <w:r w:rsidR="006B6EE5">
        <w:t xml:space="preserve">all level of general government sector, i.e. </w:t>
      </w:r>
      <w:r>
        <w:t xml:space="preserve">central and local </w:t>
      </w:r>
      <w:r w:rsidR="006B6EE5">
        <w:t xml:space="preserve">government institutions and </w:t>
      </w:r>
      <w:r>
        <w:t>health insurance companies.</w:t>
      </w:r>
      <w:r w:rsidR="00B5538B">
        <w:t xml:space="preserve"> The main factors of annual total growth of revenues (8.7 %) have been revenues from taxes, social contributions and investment subsidies from the European funds. Higher inflow of EU funds has promoted rise in the investment expenditures which have been together with rising compensation of employees the main factor driving the annual growth of expenditures (3.6 %).</w:t>
      </w:r>
    </w:p>
    <w:p w:rsidR="00B82653" w:rsidRDefault="00B82653" w:rsidP="00070C41"/>
    <w:p w:rsidR="00070C41" w:rsidRDefault="00ED31AC" w:rsidP="00070C41">
      <w:r>
        <w:t xml:space="preserve">The Czech </w:t>
      </w:r>
      <w:r w:rsidRPr="00ED31AC">
        <w:rPr>
          <w:b/>
        </w:rPr>
        <w:t>government consolidated</w:t>
      </w:r>
      <w:r>
        <w:t xml:space="preserve"> </w:t>
      </w:r>
      <w:r w:rsidRPr="00ED31AC">
        <w:rPr>
          <w:b/>
        </w:rPr>
        <w:t xml:space="preserve">gross debt </w:t>
      </w:r>
      <w:r>
        <w:t xml:space="preserve">has </w:t>
      </w:r>
      <w:r w:rsidR="000676A2">
        <w:t xml:space="preserve">decreased on the annual basis by 2.0 percentage point to </w:t>
      </w:r>
      <w:r w:rsidR="000676A2">
        <w:rPr>
          <w:b/>
        </w:rPr>
        <w:t>41</w:t>
      </w:r>
      <w:r w:rsidR="00B82653">
        <w:rPr>
          <w:b/>
        </w:rPr>
        <w:t>.</w:t>
      </w:r>
      <w:r w:rsidR="000676A2">
        <w:rPr>
          <w:b/>
        </w:rPr>
        <w:t>69</w:t>
      </w:r>
      <w:r w:rsidR="00B82653" w:rsidRPr="00B82653">
        <w:rPr>
          <w:b/>
        </w:rPr>
        <w:t xml:space="preserve"> percent of GDP</w:t>
      </w:r>
      <w:r>
        <w:t>.</w:t>
      </w:r>
      <w:r w:rsidR="000676A2">
        <w:t xml:space="preserve"> Decreasing trend is driven mainly by rising nominal GDP and </w:t>
      </w:r>
      <w:r>
        <w:t>stabilised level of the state debt constituting a dominant part of the total government debt.</w:t>
      </w:r>
      <w:r w:rsidR="000676A2">
        <w:t xml:space="preserve"> Compared to the first quarter 2015, the indebtedness has been reduced </w:t>
      </w:r>
      <w:proofErr w:type="gramStart"/>
      <w:r w:rsidR="000676A2">
        <w:t>by 0.75 p.p</w:t>
      </w:r>
      <w:proofErr w:type="gramEnd"/>
      <w:r w:rsidR="000676A2">
        <w:t>.</w:t>
      </w:r>
    </w:p>
    <w:p w:rsidR="00ED31AC" w:rsidRDefault="00ED31AC" w:rsidP="00070C41"/>
    <w:p w:rsidR="00070C41" w:rsidRPr="00043BF4" w:rsidRDefault="00ED31AC" w:rsidP="00070C41">
      <w:pPr>
        <w:pStyle w:val="TabulkaGraf"/>
      </w:pPr>
      <w:r>
        <w:t xml:space="preserve">Debt of government institutions, the Czech Republic </w:t>
      </w:r>
      <w:r w:rsidR="00070C41">
        <w:t>1.Q2014-1.Q2015</w:t>
      </w:r>
    </w:p>
    <w:tbl>
      <w:tblPr>
        <w:tblStyle w:val="Mkatabulky"/>
        <w:tblW w:w="8754" w:type="dxa"/>
        <w:tblLook w:val="04A0" w:firstRow="1" w:lastRow="0" w:firstColumn="1" w:lastColumn="0" w:noHBand="0" w:noVBand="1"/>
      </w:tblPr>
      <w:tblGrid>
        <w:gridCol w:w="1950"/>
        <w:gridCol w:w="1156"/>
        <w:gridCol w:w="1112"/>
        <w:gridCol w:w="1134"/>
        <w:gridCol w:w="1134"/>
        <w:gridCol w:w="1134"/>
        <w:gridCol w:w="1134"/>
      </w:tblGrid>
      <w:tr w:rsidR="00FA5E5D" w:rsidTr="00FA5E5D">
        <w:tc>
          <w:tcPr>
            <w:tcW w:w="1950" w:type="dxa"/>
            <w:vMerge w:val="restart"/>
            <w:vAlign w:val="center"/>
          </w:tcPr>
          <w:p w:rsidR="00FA5E5D" w:rsidRDefault="00FA5E5D" w:rsidP="0000635E">
            <w:pPr>
              <w:jc w:val="center"/>
            </w:pPr>
          </w:p>
        </w:tc>
        <w:tc>
          <w:tcPr>
            <w:tcW w:w="1156" w:type="dxa"/>
            <w:vMerge w:val="restart"/>
            <w:vAlign w:val="center"/>
          </w:tcPr>
          <w:p w:rsidR="00FA5E5D" w:rsidRDefault="00FA5E5D" w:rsidP="0000635E">
            <w:pPr>
              <w:jc w:val="center"/>
            </w:pPr>
            <w:r>
              <w:t>Unit</w:t>
            </w:r>
          </w:p>
        </w:tc>
        <w:tc>
          <w:tcPr>
            <w:tcW w:w="3380" w:type="dxa"/>
            <w:gridSpan w:val="3"/>
          </w:tcPr>
          <w:p w:rsidR="00FA5E5D" w:rsidRDefault="00FA5E5D" w:rsidP="0000635E">
            <w:pPr>
              <w:spacing w:line="240" w:lineRule="auto"/>
              <w:jc w:val="center"/>
              <w:rPr>
                <w:szCs w:val="20"/>
                <w:lang w:eastAsia="cs-CZ"/>
              </w:rPr>
            </w:pPr>
            <w:r>
              <w:t>2014</w:t>
            </w:r>
          </w:p>
        </w:tc>
        <w:tc>
          <w:tcPr>
            <w:tcW w:w="2268" w:type="dxa"/>
            <w:gridSpan w:val="2"/>
          </w:tcPr>
          <w:p w:rsidR="00FA5E5D" w:rsidRDefault="00FA5E5D" w:rsidP="0000635E">
            <w:pPr>
              <w:jc w:val="center"/>
            </w:pPr>
            <w:r>
              <w:t>2015</w:t>
            </w:r>
          </w:p>
        </w:tc>
      </w:tr>
      <w:tr w:rsidR="00FA5E5D" w:rsidTr="00FA5E5D">
        <w:tc>
          <w:tcPr>
            <w:tcW w:w="1950" w:type="dxa"/>
            <w:vMerge/>
          </w:tcPr>
          <w:p w:rsidR="00FA5E5D" w:rsidRDefault="00FA5E5D" w:rsidP="0000635E"/>
        </w:tc>
        <w:tc>
          <w:tcPr>
            <w:tcW w:w="1156" w:type="dxa"/>
            <w:vMerge/>
          </w:tcPr>
          <w:p w:rsidR="00FA5E5D" w:rsidRDefault="00FA5E5D" w:rsidP="0000635E"/>
        </w:tc>
        <w:tc>
          <w:tcPr>
            <w:tcW w:w="1112" w:type="dxa"/>
          </w:tcPr>
          <w:p w:rsidR="00FA5E5D" w:rsidRPr="00B02827" w:rsidRDefault="00FA5E5D" w:rsidP="0000635E">
            <w:pPr>
              <w:jc w:val="center"/>
            </w:pPr>
            <w:r w:rsidRPr="00B02827">
              <w:t xml:space="preserve">2. </w:t>
            </w:r>
            <w:r>
              <w:t>quarter</w:t>
            </w:r>
          </w:p>
        </w:tc>
        <w:tc>
          <w:tcPr>
            <w:tcW w:w="1134" w:type="dxa"/>
          </w:tcPr>
          <w:p w:rsidR="00FA5E5D" w:rsidRPr="00B02827" w:rsidRDefault="00FA5E5D" w:rsidP="0000635E">
            <w:pPr>
              <w:jc w:val="center"/>
            </w:pPr>
            <w:r w:rsidRPr="00B02827">
              <w:t xml:space="preserve">3. </w:t>
            </w:r>
            <w:r>
              <w:t>quarter</w:t>
            </w:r>
          </w:p>
        </w:tc>
        <w:tc>
          <w:tcPr>
            <w:tcW w:w="1134" w:type="dxa"/>
          </w:tcPr>
          <w:p w:rsidR="00FA5E5D" w:rsidRDefault="00FA5E5D" w:rsidP="0000635E">
            <w:pPr>
              <w:jc w:val="center"/>
            </w:pPr>
            <w:r>
              <w:t xml:space="preserve">4. </w:t>
            </w:r>
            <w:r>
              <w:t>quarter</w:t>
            </w:r>
          </w:p>
        </w:tc>
        <w:tc>
          <w:tcPr>
            <w:tcW w:w="1134" w:type="dxa"/>
          </w:tcPr>
          <w:p w:rsidR="00FA5E5D" w:rsidRDefault="00FA5E5D" w:rsidP="0000635E">
            <w:pPr>
              <w:jc w:val="center"/>
            </w:pPr>
            <w:r>
              <w:t xml:space="preserve">1. </w:t>
            </w:r>
            <w:r>
              <w:t>quarter</w:t>
            </w:r>
          </w:p>
        </w:tc>
        <w:tc>
          <w:tcPr>
            <w:tcW w:w="1134" w:type="dxa"/>
          </w:tcPr>
          <w:p w:rsidR="00FA5E5D" w:rsidRDefault="00FA5E5D" w:rsidP="0000635E">
            <w:pPr>
              <w:jc w:val="center"/>
            </w:pPr>
            <w:r>
              <w:t xml:space="preserve">2. </w:t>
            </w:r>
            <w:r>
              <w:t>quarter</w:t>
            </w:r>
          </w:p>
        </w:tc>
      </w:tr>
      <w:tr w:rsidR="00FA5E5D" w:rsidTr="00FA5E5D">
        <w:trPr>
          <w:trHeight w:val="56"/>
        </w:trPr>
        <w:tc>
          <w:tcPr>
            <w:tcW w:w="1950" w:type="dxa"/>
            <w:vMerge w:val="restart"/>
          </w:tcPr>
          <w:p w:rsidR="00FA5E5D" w:rsidRPr="00EE6451" w:rsidRDefault="00FA5E5D" w:rsidP="0000635E">
            <w:pPr>
              <w:jc w:val="left"/>
            </w:pPr>
            <w:r>
              <w:rPr>
                <w:rFonts w:cs="Arial"/>
                <w:szCs w:val="20"/>
              </w:rPr>
              <w:t>Consolidated gross government debt</w:t>
            </w:r>
          </w:p>
        </w:tc>
        <w:tc>
          <w:tcPr>
            <w:tcW w:w="1156" w:type="dxa"/>
          </w:tcPr>
          <w:p w:rsidR="00FA5E5D" w:rsidRPr="00EE6451" w:rsidRDefault="00FA5E5D" w:rsidP="0000635E">
            <w:pPr>
              <w:jc w:val="center"/>
            </w:pPr>
            <w:proofErr w:type="spellStart"/>
            <w:r>
              <w:t>CZK</w:t>
            </w:r>
            <w:proofErr w:type="spellEnd"/>
            <w:r>
              <w:t xml:space="preserve"> mill.</w:t>
            </w:r>
          </w:p>
        </w:tc>
        <w:tc>
          <w:tcPr>
            <w:tcW w:w="1112" w:type="dxa"/>
            <w:vAlign w:val="center"/>
          </w:tcPr>
          <w:p w:rsidR="00FA5E5D" w:rsidRPr="00B02827" w:rsidRDefault="00FA5E5D" w:rsidP="0000635E">
            <w:pPr>
              <w:jc w:val="center"/>
            </w:pPr>
            <w:r w:rsidRPr="00B02827">
              <w:t>1 821 787</w:t>
            </w:r>
          </w:p>
        </w:tc>
        <w:tc>
          <w:tcPr>
            <w:tcW w:w="1134" w:type="dxa"/>
            <w:vAlign w:val="center"/>
          </w:tcPr>
          <w:p w:rsidR="00FA5E5D" w:rsidRPr="00B02827" w:rsidRDefault="00FA5E5D" w:rsidP="0000635E">
            <w:pPr>
              <w:jc w:val="center"/>
            </w:pPr>
            <w:r w:rsidRPr="00B02827">
              <w:t>1 830 097</w:t>
            </w:r>
          </w:p>
        </w:tc>
        <w:tc>
          <w:tcPr>
            <w:tcW w:w="1134" w:type="dxa"/>
            <w:vAlign w:val="center"/>
          </w:tcPr>
          <w:p w:rsidR="00FA5E5D" w:rsidRPr="00A4439D" w:rsidRDefault="00FA5E5D" w:rsidP="0000635E">
            <w:pPr>
              <w:jc w:val="center"/>
            </w:pPr>
            <w:r w:rsidRPr="00A4439D">
              <w:t>1 821 3</w:t>
            </w:r>
            <w:r>
              <w:t>27</w:t>
            </w:r>
          </w:p>
        </w:tc>
        <w:tc>
          <w:tcPr>
            <w:tcW w:w="1134" w:type="dxa"/>
            <w:vAlign w:val="center"/>
          </w:tcPr>
          <w:p w:rsidR="00FA5E5D" w:rsidRPr="00A4439D" w:rsidRDefault="00FA5E5D" w:rsidP="0000635E">
            <w:pPr>
              <w:jc w:val="center"/>
            </w:pPr>
            <w:r w:rsidRPr="00A4439D">
              <w:t>1 831 179</w:t>
            </w:r>
          </w:p>
        </w:tc>
        <w:tc>
          <w:tcPr>
            <w:tcW w:w="1134" w:type="dxa"/>
          </w:tcPr>
          <w:p w:rsidR="00FA5E5D" w:rsidRDefault="00FA5E5D" w:rsidP="0000635E">
            <w:pPr>
              <w:jc w:val="center"/>
            </w:pPr>
            <w:r>
              <w:t>1 822 966</w:t>
            </w:r>
          </w:p>
        </w:tc>
      </w:tr>
      <w:tr w:rsidR="00FA5E5D" w:rsidTr="00FA5E5D">
        <w:tc>
          <w:tcPr>
            <w:tcW w:w="1950" w:type="dxa"/>
            <w:vMerge/>
          </w:tcPr>
          <w:p w:rsidR="00FA5E5D" w:rsidRPr="00EE6451" w:rsidRDefault="00FA5E5D" w:rsidP="0000635E"/>
        </w:tc>
        <w:tc>
          <w:tcPr>
            <w:tcW w:w="1156" w:type="dxa"/>
          </w:tcPr>
          <w:p w:rsidR="00FA5E5D" w:rsidRPr="00EE6451" w:rsidRDefault="00FA5E5D" w:rsidP="00FA5E5D">
            <w:pPr>
              <w:jc w:val="center"/>
            </w:pPr>
            <w:r w:rsidRPr="00EE6451">
              <w:t xml:space="preserve">% </w:t>
            </w:r>
            <w:r>
              <w:t>of GDP</w:t>
            </w:r>
          </w:p>
        </w:tc>
        <w:tc>
          <w:tcPr>
            <w:tcW w:w="1112" w:type="dxa"/>
            <w:vAlign w:val="center"/>
          </w:tcPr>
          <w:p w:rsidR="00FA5E5D" w:rsidRPr="00B02827" w:rsidRDefault="00FA5E5D" w:rsidP="0000635E">
            <w:pPr>
              <w:jc w:val="center"/>
            </w:pPr>
            <w:r w:rsidRPr="00B02827">
              <w:t>43,69</w:t>
            </w:r>
          </w:p>
        </w:tc>
        <w:tc>
          <w:tcPr>
            <w:tcW w:w="1134" w:type="dxa"/>
            <w:vAlign w:val="center"/>
          </w:tcPr>
          <w:p w:rsidR="00FA5E5D" w:rsidRPr="00B02827" w:rsidRDefault="00FA5E5D" w:rsidP="0000635E">
            <w:pPr>
              <w:jc w:val="center"/>
            </w:pPr>
            <w:r w:rsidRPr="00B02827">
              <w:t>43,29</w:t>
            </w:r>
          </w:p>
        </w:tc>
        <w:tc>
          <w:tcPr>
            <w:tcW w:w="1134" w:type="dxa"/>
            <w:vAlign w:val="center"/>
          </w:tcPr>
          <w:p w:rsidR="00FA5E5D" w:rsidRPr="00A4439D" w:rsidRDefault="00FA5E5D" w:rsidP="0000635E">
            <w:pPr>
              <w:jc w:val="center"/>
            </w:pPr>
            <w:r w:rsidRPr="00A4439D">
              <w:t>42,75</w:t>
            </w:r>
          </w:p>
        </w:tc>
        <w:tc>
          <w:tcPr>
            <w:tcW w:w="1134" w:type="dxa"/>
            <w:vAlign w:val="center"/>
          </w:tcPr>
          <w:p w:rsidR="00FA5E5D" w:rsidRPr="00A4439D" w:rsidRDefault="00FA5E5D" w:rsidP="0000635E">
            <w:pPr>
              <w:jc w:val="center"/>
            </w:pPr>
            <w:r w:rsidRPr="00A4439D">
              <w:t>42,44</w:t>
            </w:r>
          </w:p>
        </w:tc>
        <w:tc>
          <w:tcPr>
            <w:tcW w:w="1134" w:type="dxa"/>
          </w:tcPr>
          <w:p w:rsidR="00FA5E5D" w:rsidRDefault="00FA5E5D" w:rsidP="0000635E">
            <w:pPr>
              <w:jc w:val="center"/>
            </w:pPr>
            <w:r>
              <w:t>41,69</w:t>
            </w:r>
          </w:p>
        </w:tc>
      </w:tr>
    </w:tbl>
    <w:p w:rsidR="00FA5E5D" w:rsidRDefault="00FA5E5D" w:rsidP="00070C41"/>
    <w:p w:rsidR="00ED31AC" w:rsidRDefault="00ED31AC" w:rsidP="00070C41">
      <w:r>
        <w:t xml:space="preserve">Shares of relevant instruments on the total debt remain stable over time with dominant position of debt securities (90 percent). </w:t>
      </w:r>
    </w:p>
    <w:p w:rsidR="00ED31AC" w:rsidRDefault="00ED31AC" w:rsidP="00070C41"/>
    <w:p w:rsidR="00FA5E5D" w:rsidRDefault="00FA5E5D" w:rsidP="00070C41">
      <w:r>
        <w:rPr>
          <w:rFonts w:cs="Arial"/>
          <w:szCs w:val="20"/>
        </w:rPr>
        <w:t xml:space="preserve">The revision has been caused mainly by reclassification of selected units into general government sector; the classification of semi-budgetary organisations has been unified so that all units of this legal form are currently classified as government institutions. The same holds true for public hospitals with legal forms other than semi-budgetary organisations which are </w:t>
      </w:r>
      <w:r>
        <w:rPr>
          <w:rFonts w:cs="Arial"/>
          <w:szCs w:val="20"/>
        </w:rPr>
        <w:lastRenderedPageBreak/>
        <w:t>newly treated as government institutions.</w:t>
      </w:r>
      <w:r>
        <w:rPr>
          <w:rFonts w:cs="Arial"/>
          <w:szCs w:val="20"/>
        </w:rPr>
        <w:t xml:space="preserve"> </w:t>
      </w:r>
      <w:r>
        <w:rPr>
          <w:rFonts w:cs="Arial"/>
          <w:szCs w:val="20"/>
        </w:rPr>
        <w:t>At the same time, the CZSO has implemented new approach to statistical recording of the liquidity system operated under the State treasury. This measure has impacted the financial relations within general government sector with negligible impact on the amount of consolidated government debt due to limited involvement of units classified outside general government sector.</w:t>
      </w:r>
      <w:bookmarkStart w:id="0" w:name="_GoBack"/>
      <w:bookmarkEnd w:id="0"/>
    </w:p>
    <w:p w:rsidR="00070C41" w:rsidRDefault="00070C41" w:rsidP="00070C41"/>
    <w:p w:rsidR="00070C41" w:rsidRDefault="00FA5E5D" w:rsidP="00070C41">
      <w:r>
        <w:rPr>
          <w:noProof/>
          <w:lang w:eastAsia="cs-CZ"/>
        </w:rPr>
        <w:pict>
          <v:shapetype id="_x0000_t32" coordsize="21600,21600" o:spt="32" o:oned="t" path="m,l21600,21600e" filled="f">
            <v:path arrowok="t" fillok="f" o:connecttype="none"/>
            <o:lock v:ext="edit" shapetype="t"/>
          </v:shapetype>
          <v:shape id="_x0000_s1026" type="#_x0000_t32" style="position:absolute;left:0;text-align:left;margin-left:65.3pt;margin-top:3.1pt;width:302.5pt;height:0;z-index:251659264" o:connectortype="straight"/>
        </w:pict>
      </w:r>
    </w:p>
    <w:p w:rsidR="00070C41" w:rsidRDefault="00070C41" w:rsidP="00070C41"/>
    <w:p w:rsidR="00ED31AC" w:rsidRDefault="00ED31AC" w:rsidP="00070C41"/>
    <w:p w:rsidR="00B82653" w:rsidRPr="00B82653" w:rsidRDefault="009A2048" w:rsidP="00B82653">
      <w:pPr>
        <w:pStyle w:val="Zkladntext"/>
        <w:spacing w:line="276" w:lineRule="auto"/>
        <w:rPr>
          <w:rFonts w:ascii="Arial" w:hAnsi="Arial" w:cs="Arial"/>
          <w:sz w:val="20"/>
          <w:szCs w:val="20"/>
        </w:rPr>
      </w:pPr>
      <w:r w:rsidRPr="00B82653">
        <w:rPr>
          <w:rFonts w:ascii="Arial" w:hAnsi="Arial" w:cs="Arial"/>
          <w:sz w:val="20"/>
          <w:szCs w:val="20"/>
        </w:rPr>
        <w:t xml:space="preserve">Indicators of government deficit and debt mentioned above are based on the accrual basis as requested by the methodology ESA2010 and the Manual on government deficit and debt. </w:t>
      </w:r>
      <w:r w:rsidR="00B82653">
        <w:rPr>
          <w:rFonts w:ascii="Arial" w:hAnsi="Arial" w:cs="Arial"/>
          <w:sz w:val="20"/>
          <w:szCs w:val="20"/>
        </w:rPr>
        <w:t xml:space="preserve">Accrual accounting records flows at the time economic value is created, transformed, exchanged, transferred or extinguished. </w:t>
      </w:r>
      <w:r w:rsidR="00B82653" w:rsidRPr="00B82653">
        <w:rPr>
          <w:rFonts w:ascii="Arial" w:hAnsi="Arial" w:cs="Arial"/>
          <w:sz w:val="20"/>
          <w:szCs w:val="20"/>
        </w:rPr>
        <w:t xml:space="preserve">Government surplus/deficit is represented by </w:t>
      </w:r>
      <w:r w:rsidR="00B82653">
        <w:rPr>
          <w:rFonts w:ascii="Arial" w:hAnsi="Arial" w:cs="Arial"/>
          <w:sz w:val="20"/>
          <w:szCs w:val="20"/>
        </w:rPr>
        <w:t xml:space="preserve">the </w:t>
      </w:r>
      <w:r w:rsidR="00B82653" w:rsidRPr="00B82653">
        <w:rPr>
          <w:rFonts w:ascii="Arial" w:hAnsi="Arial" w:cs="Arial"/>
          <w:sz w:val="20"/>
          <w:szCs w:val="20"/>
        </w:rPr>
        <w:t xml:space="preserve">item B.9 “net borrowing (-) or net lending (+)” in national accounts. It refers to the ability of general government sector to finance other sectors (+) or the need of general government sector to be financed (-) by other economic sectors. </w:t>
      </w:r>
      <w:r w:rsidRPr="00B82653">
        <w:rPr>
          <w:rFonts w:ascii="Arial" w:hAnsi="Arial" w:cs="Arial"/>
          <w:sz w:val="20"/>
          <w:szCs w:val="20"/>
        </w:rPr>
        <w:t xml:space="preserve">From the methodological point of view, the published indicators are fully consistent with the annual indicators used for the EDP purposes. </w:t>
      </w:r>
    </w:p>
    <w:p w:rsidR="009A2048" w:rsidRPr="00B82653" w:rsidRDefault="009A2048" w:rsidP="00B82653">
      <w:pPr>
        <w:pStyle w:val="Zkladntext"/>
        <w:spacing w:line="276" w:lineRule="auto"/>
        <w:rPr>
          <w:rFonts w:ascii="Arial" w:hAnsi="Arial" w:cs="Arial"/>
          <w:sz w:val="20"/>
          <w:szCs w:val="20"/>
        </w:rPr>
      </w:pPr>
      <w:r w:rsidRPr="00B82653">
        <w:rPr>
          <w:rFonts w:ascii="Arial" w:hAnsi="Arial" w:cs="Arial"/>
          <w:sz w:val="20"/>
          <w:szCs w:val="20"/>
        </w:rPr>
        <w:t xml:space="preserve">Deficit is compared with nominal GDP in given quarter. The amount of consolidated debt defined as sum of the items Currency and deposits, Debt securities and Loans, is compared with the sum of nominal GDP for the last four quarter. Fiscal indicators of quarterly government deficit and debt are regularly published within the Transmission programme (table 25, table 28) on the web </w:t>
      </w:r>
      <w:hyperlink r:id="rId8" w:history="1">
        <w:r w:rsidRPr="00B82653">
          <w:rPr>
            <w:rStyle w:val="Hypertextovodkaz"/>
            <w:rFonts w:ascii="Arial" w:hAnsi="Arial" w:cs="Arial"/>
            <w:sz w:val="20"/>
            <w:szCs w:val="20"/>
          </w:rPr>
          <w:t>www.czso.cz</w:t>
        </w:r>
      </w:hyperlink>
      <w:r w:rsidRPr="00B82653">
        <w:rPr>
          <w:rFonts w:ascii="Arial" w:hAnsi="Arial" w:cs="Arial"/>
          <w:sz w:val="20"/>
          <w:szCs w:val="20"/>
        </w:rPr>
        <w:t xml:space="preserve"> in the section “GDP, Nati</w:t>
      </w:r>
      <w:r w:rsidR="00B82653">
        <w:rPr>
          <w:rFonts w:ascii="Arial" w:hAnsi="Arial" w:cs="Arial"/>
          <w:sz w:val="20"/>
          <w:szCs w:val="20"/>
        </w:rPr>
        <w:t>onal Accounts” (</w:t>
      </w:r>
      <w:hyperlink r:id="rId9" w:history="1">
        <w:r w:rsidR="00B82653" w:rsidRPr="006A19F4">
          <w:rPr>
            <w:rStyle w:val="Hypertextovodkaz"/>
            <w:rFonts w:ascii="Arial" w:hAnsi="Arial" w:cs="Arial"/>
            <w:sz w:val="20"/>
            <w:szCs w:val="20"/>
          </w:rPr>
          <w:t>http://apl.czso.cz/pll/rocenka/rocenka.indexnu_gov?mylang=EN</w:t>
        </w:r>
      </w:hyperlink>
      <w:r w:rsidR="00B82653">
        <w:rPr>
          <w:rFonts w:ascii="Arial" w:hAnsi="Arial" w:cs="Arial"/>
          <w:sz w:val="20"/>
          <w:szCs w:val="20"/>
        </w:rPr>
        <w:t>)</w:t>
      </w:r>
    </w:p>
    <w:p w:rsidR="00070C41" w:rsidRDefault="00070C41" w:rsidP="009A2048"/>
    <w:p w:rsidR="00573EEE" w:rsidRDefault="00573EEE" w:rsidP="00573EEE"/>
    <w:p w:rsidR="00070C41" w:rsidRDefault="00070C41" w:rsidP="00070C41">
      <w:pPr>
        <w:pStyle w:val="Poznmky0"/>
      </w:pPr>
      <w:r>
        <w:t>Notices:</w:t>
      </w:r>
    </w:p>
    <w:p w:rsidR="00070C41" w:rsidRDefault="00070C41" w:rsidP="00070C41">
      <w:pPr>
        <w:rPr>
          <w:i/>
          <w:iCs/>
        </w:rPr>
      </w:pPr>
      <w:r>
        <w:rPr>
          <w:i/>
          <w:iCs/>
        </w:rPr>
        <w:t>Responsible manager</w:t>
      </w:r>
      <w:r w:rsidRPr="00F665DC">
        <w:rPr>
          <w:i/>
          <w:iCs/>
        </w:rPr>
        <w:t xml:space="preserve">: </w:t>
      </w:r>
      <w:r>
        <w:rPr>
          <w:i/>
          <w:iCs/>
        </w:rPr>
        <w:t xml:space="preserve">Vaclav </w:t>
      </w:r>
      <w:proofErr w:type="spellStart"/>
      <w:r>
        <w:rPr>
          <w:i/>
          <w:iCs/>
        </w:rPr>
        <w:t>Rybacek</w:t>
      </w:r>
      <w:proofErr w:type="spellEnd"/>
      <w:r>
        <w:rPr>
          <w:i/>
          <w:iCs/>
        </w:rPr>
        <w:t>, Ph.D.</w:t>
      </w:r>
      <w:r w:rsidRPr="00F665DC">
        <w:rPr>
          <w:i/>
          <w:iCs/>
        </w:rPr>
        <w:t>, tel.: 274052</w:t>
      </w:r>
      <w:r>
        <w:rPr>
          <w:i/>
          <w:iCs/>
        </w:rPr>
        <w:t>5</w:t>
      </w:r>
      <w:r w:rsidRPr="00F665DC">
        <w:rPr>
          <w:i/>
          <w:iCs/>
        </w:rPr>
        <w:t>9</w:t>
      </w:r>
      <w:r>
        <w:rPr>
          <w:i/>
          <w:iCs/>
        </w:rPr>
        <w:t>6</w:t>
      </w:r>
      <w:r w:rsidRPr="00F665DC">
        <w:rPr>
          <w:i/>
          <w:iCs/>
        </w:rPr>
        <w:t xml:space="preserve">, e-mail: </w:t>
      </w:r>
      <w:hyperlink r:id="rId10" w:history="1">
        <w:r w:rsidRPr="000249DE">
          <w:rPr>
            <w:rStyle w:val="Hypertextovodkaz"/>
            <w:i/>
            <w:iCs/>
          </w:rPr>
          <w:t>vaclav.rybacek@czso.cz</w:t>
        </w:r>
      </w:hyperlink>
      <w:r w:rsidRPr="00F665DC">
        <w:br/>
      </w:r>
      <w:r>
        <w:rPr>
          <w:i/>
          <w:iCs/>
        </w:rPr>
        <w:t>Contact person</w:t>
      </w:r>
      <w:r w:rsidRPr="00F665DC">
        <w:rPr>
          <w:i/>
          <w:iCs/>
        </w:rPr>
        <w:t xml:space="preserve">: </w:t>
      </w:r>
      <w:r>
        <w:rPr>
          <w:i/>
          <w:iCs/>
        </w:rPr>
        <w:t xml:space="preserve">Marie </w:t>
      </w:r>
      <w:proofErr w:type="spellStart"/>
      <w:r>
        <w:rPr>
          <w:i/>
          <w:iCs/>
        </w:rPr>
        <w:t>Trejbalova</w:t>
      </w:r>
      <w:proofErr w:type="spellEnd"/>
      <w:r w:rsidR="005B2F08">
        <w:rPr>
          <w:i/>
          <w:iCs/>
        </w:rPr>
        <w:t>, tel.: 274052706</w:t>
      </w:r>
      <w:r w:rsidRPr="00F665DC">
        <w:rPr>
          <w:i/>
          <w:iCs/>
        </w:rPr>
        <w:t xml:space="preserve">, e-mail: </w:t>
      </w:r>
      <w:hyperlink r:id="rId11" w:history="1">
        <w:r w:rsidRPr="000249DE">
          <w:rPr>
            <w:rStyle w:val="Hypertextovodkaz"/>
            <w:i/>
            <w:iCs/>
          </w:rPr>
          <w:t>marie.trejbalova@czso.cz</w:t>
        </w:r>
      </w:hyperlink>
      <w:r w:rsidRPr="00F665DC">
        <w:br/>
      </w:r>
      <w:r>
        <w:rPr>
          <w:i/>
          <w:iCs/>
        </w:rPr>
        <w:t xml:space="preserve">Coming News </w:t>
      </w:r>
      <w:proofErr w:type="gramStart"/>
      <w:r>
        <w:rPr>
          <w:i/>
          <w:iCs/>
        </w:rPr>
        <w:t xml:space="preserve">Release </w:t>
      </w:r>
      <w:r w:rsidRPr="00F665DC">
        <w:rPr>
          <w:i/>
          <w:iCs/>
        </w:rPr>
        <w:t>:</w:t>
      </w:r>
      <w:proofErr w:type="gramEnd"/>
      <w:r w:rsidRPr="00F665DC">
        <w:rPr>
          <w:i/>
          <w:iCs/>
        </w:rPr>
        <w:t xml:space="preserve"> 1. </w:t>
      </w:r>
      <w:r>
        <w:rPr>
          <w:i/>
          <w:iCs/>
        </w:rPr>
        <w:t>10. 2015</w:t>
      </w:r>
    </w:p>
    <w:p w:rsidR="00070C41" w:rsidRDefault="00070C41" w:rsidP="00070C41">
      <w:pPr>
        <w:rPr>
          <w:i/>
          <w:iCs/>
        </w:rPr>
      </w:pPr>
    </w:p>
    <w:p w:rsidR="00070C41" w:rsidRPr="004920AD" w:rsidRDefault="00070C41" w:rsidP="00070C41">
      <w:r>
        <w:t xml:space="preserve">This press release </w:t>
      </w:r>
      <w:r w:rsidR="00D71581">
        <w:t>has</w:t>
      </w:r>
      <w:r>
        <w:t xml:space="preserve"> not </w:t>
      </w:r>
      <w:r w:rsidR="00D71581">
        <w:t xml:space="preserve">been </w:t>
      </w:r>
      <w:r>
        <w:t>edited for language.</w:t>
      </w:r>
    </w:p>
    <w:p w:rsidR="00D209A7" w:rsidRPr="004920AD" w:rsidRDefault="00D209A7" w:rsidP="00070C41">
      <w:pPr>
        <w:pStyle w:val="Poznmky0"/>
      </w:pPr>
    </w:p>
    <w:sectPr w:rsidR="00D209A7" w:rsidRPr="004920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F" w:rsidRDefault="00CD725F" w:rsidP="00BA6370">
      <w:r>
        <w:separator/>
      </w:r>
    </w:p>
  </w:endnote>
  <w:endnote w:type="continuationSeparator" w:id="0">
    <w:p w:rsidR="00CD725F" w:rsidRDefault="00CD725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FA5E5D">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A5E5D">
                  <w:rPr>
                    <w:rFonts w:cs="Arial"/>
                    <w:noProof/>
                    <w:szCs w:val="15"/>
                  </w:rPr>
                  <w:t>1</w:t>
                </w:r>
                <w:r w:rsidR="0012384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F" w:rsidRDefault="00CD725F" w:rsidP="00BA6370">
      <w:r>
        <w:separator/>
      </w:r>
    </w:p>
  </w:footnote>
  <w:footnote w:type="continuationSeparator" w:id="0">
    <w:p w:rsidR="00CD725F" w:rsidRDefault="00CD725F"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FA5E5D">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F"/>
    <w:rsid w:val="00021A4A"/>
    <w:rsid w:val="00043BF4"/>
    <w:rsid w:val="000676A2"/>
    <w:rsid w:val="00070C41"/>
    <w:rsid w:val="000843A5"/>
    <w:rsid w:val="00091722"/>
    <w:rsid w:val="000B6F63"/>
    <w:rsid w:val="000C7DD1"/>
    <w:rsid w:val="00116ED1"/>
    <w:rsid w:val="00123849"/>
    <w:rsid w:val="0013242C"/>
    <w:rsid w:val="001404AB"/>
    <w:rsid w:val="0017231D"/>
    <w:rsid w:val="00176E26"/>
    <w:rsid w:val="0018061F"/>
    <w:rsid w:val="001810DC"/>
    <w:rsid w:val="001B607F"/>
    <w:rsid w:val="001C71FD"/>
    <w:rsid w:val="001D369A"/>
    <w:rsid w:val="001F08B3"/>
    <w:rsid w:val="002070FB"/>
    <w:rsid w:val="00213729"/>
    <w:rsid w:val="002406FA"/>
    <w:rsid w:val="00297900"/>
    <w:rsid w:val="002B2E47"/>
    <w:rsid w:val="002D37F5"/>
    <w:rsid w:val="0032398D"/>
    <w:rsid w:val="003301A3"/>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920AD"/>
    <w:rsid w:val="004D05B3"/>
    <w:rsid w:val="004E479E"/>
    <w:rsid w:val="004F78E6"/>
    <w:rsid w:val="00512D99"/>
    <w:rsid w:val="00531DBB"/>
    <w:rsid w:val="00564213"/>
    <w:rsid w:val="00573EEE"/>
    <w:rsid w:val="005B2F08"/>
    <w:rsid w:val="005F79FB"/>
    <w:rsid w:val="00604406"/>
    <w:rsid w:val="00605F4A"/>
    <w:rsid w:val="00607822"/>
    <w:rsid w:val="006103AA"/>
    <w:rsid w:val="00613BBF"/>
    <w:rsid w:val="00622B80"/>
    <w:rsid w:val="0064139A"/>
    <w:rsid w:val="006B6EE5"/>
    <w:rsid w:val="006D5C60"/>
    <w:rsid w:val="006E024F"/>
    <w:rsid w:val="006E4E81"/>
    <w:rsid w:val="00707F7D"/>
    <w:rsid w:val="00717EC5"/>
    <w:rsid w:val="00755D8B"/>
    <w:rsid w:val="00760610"/>
    <w:rsid w:val="00763787"/>
    <w:rsid w:val="007A0CA5"/>
    <w:rsid w:val="007A57F2"/>
    <w:rsid w:val="007B1333"/>
    <w:rsid w:val="007F4AEB"/>
    <w:rsid w:val="007F75B2"/>
    <w:rsid w:val="008043C4"/>
    <w:rsid w:val="00831B1B"/>
    <w:rsid w:val="00855FB3"/>
    <w:rsid w:val="00861D0E"/>
    <w:rsid w:val="00867569"/>
    <w:rsid w:val="00885C0D"/>
    <w:rsid w:val="00886C45"/>
    <w:rsid w:val="008A750A"/>
    <w:rsid w:val="008B3970"/>
    <w:rsid w:val="008C384C"/>
    <w:rsid w:val="008D0F11"/>
    <w:rsid w:val="008F73B4"/>
    <w:rsid w:val="009035E8"/>
    <w:rsid w:val="00910828"/>
    <w:rsid w:val="00971374"/>
    <w:rsid w:val="009A2048"/>
    <w:rsid w:val="009B55B1"/>
    <w:rsid w:val="009E39C5"/>
    <w:rsid w:val="00A07BA7"/>
    <w:rsid w:val="00A4343D"/>
    <w:rsid w:val="00A502F1"/>
    <w:rsid w:val="00A51E12"/>
    <w:rsid w:val="00A70A83"/>
    <w:rsid w:val="00A81EB3"/>
    <w:rsid w:val="00AB6196"/>
    <w:rsid w:val="00AC3140"/>
    <w:rsid w:val="00B00C1D"/>
    <w:rsid w:val="00B5538B"/>
    <w:rsid w:val="00B632CC"/>
    <w:rsid w:val="00B82653"/>
    <w:rsid w:val="00BA12F1"/>
    <w:rsid w:val="00BA439F"/>
    <w:rsid w:val="00BA6370"/>
    <w:rsid w:val="00C269D4"/>
    <w:rsid w:val="00C4160D"/>
    <w:rsid w:val="00C61E61"/>
    <w:rsid w:val="00C657E4"/>
    <w:rsid w:val="00C8406E"/>
    <w:rsid w:val="00CB2709"/>
    <w:rsid w:val="00CB6F89"/>
    <w:rsid w:val="00CD725F"/>
    <w:rsid w:val="00CE228C"/>
    <w:rsid w:val="00CE71D9"/>
    <w:rsid w:val="00CF545B"/>
    <w:rsid w:val="00D209A7"/>
    <w:rsid w:val="00D27D69"/>
    <w:rsid w:val="00D448C2"/>
    <w:rsid w:val="00D666C3"/>
    <w:rsid w:val="00D71581"/>
    <w:rsid w:val="00D811AB"/>
    <w:rsid w:val="00DF47FE"/>
    <w:rsid w:val="00E0156A"/>
    <w:rsid w:val="00E26704"/>
    <w:rsid w:val="00E31980"/>
    <w:rsid w:val="00E6423C"/>
    <w:rsid w:val="00E71483"/>
    <w:rsid w:val="00E93830"/>
    <w:rsid w:val="00E93E0E"/>
    <w:rsid w:val="00EB1A25"/>
    <w:rsid w:val="00EB1ED3"/>
    <w:rsid w:val="00ED31AC"/>
    <w:rsid w:val="00EE0960"/>
    <w:rsid w:val="00EE70B7"/>
    <w:rsid w:val="00F314B7"/>
    <w:rsid w:val="00F83C49"/>
    <w:rsid w:val="00FA5E5D"/>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B82653"/>
    <w:rPr>
      <w:rFonts w:ascii="Times New Roman" w:eastAsia="Times New Roman" w:hAnsi="Times New Roman"/>
      <w:sz w:val="24"/>
      <w:szCs w:val="24"/>
      <w:lang w:val="en-GB"/>
    </w:rPr>
  </w:style>
  <w:style w:type="character" w:styleId="Sledovanodkaz">
    <w:name w:val="FollowedHyperlink"/>
    <w:basedOn w:val="Standardnpsmoodstavce"/>
    <w:uiPriority w:val="99"/>
    <w:semiHidden/>
    <w:unhideWhenUsed/>
    <w:rsid w:val="00886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trejbalova@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lav.rybacek@czso.cz" TargetMode="External"/><Relationship Id="rId4" Type="http://schemas.openxmlformats.org/officeDocument/2006/relationships/settings" Target="settings.xml"/><Relationship Id="rId9" Type="http://schemas.openxmlformats.org/officeDocument/2006/relationships/hyperlink" Target="http://apl.czso.cz/pll/rocenka/rocenka.indexnu_gov?my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F199-D563-4C8D-84B6-B588480F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657</Words>
  <Characters>3883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4531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Václav Rybáček</cp:lastModifiedBy>
  <cp:revision>14</cp:revision>
  <dcterms:created xsi:type="dcterms:W3CDTF">2015-06-29T08:20:00Z</dcterms:created>
  <dcterms:modified xsi:type="dcterms:W3CDTF">2015-09-30T07:59:00Z</dcterms:modified>
</cp:coreProperties>
</file>