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830829" w:rsidP="00867569">
      <w:pPr>
        <w:pStyle w:val="Datum"/>
      </w:pPr>
      <w:r>
        <w:t>01.04.2015</w:t>
      </w:r>
    </w:p>
    <w:p w:rsidR="00830829" w:rsidRDefault="00830829" w:rsidP="008B3970">
      <w:pPr>
        <w:pStyle w:val="Podtitulek"/>
      </w:pPr>
    </w:p>
    <w:p w:rsidR="008B3970" w:rsidRPr="008B3970" w:rsidRDefault="00F566FC" w:rsidP="008A10CA">
      <w:pPr>
        <w:pStyle w:val="Nzev"/>
      </w:pPr>
      <w:r>
        <w:t>N</w:t>
      </w:r>
      <w:r w:rsidR="00830829">
        <w:t>otification of government deficit and debt - 2014</w:t>
      </w:r>
    </w:p>
    <w:p w:rsidR="008A10CA" w:rsidRDefault="008A10CA" w:rsidP="002F294F">
      <w:pPr>
        <w:pStyle w:val="Perex"/>
      </w:pPr>
    </w:p>
    <w:p w:rsidR="002F294F" w:rsidRPr="008A10CA" w:rsidRDefault="009266AF" w:rsidP="002F294F">
      <w:pPr>
        <w:pStyle w:val="Perex"/>
      </w:pPr>
      <w:r w:rsidRPr="008A10CA">
        <w:t xml:space="preserve">In the calendar year 2014, Czech government deficit </w:t>
      </w:r>
      <w:r w:rsidR="002F294F" w:rsidRPr="008A10CA">
        <w:t xml:space="preserve">has increased compared </w:t>
      </w:r>
      <w:r w:rsidRPr="008A10CA">
        <w:t xml:space="preserve">with </w:t>
      </w:r>
      <w:r w:rsidR="002F294F" w:rsidRPr="008A10CA">
        <w:t>the previous year; however the level of government indebtedness has declined</w:t>
      </w:r>
    </w:p>
    <w:p w:rsidR="002F294F" w:rsidRPr="008A10CA" w:rsidRDefault="002C37B6" w:rsidP="002F294F">
      <w:r w:rsidRPr="008A10CA">
        <w:t xml:space="preserve">In 2014, the Czech government deficit was </w:t>
      </w:r>
      <w:r w:rsidRPr="008A10CA">
        <w:rPr>
          <w:b/>
        </w:rPr>
        <w:t>85.3 billion CZK</w:t>
      </w:r>
      <w:r w:rsidRPr="008A10CA">
        <w:rPr>
          <w:rFonts w:cs="Arial"/>
        </w:rPr>
        <w:t>;</w:t>
      </w:r>
      <w:r w:rsidRPr="008A10CA">
        <w:t xml:space="preserve"> </w:t>
      </w:r>
      <w:r w:rsidR="004A7837" w:rsidRPr="008A10CA">
        <w:t xml:space="preserve">expressed as a percentage of GDP, government deficit has reached the level of </w:t>
      </w:r>
      <w:r w:rsidR="004A7837" w:rsidRPr="008A10CA">
        <w:rPr>
          <w:b/>
        </w:rPr>
        <w:t>2.0 percent of GDP</w:t>
      </w:r>
      <w:r w:rsidR="004A7837" w:rsidRPr="008A10CA">
        <w:t xml:space="preserve">, i.e. below the reference rate set by the Maastricht Treaty. At the end of 2014, Czech government gross debt has reached </w:t>
      </w:r>
      <w:r w:rsidR="004A7837" w:rsidRPr="008A10CA">
        <w:rPr>
          <w:b/>
        </w:rPr>
        <w:t>42.57 percent of GDP</w:t>
      </w:r>
      <w:r w:rsidR="004A7837" w:rsidRPr="008A10CA">
        <w:t xml:space="preserve">. Annual reduction in the level of indebtedness has been driven mainly by </w:t>
      </w:r>
      <w:r w:rsidR="001D766D" w:rsidRPr="008A10CA">
        <w:t xml:space="preserve">accelerating growth in the nominal GDP and </w:t>
      </w:r>
      <w:r w:rsidR="001D766D" w:rsidRPr="008A10CA">
        <w:rPr>
          <w:rFonts w:cs="Arial"/>
          <w:szCs w:val="20"/>
        </w:rPr>
        <w:t>coverage of the deficit by a decrease in the assets</w:t>
      </w:r>
      <w:r w:rsidR="004A7837" w:rsidRPr="008A10CA">
        <w:t>.</w:t>
      </w:r>
      <w:r w:rsidR="00F566FC">
        <w:t xml:space="preserve"> The </w:t>
      </w:r>
      <w:r w:rsidR="0051558E">
        <w:t>figures have</w:t>
      </w:r>
      <w:r w:rsidR="00F566FC">
        <w:t xml:space="preserve"> been sent to Eurostat </w:t>
      </w:r>
      <w:r w:rsidR="0051558E">
        <w:t>in the framework of</w:t>
      </w:r>
      <w:bookmarkStart w:id="0" w:name="_GoBack"/>
      <w:bookmarkEnd w:id="0"/>
      <w:r w:rsidR="00F566FC">
        <w:t xml:space="preserve"> the first notification of government deficit and debt in 2015.</w:t>
      </w:r>
    </w:p>
    <w:p w:rsidR="00F566FC" w:rsidRDefault="00F566FC" w:rsidP="00B07B5B">
      <w:pPr>
        <w:pStyle w:val="Zkladntext"/>
        <w:tabs>
          <w:tab w:val="left" w:pos="1335"/>
        </w:tabs>
        <w:spacing w:line="276" w:lineRule="auto"/>
        <w:rPr>
          <w:rFonts w:ascii="Arial" w:hAnsi="Arial" w:cs="Arial"/>
          <w:sz w:val="20"/>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2011-2014</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969"/>
        <w:gridCol w:w="1042"/>
        <w:gridCol w:w="1042"/>
        <w:gridCol w:w="1042"/>
        <w:gridCol w:w="1088"/>
      </w:tblGrid>
      <w:tr w:rsidR="00B07B5B" w:rsidRPr="00B07B5B" w:rsidTr="008A44AB">
        <w:trPr>
          <w:cantSplit/>
        </w:trPr>
        <w:tc>
          <w:tcPr>
            <w:tcW w:w="3461" w:type="dxa"/>
            <w:vMerge w:val="restart"/>
            <w:vAlign w:val="center"/>
          </w:tcPr>
          <w:p w:rsidR="00B07B5B" w:rsidRPr="00B07B5B" w:rsidRDefault="00B07B5B" w:rsidP="00B07B5B">
            <w:pPr>
              <w:rPr>
                <w:rFonts w:cs="Arial"/>
                <w:szCs w:val="20"/>
              </w:rPr>
            </w:pPr>
          </w:p>
        </w:tc>
        <w:tc>
          <w:tcPr>
            <w:tcW w:w="969" w:type="dxa"/>
            <w:vMerge w:val="restart"/>
            <w:vAlign w:val="center"/>
          </w:tcPr>
          <w:p w:rsidR="00B07B5B" w:rsidRPr="00B07B5B" w:rsidRDefault="00B07B5B" w:rsidP="00B07B5B">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B07B5B">
            <w:pPr>
              <w:jc w:val="center"/>
              <w:rPr>
                <w:rFonts w:cs="Arial"/>
                <w:szCs w:val="20"/>
              </w:rPr>
            </w:pPr>
            <w:r w:rsidRPr="00B07B5B">
              <w:rPr>
                <w:rFonts w:cs="Arial"/>
                <w:szCs w:val="20"/>
              </w:rPr>
              <w:t>Year</w:t>
            </w:r>
          </w:p>
        </w:tc>
      </w:tr>
      <w:tr w:rsidR="008A44AB" w:rsidRPr="00B07B5B" w:rsidTr="008A44AB">
        <w:trPr>
          <w:cantSplit/>
        </w:trPr>
        <w:tc>
          <w:tcPr>
            <w:tcW w:w="3461" w:type="dxa"/>
            <w:vMerge/>
            <w:vAlign w:val="center"/>
          </w:tcPr>
          <w:p w:rsidR="008A44AB" w:rsidRPr="00B07B5B" w:rsidRDefault="008A44AB" w:rsidP="00B07B5B">
            <w:pPr>
              <w:rPr>
                <w:rFonts w:cs="Arial"/>
                <w:szCs w:val="20"/>
              </w:rPr>
            </w:pPr>
          </w:p>
        </w:tc>
        <w:tc>
          <w:tcPr>
            <w:tcW w:w="969" w:type="dxa"/>
            <w:vMerge/>
            <w:vAlign w:val="center"/>
          </w:tcPr>
          <w:p w:rsidR="008A44AB" w:rsidRPr="00B07B5B" w:rsidRDefault="008A44AB" w:rsidP="00B07B5B">
            <w:pPr>
              <w:jc w:val="center"/>
              <w:rPr>
                <w:rFonts w:cs="Arial"/>
                <w:szCs w:val="20"/>
              </w:rPr>
            </w:pPr>
          </w:p>
        </w:tc>
        <w:tc>
          <w:tcPr>
            <w:tcW w:w="1042" w:type="dxa"/>
            <w:vAlign w:val="center"/>
          </w:tcPr>
          <w:p w:rsidR="008A44AB" w:rsidRPr="00E155B6" w:rsidRDefault="008A44AB" w:rsidP="00301F4B">
            <w:pPr>
              <w:jc w:val="center"/>
              <w:rPr>
                <w:rFonts w:cs="Arial"/>
                <w:szCs w:val="20"/>
              </w:rPr>
            </w:pPr>
            <w:r w:rsidRPr="00E155B6">
              <w:rPr>
                <w:rFonts w:cs="Arial"/>
                <w:szCs w:val="20"/>
              </w:rPr>
              <w:t>201</w:t>
            </w:r>
            <w:r>
              <w:rPr>
                <w:rFonts w:cs="Arial"/>
                <w:szCs w:val="20"/>
              </w:rPr>
              <w:t>1</w:t>
            </w:r>
          </w:p>
        </w:tc>
        <w:tc>
          <w:tcPr>
            <w:tcW w:w="1042" w:type="dxa"/>
            <w:vAlign w:val="center"/>
          </w:tcPr>
          <w:p w:rsidR="008A44AB" w:rsidRPr="00E155B6" w:rsidRDefault="008A44AB" w:rsidP="00301F4B">
            <w:pPr>
              <w:jc w:val="center"/>
              <w:rPr>
                <w:rFonts w:cs="Arial"/>
                <w:szCs w:val="20"/>
              </w:rPr>
            </w:pPr>
            <w:r>
              <w:rPr>
                <w:rFonts w:cs="Arial"/>
                <w:szCs w:val="20"/>
              </w:rPr>
              <w:t>2012</w:t>
            </w:r>
          </w:p>
        </w:tc>
        <w:tc>
          <w:tcPr>
            <w:tcW w:w="1042" w:type="dxa"/>
            <w:vAlign w:val="center"/>
          </w:tcPr>
          <w:p w:rsidR="008A44AB" w:rsidRPr="00E155B6" w:rsidRDefault="008A44AB" w:rsidP="00301F4B">
            <w:pPr>
              <w:jc w:val="center"/>
              <w:rPr>
                <w:rFonts w:cs="Arial"/>
                <w:szCs w:val="20"/>
              </w:rPr>
            </w:pPr>
            <w:r>
              <w:rPr>
                <w:rFonts w:cs="Arial"/>
                <w:szCs w:val="20"/>
              </w:rPr>
              <w:t>2013</w:t>
            </w:r>
          </w:p>
        </w:tc>
        <w:tc>
          <w:tcPr>
            <w:tcW w:w="1088" w:type="dxa"/>
            <w:vAlign w:val="center"/>
          </w:tcPr>
          <w:p w:rsidR="008A44AB" w:rsidRPr="00E155B6" w:rsidRDefault="008A44AB" w:rsidP="00301F4B">
            <w:pPr>
              <w:jc w:val="center"/>
              <w:rPr>
                <w:rFonts w:cs="Arial"/>
                <w:szCs w:val="20"/>
              </w:rPr>
            </w:pPr>
            <w:r>
              <w:rPr>
                <w:rFonts w:cs="Arial"/>
                <w:szCs w:val="20"/>
              </w:rPr>
              <w:t>2014</w:t>
            </w:r>
          </w:p>
        </w:tc>
      </w:tr>
      <w:tr w:rsidR="008A44AB" w:rsidRPr="00B07B5B" w:rsidTr="008A44AB">
        <w:tc>
          <w:tcPr>
            <w:tcW w:w="3461" w:type="dxa"/>
            <w:vAlign w:val="center"/>
          </w:tcPr>
          <w:p w:rsidR="008A44AB" w:rsidRPr="00B07B5B" w:rsidRDefault="008A44AB" w:rsidP="00B07B5B">
            <w:pPr>
              <w:rPr>
                <w:rFonts w:cs="Arial"/>
                <w:szCs w:val="20"/>
              </w:rPr>
            </w:pPr>
            <w:r w:rsidRPr="00B07B5B">
              <w:rPr>
                <w:rFonts w:cs="Arial"/>
                <w:szCs w:val="20"/>
              </w:rPr>
              <w:t>Net borrowing (deficit) of general government (in current year)</w:t>
            </w:r>
          </w:p>
        </w:tc>
        <w:tc>
          <w:tcPr>
            <w:tcW w:w="969" w:type="dxa"/>
            <w:vAlign w:val="center"/>
          </w:tcPr>
          <w:p w:rsidR="008A44AB" w:rsidRPr="00B07B5B" w:rsidRDefault="008A44AB" w:rsidP="00B07B5B">
            <w:pPr>
              <w:jc w:val="center"/>
              <w:rPr>
                <w:rFonts w:cs="Arial"/>
                <w:szCs w:val="20"/>
              </w:rPr>
            </w:pPr>
            <w:r w:rsidRPr="00B07B5B">
              <w:rPr>
                <w:rFonts w:cs="Arial"/>
                <w:szCs w:val="20"/>
              </w:rPr>
              <w:t>CZK mil.</w:t>
            </w:r>
          </w:p>
        </w:tc>
        <w:tc>
          <w:tcPr>
            <w:tcW w:w="1042" w:type="dxa"/>
            <w:vAlign w:val="center"/>
          </w:tcPr>
          <w:p w:rsidR="008A44AB" w:rsidRPr="00E155B6" w:rsidRDefault="008A44AB" w:rsidP="00301F4B">
            <w:pPr>
              <w:jc w:val="center"/>
              <w:rPr>
                <w:rFonts w:cs="Arial"/>
                <w:szCs w:val="20"/>
              </w:rPr>
            </w:pPr>
            <w:r>
              <w:rPr>
                <w:rFonts w:cs="Arial"/>
                <w:szCs w:val="20"/>
              </w:rPr>
              <w:t>-108 860</w:t>
            </w:r>
          </w:p>
        </w:tc>
        <w:tc>
          <w:tcPr>
            <w:tcW w:w="1042" w:type="dxa"/>
            <w:vAlign w:val="center"/>
          </w:tcPr>
          <w:p w:rsidR="008A44AB" w:rsidRPr="00E155B6" w:rsidRDefault="008A44AB" w:rsidP="00301F4B">
            <w:pPr>
              <w:jc w:val="center"/>
              <w:rPr>
                <w:rFonts w:cs="Arial"/>
                <w:szCs w:val="20"/>
              </w:rPr>
            </w:pPr>
            <w:r>
              <w:rPr>
                <w:rFonts w:cs="Arial"/>
                <w:szCs w:val="20"/>
              </w:rPr>
              <w:t>-157 889</w:t>
            </w:r>
          </w:p>
        </w:tc>
        <w:tc>
          <w:tcPr>
            <w:tcW w:w="1042" w:type="dxa"/>
            <w:vAlign w:val="center"/>
          </w:tcPr>
          <w:p w:rsidR="008A44AB" w:rsidRPr="00E155B6" w:rsidRDefault="008A44AB" w:rsidP="00301F4B">
            <w:pPr>
              <w:jc w:val="center"/>
              <w:rPr>
                <w:rFonts w:cs="Arial"/>
                <w:szCs w:val="20"/>
              </w:rPr>
            </w:pPr>
            <w:r>
              <w:rPr>
                <w:rFonts w:cs="Arial"/>
                <w:szCs w:val="20"/>
              </w:rPr>
              <w:t>-47 206</w:t>
            </w:r>
          </w:p>
        </w:tc>
        <w:tc>
          <w:tcPr>
            <w:tcW w:w="1088" w:type="dxa"/>
            <w:vAlign w:val="center"/>
          </w:tcPr>
          <w:p w:rsidR="008A44AB" w:rsidRPr="00E155B6" w:rsidRDefault="008A44AB" w:rsidP="00301F4B">
            <w:pPr>
              <w:jc w:val="center"/>
              <w:rPr>
                <w:rFonts w:cs="Arial"/>
                <w:szCs w:val="20"/>
              </w:rPr>
            </w:pPr>
            <w:r>
              <w:rPr>
                <w:rFonts w:cs="Arial"/>
                <w:szCs w:val="20"/>
              </w:rPr>
              <w:t>-85 337</w:t>
            </w:r>
          </w:p>
        </w:tc>
      </w:tr>
      <w:tr w:rsidR="008A44AB" w:rsidRPr="00B07B5B" w:rsidTr="008A44AB">
        <w:tc>
          <w:tcPr>
            <w:tcW w:w="3461" w:type="dxa"/>
            <w:vAlign w:val="center"/>
          </w:tcPr>
          <w:p w:rsidR="008A44AB" w:rsidRPr="00B07B5B" w:rsidRDefault="008A44AB" w:rsidP="00B07B5B">
            <w:pPr>
              <w:rPr>
                <w:rFonts w:cs="Arial"/>
                <w:szCs w:val="20"/>
              </w:rPr>
            </w:pPr>
            <w:r w:rsidRPr="00B07B5B">
              <w:rPr>
                <w:rFonts w:cs="Arial"/>
                <w:szCs w:val="20"/>
              </w:rPr>
              <w:t>General government consolidated gross debt (at end of year)</w:t>
            </w:r>
          </w:p>
        </w:tc>
        <w:tc>
          <w:tcPr>
            <w:tcW w:w="969" w:type="dxa"/>
            <w:vAlign w:val="center"/>
          </w:tcPr>
          <w:p w:rsidR="008A44AB" w:rsidRPr="00B07B5B" w:rsidRDefault="008A44AB" w:rsidP="00B07B5B">
            <w:pPr>
              <w:jc w:val="center"/>
              <w:rPr>
                <w:rFonts w:cs="Arial"/>
                <w:szCs w:val="20"/>
              </w:rPr>
            </w:pPr>
            <w:r w:rsidRPr="00B07B5B">
              <w:rPr>
                <w:rFonts w:cs="Arial"/>
                <w:szCs w:val="20"/>
              </w:rPr>
              <w:t>CZK mil.</w:t>
            </w:r>
          </w:p>
        </w:tc>
        <w:tc>
          <w:tcPr>
            <w:tcW w:w="1042" w:type="dxa"/>
            <w:vAlign w:val="center"/>
          </w:tcPr>
          <w:p w:rsidR="008A44AB" w:rsidRPr="00E155B6" w:rsidRDefault="008A44AB" w:rsidP="00301F4B">
            <w:pPr>
              <w:jc w:val="center"/>
              <w:rPr>
                <w:rFonts w:cs="Arial"/>
                <w:szCs w:val="20"/>
              </w:rPr>
            </w:pPr>
            <w:r>
              <w:rPr>
                <w:rFonts w:cs="Arial"/>
                <w:szCs w:val="20"/>
              </w:rPr>
              <w:t>1 604 009</w:t>
            </w:r>
          </w:p>
        </w:tc>
        <w:tc>
          <w:tcPr>
            <w:tcW w:w="1042" w:type="dxa"/>
            <w:vAlign w:val="center"/>
          </w:tcPr>
          <w:p w:rsidR="008A44AB" w:rsidRPr="00E155B6" w:rsidRDefault="008A44AB" w:rsidP="00301F4B">
            <w:pPr>
              <w:jc w:val="center"/>
              <w:rPr>
                <w:rFonts w:cs="Arial"/>
                <w:szCs w:val="20"/>
              </w:rPr>
            </w:pPr>
            <w:r>
              <w:rPr>
                <w:rFonts w:cs="Arial"/>
                <w:szCs w:val="20"/>
              </w:rPr>
              <w:t>1 803 585</w:t>
            </w:r>
          </w:p>
        </w:tc>
        <w:tc>
          <w:tcPr>
            <w:tcW w:w="1042" w:type="dxa"/>
            <w:vAlign w:val="center"/>
          </w:tcPr>
          <w:p w:rsidR="008A44AB" w:rsidRPr="00E155B6" w:rsidRDefault="008A44AB" w:rsidP="00301F4B">
            <w:pPr>
              <w:jc w:val="center"/>
              <w:rPr>
                <w:rFonts w:cs="Arial"/>
                <w:szCs w:val="20"/>
              </w:rPr>
            </w:pPr>
            <w:r>
              <w:rPr>
                <w:rFonts w:cs="Arial"/>
                <w:szCs w:val="20"/>
              </w:rPr>
              <w:t>1 839 726</w:t>
            </w:r>
          </w:p>
        </w:tc>
        <w:tc>
          <w:tcPr>
            <w:tcW w:w="1088" w:type="dxa"/>
            <w:vAlign w:val="center"/>
          </w:tcPr>
          <w:p w:rsidR="008A44AB" w:rsidRPr="00E155B6" w:rsidRDefault="008A44AB" w:rsidP="00301F4B">
            <w:pPr>
              <w:jc w:val="center"/>
              <w:rPr>
                <w:rFonts w:cs="Arial"/>
                <w:szCs w:val="20"/>
              </w:rPr>
            </w:pPr>
            <w:r>
              <w:rPr>
                <w:rFonts w:cs="Arial"/>
                <w:szCs w:val="20"/>
              </w:rPr>
              <w:t>1 816 137</w:t>
            </w:r>
          </w:p>
        </w:tc>
      </w:tr>
      <w:tr w:rsidR="008A44AB" w:rsidRPr="00B07B5B" w:rsidTr="008A44AB">
        <w:tc>
          <w:tcPr>
            <w:tcW w:w="3461" w:type="dxa"/>
            <w:vAlign w:val="center"/>
          </w:tcPr>
          <w:p w:rsidR="008A44AB" w:rsidRPr="00B07B5B" w:rsidRDefault="008A44AB" w:rsidP="00B07B5B">
            <w:pPr>
              <w:rPr>
                <w:rFonts w:cs="Arial"/>
                <w:szCs w:val="20"/>
              </w:rPr>
            </w:pPr>
            <w:r w:rsidRPr="00B07B5B">
              <w:rPr>
                <w:rFonts w:cs="Arial"/>
                <w:szCs w:val="20"/>
              </w:rPr>
              <w:t>Gross domestic product (GDP)</w:t>
            </w:r>
          </w:p>
        </w:tc>
        <w:tc>
          <w:tcPr>
            <w:tcW w:w="969" w:type="dxa"/>
            <w:vAlign w:val="center"/>
          </w:tcPr>
          <w:p w:rsidR="008A44AB" w:rsidRPr="00B07B5B" w:rsidRDefault="008A44AB" w:rsidP="00B07B5B">
            <w:pPr>
              <w:jc w:val="center"/>
              <w:rPr>
                <w:rFonts w:cs="Arial"/>
                <w:szCs w:val="20"/>
              </w:rPr>
            </w:pPr>
            <w:r w:rsidRPr="00B07B5B">
              <w:rPr>
                <w:rFonts w:cs="Arial"/>
                <w:szCs w:val="20"/>
              </w:rPr>
              <w:t>CZK mil.</w:t>
            </w:r>
          </w:p>
        </w:tc>
        <w:tc>
          <w:tcPr>
            <w:tcW w:w="1042" w:type="dxa"/>
            <w:vAlign w:val="center"/>
          </w:tcPr>
          <w:p w:rsidR="008A44AB" w:rsidRPr="00E155B6" w:rsidRDefault="008A44AB" w:rsidP="00D35C7D">
            <w:pPr>
              <w:jc w:val="center"/>
              <w:rPr>
                <w:rFonts w:cs="Arial"/>
                <w:szCs w:val="20"/>
              </w:rPr>
            </w:pPr>
            <w:r>
              <w:rPr>
                <w:rFonts w:cs="Arial"/>
                <w:szCs w:val="20"/>
              </w:rPr>
              <w:t xml:space="preserve">4 022 </w:t>
            </w:r>
            <w:r w:rsidR="00D35C7D">
              <w:rPr>
                <w:rFonts w:cs="Arial"/>
                <w:szCs w:val="20"/>
              </w:rPr>
              <w:t>410</w:t>
            </w:r>
          </w:p>
        </w:tc>
        <w:tc>
          <w:tcPr>
            <w:tcW w:w="1042" w:type="dxa"/>
            <w:vAlign w:val="center"/>
          </w:tcPr>
          <w:p w:rsidR="008A44AB" w:rsidRPr="00E155B6" w:rsidRDefault="008A44AB" w:rsidP="00D35C7D">
            <w:pPr>
              <w:jc w:val="center"/>
              <w:rPr>
                <w:rFonts w:cs="Arial"/>
                <w:szCs w:val="20"/>
              </w:rPr>
            </w:pPr>
            <w:r>
              <w:rPr>
                <w:rFonts w:cs="Arial"/>
                <w:szCs w:val="20"/>
              </w:rPr>
              <w:t>4</w:t>
            </w:r>
            <w:r w:rsidR="00D35C7D">
              <w:rPr>
                <w:rFonts w:cs="Arial"/>
                <w:szCs w:val="20"/>
              </w:rPr>
              <w:t> 047 675</w:t>
            </w:r>
          </w:p>
        </w:tc>
        <w:tc>
          <w:tcPr>
            <w:tcW w:w="1042" w:type="dxa"/>
            <w:vAlign w:val="center"/>
          </w:tcPr>
          <w:p w:rsidR="008A44AB" w:rsidRPr="00E155B6" w:rsidRDefault="008A44AB" w:rsidP="00301F4B">
            <w:pPr>
              <w:jc w:val="center"/>
              <w:rPr>
                <w:rFonts w:cs="Arial"/>
                <w:szCs w:val="20"/>
              </w:rPr>
            </w:pPr>
            <w:r>
              <w:rPr>
                <w:rFonts w:cs="Arial"/>
                <w:szCs w:val="20"/>
              </w:rPr>
              <w:t>4 086 260</w:t>
            </w:r>
          </w:p>
        </w:tc>
        <w:tc>
          <w:tcPr>
            <w:tcW w:w="1088" w:type="dxa"/>
            <w:vAlign w:val="center"/>
          </w:tcPr>
          <w:p w:rsidR="008A44AB" w:rsidRPr="00E155B6" w:rsidRDefault="008A44AB" w:rsidP="00301F4B">
            <w:pPr>
              <w:jc w:val="center"/>
              <w:rPr>
                <w:rFonts w:cs="Arial"/>
                <w:szCs w:val="20"/>
              </w:rPr>
            </w:pPr>
            <w:r>
              <w:rPr>
                <w:rFonts w:cs="Arial"/>
                <w:szCs w:val="20"/>
              </w:rPr>
              <w:t>4 266 141</w:t>
            </w:r>
          </w:p>
        </w:tc>
      </w:tr>
      <w:tr w:rsidR="008A44AB" w:rsidRPr="00B07B5B" w:rsidTr="008A44AB">
        <w:tc>
          <w:tcPr>
            <w:tcW w:w="3461" w:type="dxa"/>
            <w:vAlign w:val="center"/>
          </w:tcPr>
          <w:p w:rsidR="008A44AB" w:rsidRPr="00B07B5B" w:rsidRDefault="008A44AB" w:rsidP="00B07B5B">
            <w:pPr>
              <w:rPr>
                <w:rFonts w:cs="Arial"/>
                <w:szCs w:val="20"/>
              </w:rPr>
            </w:pPr>
            <w:r w:rsidRPr="00B07B5B">
              <w:rPr>
                <w:rFonts w:cs="Arial"/>
                <w:szCs w:val="20"/>
              </w:rPr>
              <w:t>General government deficit in % of GDP</w:t>
            </w:r>
          </w:p>
        </w:tc>
        <w:tc>
          <w:tcPr>
            <w:tcW w:w="969" w:type="dxa"/>
            <w:vAlign w:val="center"/>
          </w:tcPr>
          <w:p w:rsidR="008A44AB" w:rsidRPr="00B07B5B" w:rsidRDefault="008A44AB" w:rsidP="00B07B5B">
            <w:pPr>
              <w:jc w:val="center"/>
              <w:rPr>
                <w:rFonts w:cs="Arial"/>
                <w:szCs w:val="20"/>
              </w:rPr>
            </w:pPr>
            <w:r w:rsidRPr="00B07B5B">
              <w:rPr>
                <w:rFonts w:cs="Arial"/>
                <w:szCs w:val="20"/>
              </w:rPr>
              <w:t>%</w:t>
            </w:r>
          </w:p>
        </w:tc>
        <w:tc>
          <w:tcPr>
            <w:tcW w:w="1042" w:type="dxa"/>
            <w:vAlign w:val="center"/>
          </w:tcPr>
          <w:p w:rsidR="008A44AB" w:rsidRPr="00E155B6" w:rsidRDefault="008A44AB" w:rsidP="00301F4B">
            <w:pPr>
              <w:jc w:val="center"/>
              <w:rPr>
                <w:rFonts w:cs="Arial"/>
                <w:szCs w:val="20"/>
              </w:rPr>
            </w:pPr>
            <w:r>
              <w:rPr>
                <w:rFonts w:cs="Arial"/>
                <w:szCs w:val="20"/>
              </w:rPr>
              <w:t>-2,71</w:t>
            </w:r>
          </w:p>
        </w:tc>
        <w:tc>
          <w:tcPr>
            <w:tcW w:w="1042" w:type="dxa"/>
            <w:vAlign w:val="center"/>
          </w:tcPr>
          <w:p w:rsidR="008A44AB" w:rsidRPr="00E155B6" w:rsidRDefault="008A44AB" w:rsidP="00491EA1">
            <w:pPr>
              <w:jc w:val="center"/>
              <w:rPr>
                <w:rFonts w:cs="Arial"/>
                <w:szCs w:val="20"/>
              </w:rPr>
            </w:pPr>
            <w:r>
              <w:rPr>
                <w:rFonts w:cs="Arial"/>
                <w:szCs w:val="20"/>
              </w:rPr>
              <w:t>-3,9</w:t>
            </w:r>
            <w:r w:rsidR="00491EA1">
              <w:rPr>
                <w:rFonts w:cs="Arial"/>
                <w:szCs w:val="20"/>
              </w:rPr>
              <w:t>0</w:t>
            </w:r>
          </w:p>
        </w:tc>
        <w:tc>
          <w:tcPr>
            <w:tcW w:w="1042" w:type="dxa"/>
            <w:vAlign w:val="center"/>
          </w:tcPr>
          <w:p w:rsidR="008A44AB" w:rsidRPr="00E155B6" w:rsidRDefault="008A44AB" w:rsidP="00301F4B">
            <w:pPr>
              <w:jc w:val="center"/>
              <w:rPr>
                <w:rFonts w:cs="Arial"/>
                <w:szCs w:val="20"/>
              </w:rPr>
            </w:pPr>
            <w:r>
              <w:rPr>
                <w:rFonts w:cs="Arial"/>
                <w:szCs w:val="20"/>
              </w:rPr>
              <w:t>-1,16</w:t>
            </w:r>
          </w:p>
        </w:tc>
        <w:tc>
          <w:tcPr>
            <w:tcW w:w="1088" w:type="dxa"/>
            <w:vAlign w:val="center"/>
          </w:tcPr>
          <w:p w:rsidR="008A44AB" w:rsidRPr="00E155B6" w:rsidRDefault="008A44AB" w:rsidP="00301F4B">
            <w:pPr>
              <w:jc w:val="center"/>
              <w:rPr>
                <w:rFonts w:cs="Arial"/>
                <w:szCs w:val="20"/>
              </w:rPr>
            </w:pPr>
            <w:r>
              <w:rPr>
                <w:rFonts w:cs="Arial"/>
                <w:szCs w:val="20"/>
              </w:rPr>
              <w:t>-2,00</w:t>
            </w:r>
          </w:p>
        </w:tc>
      </w:tr>
      <w:tr w:rsidR="008A44AB" w:rsidRPr="00B07B5B" w:rsidTr="008A44AB">
        <w:tc>
          <w:tcPr>
            <w:tcW w:w="3461" w:type="dxa"/>
            <w:vAlign w:val="center"/>
          </w:tcPr>
          <w:p w:rsidR="008A44AB" w:rsidRPr="00B07B5B" w:rsidRDefault="008A44AB" w:rsidP="00B07B5B">
            <w:pPr>
              <w:rPr>
                <w:rFonts w:cs="Arial"/>
                <w:szCs w:val="20"/>
              </w:rPr>
            </w:pPr>
            <w:r w:rsidRPr="00B07B5B">
              <w:rPr>
                <w:rFonts w:cs="Arial"/>
                <w:szCs w:val="20"/>
              </w:rPr>
              <w:t xml:space="preserve">General government debt in % of GDP </w:t>
            </w:r>
          </w:p>
        </w:tc>
        <w:tc>
          <w:tcPr>
            <w:tcW w:w="969" w:type="dxa"/>
            <w:vAlign w:val="center"/>
          </w:tcPr>
          <w:p w:rsidR="008A44AB" w:rsidRPr="00B07B5B" w:rsidRDefault="008A44AB" w:rsidP="00B07B5B">
            <w:pPr>
              <w:jc w:val="center"/>
              <w:rPr>
                <w:rFonts w:cs="Arial"/>
                <w:szCs w:val="20"/>
              </w:rPr>
            </w:pPr>
            <w:r w:rsidRPr="00B07B5B">
              <w:rPr>
                <w:rFonts w:cs="Arial"/>
                <w:szCs w:val="20"/>
              </w:rPr>
              <w:t>%</w:t>
            </w:r>
          </w:p>
        </w:tc>
        <w:tc>
          <w:tcPr>
            <w:tcW w:w="1042" w:type="dxa"/>
            <w:vAlign w:val="center"/>
          </w:tcPr>
          <w:p w:rsidR="008A44AB" w:rsidRPr="00E155B6" w:rsidRDefault="008A44AB" w:rsidP="00301F4B">
            <w:pPr>
              <w:jc w:val="center"/>
              <w:rPr>
                <w:rFonts w:cs="Arial"/>
                <w:szCs w:val="20"/>
              </w:rPr>
            </w:pPr>
            <w:r>
              <w:rPr>
                <w:rFonts w:cs="Arial"/>
                <w:szCs w:val="20"/>
              </w:rPr>
              <w:t>39,88</w:t>
            </w:r>
          </w:p>
        </w:tc>
        <w:tc>
          <w:tcPr>
            <w:tcW w:w="1042" w:type="dxa"/>
            <w:vAlign w:val="center"/>
          </w:tcPr>
          <w:p w:rsidR="008A44AB" w:rsidRPr="00E155B6" w:rsidRDefault="008A44AB" w:rsidP="00491EA1">
            <w:pPr>
              <w:jc w:val="center"/>
              <w:rPr>
                <w:rFonts w:cs="Arial"/>
                <w:szCs w:val="20"/>
              </w:rPr>
            </w:pPr>
            <w:r>
              <w:rPr>
                <w:rFonts w:cs="Arial"/>
                <w:szCs w:val="20"/>
              </w:rPr>
              <w:t>44,</w:t>
            </w:r>
            <w:r w:rsidR="00491EA1">
              <w:rPr>
                <w:rFonts w:cs="Arial"/>
                <w:szCs w:val="20"/>
              </w:rPr>
              <w:t>56</w:t>
            </w:r>
          </w:p>
        </w:tc>
        <w:tc>
          <w:tcPr>
            <w:tcW w:w="1042" w:type="dxa"/>
            <w:vAlign w:val="center"/>
          </w:tcPr>
          <w:p w:rsidR="008A44AB" w:rsidRPr="00E155B6" w:rsidRDefault="008A44AB" w:rsidP="00301F4B">
            <w:pPr>
              <w:jc w:val="center"/>
              <w:rPr>
                <w:rFonts w:cs="Arial"/>
                <w:szCs w:val="20"/>
              </w:rPr>
            </w:pPr>
            <w:r>
              <w:rPr>
                <w:rFonts w:cs="Arial"/>
                <w:szCs w:val="20"/>
              </w:rPr>
              <w:t>45,02</w:t>
            </w:r>
          </w:p>
        </w:tc>
        <w:tc>
          <w:tcPr>
            <w:tcW w:w="1088" w:type="dxa"/>
            <w:vAlign w:val="center"/>
          </w:tcPr>
          <w:p w:rsidR="008A44AB" w:rsidRPr="00E155B6" w:rsidRDefault="008A44AB" w:rsidP="00301F4B">
            <w:pPr>
              <w:jc w:val="center"/>
              <w:rPr>
                <w:rFonts w:cs="Arial"/>
                <w:szCs w:val="20"/>
              </w:rPr>
            </w:pPr>
            <w:r>
              <w:rPr>
                <w:rFonts w:cs="Arial"/>
                <w:szCs w:val="20"/>
              </w:rPr>
              <w:t>42,57</w:t>
            </w:r>
          </w:p>
        </w:tc>
      </w:tr>
    </w:tbl>
    <w:p w:rsidR="00B07B5B" w:rsidRPr="00B07B5B" w:rsidRDefault="00B07B5B" w:rsidP="00B07B5B">
      <w:pPr>
        <w:pStyle w:val="Zkladntext"/>
        <w:spacing w:line="276" w:lineRule="auto"/>
        <w:rPr>
          <w:rFonts w:ascii="Arial" w:hAnsi="Arial" w:cs="Arial"/>
          <w:sz w:val="20"/>
          <w:szCs w:val="20"/>
        </w:rPr>
      </w:pPr>
    </w:p>
    <w:p w:rsidR="00B07B5B" w:rsidRPr="00B07B5B" w:rsidRDefault="004A7837" w:rsidP="00B07B5B">
      <w:pPr>
        <w:rPr>
          <w:rFonts w:cs="Arial"/>
          <w:szCs w:val="20"/>
        </w:rPr>
      </w:pPr>
      <w:r>
        <w:rPr>
          <w:rFonts w:cs="Arial"/>
          <w:szCs w:val="20"/>
        </w:rPr>
        <w:t>In the calendar year 2014, the Czech government deficit was 85</w:t>
      </w:r>
      <w:r w:rsidR="008A44AB">
        <w:rPr>
          <w:rFonts w:cs="Arial"/>
          <w:szCs w:val="20"/>
        </w:rPr>
        <w:t>.</w:t>
      </w:r>
      <w:r>
        <w:rPr>
          <w:rFonts w:cs="Arial"/>
          <w:szCs w:val="20"/>
        </w:rPr>
        <w:t>3 billion CZK</w:t>
      </w:r>
      <w:r w:rsidR="00336F0F">
        <w:rPr>
          <w:rFonts w:cs="Arial"/>
          <w:szCs w:val="20"/>
        </w:rPr>
        <w:t xml:space="preserve">. The balance of revenues and expenditures (the item net borrowing/lending in the national </w:t>
      </w:r>
      <w:r w:rsidR="00663A94">
        <w:rPr>
          <w:rFonts w:cs="Arial"/>
          <w:szCs w:val="20"/>
        </w:rPr>
        <w:t>accounts</w:t>
      </w:r>
      <w:r w:rsidR="00336F0F">
        <w:rPr>
          <w:rFonts w:cs="Arial"/>
          <w:szCs w:val="20"/>
        </w:rPr>
        <w:t>) has worsened in all sub-sectors of general government sector</w:t>
      </w:r>
      <w:r w:rsidR="00663A94">
        <w:rPr>
          <w:rFonts w:cs="Arial"/>
          <w:szCs w:val="20"/>
        </w:rPr>
        <w:t xml:space="preserve"> compared with the previous year</w:t>
      </w:r>
      <w:r w:rsidR="00336F0F">
        <w:rPr>
          <w:rFonts w:cs="Arial"/>
          <w:szCs w:val="20"/>
        </w:rPr>
        <w:t>. In relative terms, the Czech government deficit was 2.0 percent expresse</w:t>
      </w:r>
      <w:r w:rsidR="00663A94">
        <w:rPr>
          <w:rFonts w:cs="Arial"/>
          <w:szCs w:val="20"/>
        </w:rPr>
        <w:t>d</w:t>
      </w:r>
      <w:r w:rsidR="00336F0F">
        <w:rPr>
          <w:rFonts w:cs="Arial"/>
          <w:szCs w:val="20"/>
        </w:rPr>
        <w:t xml:space="preserve"> as a percentage of GDP. The main drivers of the annual increase in deficit </w:t>
      </w:r>
      <w:r w:rsidR="00663A94">
        <w:rPr>
          <w:rFonts w:cs="Arial"/>
          <w:szCs w:val="20"/>
        </w:rPr>
        <w:t>were</w:t>
      </w:r>
      <w:r w:rsidR="00336F0F">
        <w:rPr>
          <w:rFonts w:cs="Arial"/>
          <w:szCs w:val="20"/>
        </w:rPr>
        <w:t xml:space="preserve"> expenditures on gross fixed capital formation (annual increase by</w:t>
      </w:r>
      <w:r w:rsidR="00B30303">
        <w:rPr>
          <w:rFonts w:cs="Arial"/>
          <w:szCs w:val="20"/>
        </w:rPr>
        <w:t xml:space="preserve"> more than</w:t>
      </w:r>
      <w:r w:rsidR="00336F0F">
        <w:rPr>
          <w:rFonts w:cs="Arial"/>
          <w:szCs w:val="20"/>
        </w:rPr>
        <w:t xml:space="preserve"> 1</w:t>
      </w:r>
      <w:r w:rsidR="00B30303">
        <w:rPr>
          <w:rFonts w:cs="Arial"/>
          <w:szCs w:val="20"/>
        </w:rPr>
        <w:t>7</w:t>
      </w:r>
      <w:r w:rsidR="00336F0F">
        <w:rPr>
          <w:rFonts w:cs="Arial"/>
          <w:szCs w:val="20"/>
        </w:rPr>
        <w:t xml:space="preserve"> percent), </w:t>
      </w:r>
      <w:r w:rsidR="00663A94">
        <w:rPr>
          <w:rFonts w:cs="Arial"/>
          <w:szCs w:val="20"/>
        </w:rPr>
        <w:t>government final consumption expenditures (annual increase by 3 percent) and the compensation paid by the Deposit Insurance Fund (14 billion CZK).</w:t>
      </w:r>
    </w:p>
    <w:p w:rsidR="004A7837" w:rsidRDefault="004A7837" w:rsidP="004A7837">
      <w:pPr>
        <w:rPr>
          <w:rFonts w:cs="Arial"/>
          <w:szCs w:val="20"/>
        </w:rPr>
      </w:pPr>
    </w:p>
    <w:p w:rsidR="008374BE" w:rsidRDefault="00663A94" w:rsidP="008374BE">
      <w:pPr>
        <w:rPr>
          <w:rFonts w:cs="Arial"/>
          <w:szCs w:val="20"/>
        </w:rPr>
      </w:pPr>
      <w:r>
        <w:rPr>
          <w:rFonts w:cs="Arial"/>
          <w:szCs w:val="20"/>
        </w:rPr>
        <w:t>At the end of 2014, the Czech government gross debt has reached the level of 42.</w:t>
      </w:r>
      <w:r w:rsidR="004507E3">
        <w:rPr>
          <w:rFonts w:cs="Arial"/>
          <w:szCs w:val="20"/>
        </w:rPr>
        <w:t>57</w:t>
      </w:r>
      <w:r>
        <w:rPr>
          <w:rFonts w:cs="Arial"/>
          <w:szCs w:val="20"/>
        </w:rPr>
        <w:t xml:space="preserve"> percent of GDP. Compared with the previous year, the level of indebtedness has been reduced by 2.45 percentage points. The reduction has been driven mainly by accelerating growth in nom</w:t>
      </w:r>
      <w:r w:rsidR="008374BE">
        <w:rPr>
          <w:rFonts w:cs="Arial"/>
          <w:szCs w:val="20"/>
        </w:rPr>
        <w:t>inal GDP (annually 4.4 percent) and</w:t>
      </w:r>
      <w:r>
        <w:rPr>
          <w:rFonts w:cs="Arial"/>
          <w:szCs w:val="20"/>
        </w:rPr>
        <w:t xml:space="preserve"> the stable level of the state debt</w:t>
      </w:r>
      <w:r w:rsidR="008374BE">
        <w:rPr>
          <w:rFonts w:cs="Arial"/>
          <w:szCs w:val="20"/>
        </w:rPr>
        <w:t xml:space="preserve">. The reduction in indebtedness </w:t>
      </w:r>
      <w:r w:rsidR="008374BE">
        <w:rPr>
          <w:rFonts w:cs="Arial"/>
          <w:szCs w:val="20"/>
        </w:rPr>
        <w:lastRenderedPageBreak/>
        <w:t>with concurrent increase in government deficit can be explained mainly by the significant amount of transactions recorded under the item currency and deposits (see F.2 in tables 3A, 3B, 3D) implying coverage of the deficit by a decrease in the assets.</w:t>
      </w:r>
    </w:p>
    <w:p w:rsidR="008374BE" w:rsidRDefault="008374BE" w:rsidP="004A7837">
      <w:pPr>
        <w:rPr>
          <w:rFonts w:cs="Arial"/>
          <w:szCs w:val="20"/>
        </w:rPr>
      </w:pPr>
    </w:p>
    <w:p w:rsidR="008374BE" w:rsidRDefault="009266AF" w:rsidP="008374BE">
      <w:pPr>
        <w:rPr>
          <w:rFonts w:cs="Arial"/>
          <w:szCs w:val="20"/>
        </w:rPr>
      </w:pPr>
      <w:r w:rsidRPr="008D4312">
        <w:rPr>
          <w:rFonts w:cs="Arial"/>
          <w:szCs w:val="20"/>
        </w:rPr>
        <w:t xml:space="preserve">Fiscal indicators </w:t>
      </w:r>
      <w:r w:rsidR="002C37B6" w:rsidRPr="008D4312">
        <w:rPr>
          <w:rFonts w:cs="Arial"/>
          <w:szCs w:val="20"/>
        </w:rPr>
        <w:t xml:space="preserve">submitted to the European Commission </w:t>
      </w:r>
      <w:r w:rsidRPr="008D4312">
        <w:rPr>
          <w:rFonts w:cs="Arial"/>
          <w:szCs w:val="20"/>
        </w:rPr>
        <w:t xml:space="preserve">have been significantly affected </w:t>
      </w:r>
      <w:r w:rsidR="002C37B6" w:rsidRPr="008D4312">
        <w:rPr>
          <w:rFonts w:cs="Arial"/>
          <w:szCs w:val="20"/>
        </w:rPr>
        <w:t xml:space="preserve">by the changes in the sector classification of the Czech-Moravian Guarantee and Development Bank, the Export Guarantee and Insurance Corporation and the Deposit Insurance Fund. The reclassification has led to general government deficit and debt in 2011 to 2013 being revised downward since the September 2014 notification of government deficit and debt. </w:t>
      </w:r>
      <w:r w:rsidR="008374BE">
        <w:rPr>
          <w:rFonts w:cs="Arial"/>
          <w:szCs w:val="20"/>
        </w:rPr>
        <w:t>Owing to general government debt consolidation, assets and liabilities of institutions newly classified in general government sector were offset against assets and liabilities of other general government institutions. This consolidation has reduced general government gross debt by 0.8 percentage point.</w:t>
      </w:r>
    </w:p>
    <w:p w:rsidR="00B07B5B" w:rsidRDefault="00B07B5B" w:rsidP="00B07B5B">
      <w:pPr>
        <w:rPr>
          <w:rFonts w:cs="Arial"/>
          <w:szCs w:val="20"/>
        </w:rPr>
      </w:pPr>
    </w:p>
    <w:p w:rsidR="00AF182A" w:rsidRDefault="0051558E"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8D4312" w:rsidRDefault="009266AF" w:rsidP="009266AF">
      <w:pPr>
        <w:pStyle w:val="Zkladntext"/>
        <w:spacing w:line="276" w:lineRule="auto"/>
        <w:rPr>
          <w:rFonts w:ascii="Arial" w:hAnsi="Arial" w:cs="Arial"/>
          <w:sz w:val="20"/>
          <w:szCs w:val="20"/>
        </w:rPr>
      </w:pPr>
      <w:r w:rsidRPr="008D4312">
        <w:rPr>
          <w:rFonts w:ascii="Arial" w:hAnsi="Arial" w:cs="Arial"/>
          <w:sz w:val="20"/>
          <w:szCs w:val="20"/>
        </w:rPr>
        <w:t>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criteria, fiscal indicators should comply with reference values for a deficit (3% of GDP) and a debt (60% of GDP). The projection of government deficit and debt for the year 2015 is prepared and published by the Ministry of Finance of the Czech Republic.</w:t>
      </w:r>
    </w:p>
    <w:p w:rsidR="009266AF" w:rsidRPr="008D4312" w:rsidRDefault="009266AF" w:rsidP="009266AF">
      <w:pPr>
        <w:pStyle w:val="Zkladntext"/>
        <w:spacing w:line="276" w:lineRule="auto"/>
        <w:rPr>
          <w:rFonts w:ascii="Arial" w:hAnsi="Arial" w:cs="Arial"/>
          <w:sz w:val="20"/>
          <w:szCs w:val="20"/>
        </w:rPr>
      </w:pPr>
    </w:p>
    <w:p w:rsidR="009266AF" w:rsidRPr="008374BE"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surplus/deficit</w:t>
      </w:r>
      <w:r w:rsidRPr="008374BE">
        <w:rPr>
          <w:rFonts w:ascii="Arial" w:hAnsi="Arial" w:cs="Arial"/>
          <w:sz w:val="20"/>
          <w:szCs w:val="20"/>
        </w:rPr>
        <w:t xml:space="preserve"> is represented by item B.9 “net borrowing (-) or net lending (+)” in national accounts. It refers to the ability of general government sector to finance other sectors (+) or the need of general government sector to be financed (-) by other economic sectors.</w:t>
      </w:r>
    </w:p>
    <w:p w:rsidR="009266AF" w:rsidRPr="008374BE" w:rsidRDefault="009266AF" w:rsidP="009266AF">
      <w:pPr>
        <w:pStyle w:val="Zkladntext"/>
        <w:spacing w:line="276" w:lineRule="auto"/>
        <w:rPr>
          <w:rFonts w:ascii="Arial" w:hAnsi="Arial" w:cs="Arial"/>
          <w:sz w:val="20"/>
          <w:szCs w:val="20"/>
        </w:rPr>
      </w:pPr>
    </w:p>
    <w:p w:rsidR="009266AF" w:rsidRPr="00B07B5B"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debt</w:t>
      </w:r>
      <w:r w:rsidRPr="008374BE">
        <w:rPr>
          <w:rFonts w:ascii="Arial" w:hAnsi="Arial" w:cs="Arial"/>
          <w:sz w:val="20"/>
          <w:szCs w:val="20"/>
        </w:rPr>
        <w:t xml:space="preserve"> consists of liabilities of general government sector in form of currency and deposits, debt securities and loans. In case of foreign exchange debt instruments hedged against currency risk, value in CZK is obtained by means of contractual exchange rate.</w:t>
      </w:r>
    </w:p>
    <w:p w:rsidR="009266AF" w:rsidRDefault="009266AF" w:rsidP="00043BF4"/>
    <w:p w:rsidR="004A7837" w:rsidRDefault="004A7837" w:rsidP="00043BF4">
      <w:r w:rsidRPr="00B07B5B">
        <w:rPr>
          <w:rFonts w:cs="Arial"/>
          <w:szCs w:val="20"/>
        </w:rPr>
        <w:t xml:space="preserve">Indicators mentioned in the table were transmitted to Eurostat </w:t>
      </w:r>
      <w:r w:rsidRPr="00B07B5B">
        <w:rPr>
          <w:rStyle w:val="hps"/>
          <w:rFonts w:cs="Arial"/>
          <w:color w:val="333333"/>
          <w:szCs w:val="20"/>
        </w:rPr>
        <w:t>at the end of March</w:t>
      </w:r>
      <w:r w:rsidRPr="00B07B5B">
        <w:rPr>
          <w:rFonts w:cs="Arial"/>
          <w:szCs w:val="20"/>
        </w:rPr>
        <w:t xml:space="preserve"> 201</w:t>
      </w:r>
      <w:r>
        <w:rPr>
          <w:rFonts w:cs="Arial"/>
          <w:szCs w:val="20"/>
        </w:rPr>
        <w:t>4</w:t>
      </w:r>
      <w:r w:rsidRPr="00B07B5B">
        <w:rPr>
          <w:rFonts w:cs="Arial"/>
          <w:szCs w:val="20"/>
        </w:rPr>
        <w:t>.</w:t>
      </w:r>
    </w:p>
    <w:p w:rsidR="00830829" w:rsidRDefault="00830829" w:rsidP="00830829">
      <w:pPr>
        <w:pStyle w:val="Poznmky0"/>
      </w:pPr>
      <w:r>
        <w:t>Notices:</w:t>
      </w:r>
    </w:p>
    <w:p w:rsidR="00830829" w:rsidRDefault="00830829" w:rsidP="00830829">
      <w:pPr>
        <w:rPr>
          <w:i/>
          <w:iCs/>
        </w:rPr>
      </w:pPr>
      <w:r>
        <w:rPr>
          <w:i/>
          <w:iCs/>
        </w:rPr>
        <w:t>Responsible manager</w:t>
      </w:r>
      <w:r w:rsidRPr="00F665DC">
        <w:rPr>
          <w:i/>
          <w:iCs/>
        </w:rPr>
        <w:t xml:space="preserve">: </w:t>
      </w:r>
      <w:r>
        <w:rPr>
          <w:i/>
          <w:iCs/>
        </w:rPr>
        <w:t xml:space="preserve">Vaclav </w:t>
      </w:r>
      <w:proofErr w:type="spellStart"/>
      <w:r>
        <w:rPr>
          <w:i/>
          <w:iCs/>
        </w:rPr>
        <w:t>Rybacek</w:t>
      </w:r>
      <w:proofErr w:type="spellEnd"/>
      <w:r>
        <w:rPr>
          <w:i/>
          <w:iCs/>
        </w:rPr>
        <w:t>, Ph.D.</w:t>
      </w:r>
      <w:r w:rsidRPr="00F665DC">
        <w:rPr>
          <w:i/>
          <w:iCs/>
        </w:rPr>
        <w:t>, tel.: 274052</w:t>
      </w:r>
      <w:r>
        <w:rPr>
          <w:i/>
          <w:iCs/>
        </w:rPr>
        <w:t>5</w:t>
      </w:r>
      <w:r w:rsidRPr="00F665DC">
        <w:rPr>
          <w:i/>
          <w:iCs/>
        </w:rPr>
        <w:t>9</w:t>
      </w:r>
      <w:r>
        <w:rPr>
          <w:i/>
          <w:iCs/>
        </w:rPr>
        <w:t>6</w:t>
      </w:r>
      <w:r w:rsidRPr="00F665DC">
        <w:rPr>
          <w:i/>
          <w:iCs/>
        </w:rPr>
        <w:t xml:space="preserve">, e-mail: </w:t>
      </w:r>
      <w:hyperlink r:id="rId8" w:history="1">
        <w:r w:rsidRPr="000249DE">
          <w:rPr>
            <w:rStyle w:val="Hypertextovodkaz"/>
            <w:i/>
            <w:iCs/>
          </w:rPr>
          <w:t>vaclav.rybacek@czso.cz</w:t>
        </w:r>
      </w:hyperlink>
      <w:r w:rsidRPr="00F665DC">
        <w:br/>
      </w:r>
      <w:r>
        <w:rPr>
          <w:i/>
          <w:iCs/>
        </w:rPr>
        <w:t>Contact person</w:t>
      </w:r>
      <w:r w:rsidRPr="00F665DC">
        <w:rPr>
          <w:i/>
          <w:iCs/>
        </w:rPr>
        <w:t xml:space="preserve">: </w:t>
      </w:r>
      <w:r>
        <w:rPr>
          <w:i/>
          <w:iCs/>
        </w:rPr>
        <w:t xml:space="preserve">Marie </w:t>
      </w:r>
      <w:proofErr w:type="spellStart"/>
      <w:r>
        <w:rPr>
          <w:i/>
          <w:iCs/>
        </w:rPr>
        <w:t>Trejbalova</w:t>
      </w:r>
      <w:proofErr w:type="spellEnd"/>
      <w:r w:rsidRPr="00F665DC">
        <w:rPr>
          <w:i/>
          <w:iCs/>
        </w:rPr>
        <w:t xml:space="preserve">, tel.: 274054069, e-mail: </w:t>
      </w:r>
      <w:hyperlink r:id="rId9" w:history="1">
        <w:r w:rsidRPr="000249DE">
          <w:rPr>
            <w:rStyle w:val="Hypertextovodkaz"/>
            <w:i/>
            <w:iCs/>
          </w:rPr>
          <w:t>marie.trejbalova@czso.cz</w:t>
        </w:r>
      </w:hyperlink>
      <w:r w:rsidRPr="00F665DC">
        <w:br/>
      </w:r>
      <w:r w:rsidR="00B07B5B">
        <w:rPr>
          <w:i/>
          <w:iCs/>
        </w:rPr>
        <w:t>Coming</w:t>
      </w:r>
      <w:r>
        <w:rPr>
          <w:i/>
          <w:iCs/>
        </w:rPr>
        <w:t xml:space="preserve"> News Release </w:t>
      </w:r>
      <w:r w:rsidRPr="00F665DC">
        <w:rPr>
          <w:i/>
          <w:iCs/>
        </w:rPr>
        <w:t xml:space="preserve">: 1. </w:t>
      </w:r>
      <w:r>
        <w:rPr>
          <w:i/>
          <w:iCs/>
        </w:rPr>
        <w:t>10. 2015</w:t>
      </w:r>
    </w:p>
    <w:p w:rsidR="00830829" w:rsidRDefault="00830829" w:rsidP="00830829">
      <w:pPr>
        <w:rPr>
          <w:i/>
          <w:iCs/>
        </w:rPr>
      </w:pPr>
    </w:p>
    <w:p w:rsidR="00D209A7" w:rsidRPr="004920AD" w:rsidRDefault="00830829" w:rsidP="00830829">
      <w:r>
        <w:t>This 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1558E">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51558E">
                  <w:rPr>
                    <w:rFonts w:cs="Arial"/>
                    <w:noProof/>
                    <w:szCs w:val="15"/>
                  </w:rPr>
                  <w:t>1</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1558E">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843A5"/>
    <w:rsid w:val="00091722"/>
    <w:rsid w:val="000B6F63"/>
    <w:rsid w:val="000F47E8"/>
    <w:rsid w:val="00116ED1"/>
    <w:rsid w:val="0013242C"/>
    <w:rsid w:val="001404AB"/>
    <w:rsid w:val="0017231D"/>
    <w:rsid w:val="00176E26"/>
    <w:rsid w:val="0018061F"/>
    <w:rsid w:val="001810DC"/>
    <w:rsid w:val="001B607F"/>
    <w:rsid w:val="001C71FD"/>
    <w:rsid w:val="001D369A"/>
    <w:rsid w:val="001D766D"/>
    <w:rsid w:val="001F08B3"/>
    <w:rsid w:val="002070FB"/>
    <w:rsid w:val="00213729"/>
    <w:rsid w:val="002406FA"/>
    <w:rsid w:val="002A2103"/>
    <w:rsid w:val="002B2E47"/>
    <w:rsid w:val="002C37B6"/>
    <w:rsid w:val="002D37F5"/>
    <w:rsid w:val="002F294F"/>
    <w:rsid w:val="00314D8F"/>
    <w:rsid w:val="0032398D"/>
    <w:rsid w:val="003301A3"/>
    <w:rsid w:val="00336F0F"/>
    <w:rsid w:val="0036777B"/>
    <w:rsid w:val="00380178"/>
    <w:rsid w:val="0038282A"/>
    <w:rsid w:val="00397580"/>
    <w:rsid w:val="003A45C8"/>
    <w:rsid w:val="003B7F42"/>
    <w:rsid w:val="003C2DCF"/>
    <w:rsid w:val="003C3372"/>
    <w:rsid w:val="003C7FE7"/>
    <w:rsid w:val="003D0499"/>
    <w:rsid w:val="003D3576"/>
    <w:rsid w:val="003F26A7"/>
    <w:rsid w:val="003F526A"/>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64213"/>
    <w:rsid w:val="005F79FB"/>
    <w:rsid w:val="00604406"/>
    <w:rsid w:val="00605F4A"/>
    <w:rsid w:val="00607822"/>
    <w:rsid w:val="006103AA"/>
    <w:rsid w:val="00613BBF"/>
    <w:rsid w:val="00622B80"/>
    <w:rsid w:val="0064139A"/>
    <w:rsid w:val="00663A94"/>
    <w:rsid w:val="006D5C60"/>
    <w:rsid w:val="006E024F"/>
    <w:rsid w:val="006E4E81"/>
    <w:rsid w:val="00707F7D"/>
    <w:rsid w:val="00717EC5"/>
    <w:rsid w:val="00755D8B"/>
    <w:rsid w:val="00763787"/>
    <w:rsid w:val="007A0CA5"/>
    <w:rsid w:val="007A57F2"/>
    <w:rsid w:val="007B1333"/>
    <w:rsid w:val="007F4AEB"/>
    <w:rsid w:val="007F75B2"/>
    <w:rsid w:val="008043C4"/>
    <w:rsid w:val="00830829"/>
    <w:rsid w:val="00831B1B"/>
    <w:rsid w:val="008374BE"/>
    <w:rsid w:val="00855FB3"/>
    <w:rsid w:val="00861D0E"/>
    <w:rsid w:val="00867569"/>
    <w:rsid w:val="00885C0D"/>
    <w:rsid w:val="008A10CA"/>
    <w:rsid w:val="008A44AB"/>
    <w:rsid w:val="008A750A"/>
    <w:rsid w:val="008B3970"/>
    <w:rsid w:val="008C384C"/>
    <w:rsid w:val="008D0F11"/>
    <w:rsid w:val="008D4312"/>
    <w:rsid w:val="008F73B4"/>
    <w:rsid w:val="009035E8"/>
    <w:rsid w:val="009266AF"/>
    <w:rsid w:val="00971374"/>
    <w:rsid w:val="009B55B1"/>
    <w:rsid w:val="009E39C5"/>
    <w:rsid w:val="00A4343D"/>
    <w:rsid w:val="00A449AA"/>
    <w:rsid w:val="00A502F1"/>
    <w:rsid w:val="00A70A83"/>
    <w:rsid w:val="00A81EB3"/>
    <w:rsid w:val="00AC3140"/>
    <w:rsid w:val="00AF182A"/>
    <w:rsid w:val="00B00C1D"/>
    <w:rsid w:val="00B072C8"/>
    <w:rsid w:val="00B07B5B"/>
    <w:rsid w:val="00B30303"/>
    <w:rsid w:val="00B632CC"/>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F47FE"/>
    <w:rsid w:val="00E0156A"/>
    <w:rsid w:val="00E26704"/>
    <w:rsid w:val="00E31980"/>
    <w:rsid w:val="00E6423C"/>
    <w:rsid w:val="00E71483"/>
    <w:rsid w:val="00E7721A"/>
    <w:rsid w:val="00E93830"/>
    <w:rsid w:val="00E93E0E"/>
    <w:rsid w:val="00EB1A25"/>
    <w:rsid w:val="00EB1ED3"/>
    <w:rsid w:val="00EE70B7"/>
    <w:rsid w:val="00F314B7"/>
    <w:rsid w:val="00F566FC"/>
    <w:rsid w:val="00F83C49"/>
    <w:rsid w:val="00FA1974"/>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trejbalova@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4C25-10A7-4174-9F45-2056F14E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157</TotalTime>
  <Pages>2</Pages>
  <Words>733</Words>
  <Characters>4328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rybacek7060</cp:lastModifiedBy>
  <cp:revision>20</cp:revision>
  <dcterms:created xsi:type="dcterms:W3CDTF">2015-03-12T12:25:00Z</dcterms:created>
  <dcterms:modified xsi:type="dcterms:W3CDTF">2015-03-31T09:53:00Z</dcterms:modified>
</cp:coreProperties>
</file>