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173" w:rsidRPr="000B5D1B" w:rsidRDefault="00737148" w:rsidP="009C0173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 w:rsidRPr="000B5D1B">
        <w:rPr>
          <w:rFonts w:eastAsia="Calibri" w:cs="Arial"/>
          <w:bCs w:val="0"/>
          <w:color w:val="auto"/>
          <w:sz w:val="18"/>
          <w:szCs w:val="22"/>
        </w:rPr>
        <w:t>31 May 2022</w:t>
      </w:r>
    </w:p>
    <w:p w:rsidR="009C0173" w:rsidRPr="000B5D1B" w:rsidRDefault="00737148" w:rsidP="009C0173">
      <w:pPr>
        <w:pStyle w:val="Nzev"/>
      </w:pPr>
      <w:r w:rsidRPr="000B5D1B">
        <w:t>Czech economy increased by 0.9</w:t>
      </w:r>
      <w:r w:rsidR="009C0173" w:rsidRPr="000B5D1B">
        <w:t>%, q-o-q</w:t>
      </w:r>
    </w:p>
    <w:p w:rsidR="009C0173" w:rsidRPr="000B5D1B" w:rsidRDefault="009C0173" w:rsidP="009C0173">
      <w:pPr>
        <w:pStyle w:val="Nadpis2"/>
        <w:tabs>
          <w:tab w:val="left" w:pos="6237"/>
        </w:tabs>
        <w:rPr>
          <w:lang w:val="en-GB"/>
        </w:rPr>
      </w:pPr>
      <w:r w:rsidRPr="000B5D1B">
        <w:rPr>
          <w:lang w:val="en-GB"/>
        </w:rPr>
        <w:t xml:space="preserve">GDP resources and </w:t>
      </w:r>
      <w:r w:rsidR="00737148" w:rsidRPr="000B5D1B">
        <w:rPr>
          <w:lang w:val="en-GB"/>
        </w:rPr>
        <w:t>uses – the first quarter of 2022</w:t>
      </w:r>
    </w:p>
    <w:p w:rsidR="009C0173" w:rsidRPr="000B5D1B" w:rsidRDefault="009C0173" w:rsidP="009C0173">
      <w:pPr>
        <w:rPr>
          <w:rFonts w:cs="Arial"/>
          <w:b/>
          <w:szCs w:val="18"/>
        </w:rPr>
      </w:pPr>
    </w:p>
    <w:p w:rsidR="00205E83" w:rsidRPr="000B5D1B" w:rsidRDefault="009C0173" w:rsidP="009C0173">
      <w:pPr>
        <w:pStyle w:val="Perex"/>
      </w:pPr>
      <w:r w:rsidRPr="000B5D1B">
        <w:t>According to the refined estimate, the gross domestic product</w:t>
      </w:r>
      <w:r w:rsidR="00205E83" w:rsidRPr="000B5D1B">
        <w:t xml:space="preserve"> in</w:t>
      </w:r>
      <w:r w:rsidRPr="000B5D1B">
        <w:t>creased by 0</w:t>
      </w:r>
      <w:r w:rsidR="00205E83" w:rsidRPr="000B5D1B">
        <w:t>.9</w:t>
      </w:r>
      <w:r w:rsidR="00932609">
        <w:t>%</w:t>
      </w:r>
      <w:proofErr w:type="gramStart"/>
      <w:r w:rsidR="00932609">
        <w:t>,</w:t>
      </w:r>
      <w:proofErr w:type="gramEnd"/>
      <w:r w:rsidR="006436DA">
        <w:br/>
      </w:r>
      <w:r w:rsidR="00932609">
        <w:t>quarter-on-quarter</w:t>
      </w:r>
      <w:r w:rsidRPr="000B5D1B">
        <w:t xml:space="preserve">, in the Q1 </w:t>
      </w:r>
      <w:r w:rsidR="00737148" w:rsidRPr="000B5D1B">
        <w:t>2022</w:t>
      </w:r>
      <w:r w:rsidRPr="000B5D1B">
        <w:t>. In the year-on-year</w:t>
      </w:r>
      <w:r w:rsidR="00205E83" w:rsidRPr="000B5D1B">
        <w:t xml:space="preserve"> comparison, it in</w:t>
      </w:r>
      <w:r w:rsidRPr="000B5D1B">
        <w:t xml:space="preserve">creased by </w:t>
      </w:r>
      <w:r w:rsidR="00205E83" w:rsidRPr="000B5D1B">
        <w:t>4.8</w:t>
      </w:r>
      <w:r w:rsidRPr="000B5D1B">
        <w:t>%.</w:t>
      </w:r>
      <w:r w:rsidR="00205E83" w:rsidRPr="000B5D1B">
        <w:t xml:space="preserve"> The </w:t>
      </w:r>
      <w:r w:rsidR="00932609" w:rsidRPr="000B5D1B">
        <w:t>year-on-year</w:t>
      </w:r>
      <w:r w:rsidR="00205E83" w:rsidRPr="000B5D1B">
        <w:t xml:space="preserve"> GDP growth was supported </w:t>
      </w:r>
      <w:r w:rsidR="006436DA">
        <w:t xml:space="preserve">mainly </w:t>
      </w:r>
      <w:r w:rsidR="00205E83" w:rsidRPr="000B5D1B">
        <w:t>by the final consumption expenditure of households and by the gross capital formation, whereas external demand</w:t>
      </w:r>
      <w:r w:rsidR="006436DA">
        <w:t xml:space="preserve"> had a </w:t>
      </w:r>
      <w:r w:rsidR="00205E83" w:rsidRPr="000B5D1B">
        <w:t xml:space="preserve">negative influence. </w:t>
      </w:r>
    </w:p>
    <w:p w:rsidR="009C0173" w:rsidRPr="000B5D1B" w:rsidRDefault="009C0173" w:rsidP="009C0173">
      <w:pPr>
        <w:rPr>
          <w:bCs/>
        </w:rPr>
      </w:pPr>
      <w:r w:rsidRPr="000B5D1B">
        <w:rPr>
          <w:bCs/>
        </w:rPr>
        <w:t>The r</w:t>
      </w:r>
      <w:r w:rsidR="001C6F17" w:rsidRPr="000B5D1B">
        <w:rPr>
          <w:bCs/>
        </w:rPr>
        <w:t>efined estimate confirmed the in</w:t>
      </w:r>
      <w:r w:rsidRPr="000B5D1B">
        <w:rPr>
          <w:bCs/>
        </w:rPr>
        <w:t>crease of the Czech economy</w:t>
      </w:r>
      <w:r w:rsidR="00BD46C7">
        <w:rPr>
          <w:bCs/>
        </w:rPr>
        <w:t xml:space="preserve"> in the </w:t>
      </w:r>
      <w:r w:rsidR="007B4D02">
        <w:rPr>
          <w:bCs/>
        </w:rPr>
        <w:t>Q1 2022</w:t>
      </w:r>
      <w:r w:rsidRPr="000B5D1B">
        <w:rPr>
          <w:bCs/>
        </w:rPr>
        <w:t xml:space="preserve"> both in the </w:t>
      </w:r>
      <w:r w:rsidR="001C6F17" w:rsidRPr="000B5D1B">
        <w:rPr>
          <w:bCs/>
        </w:rPr>
        <w:t>quarter-on-quarter</w:t>
      </w:r>
      <w:r w:rsidR="00E15CAE">
        <w:rPr>
          <w:bCs/>
        </w:rPr>
        <w:t xml:space="preserve"> (q-o-q)</w:t>
      </w:r>
      <w:r w:rsidR="001C6F17" w:rsidRPr="000B5D1B">
        <w:rPr>
          <w:bCs/>
        </w:rPr>
        <w:t xml:space="preserve"> and in the </w:t>
      </w:r>
      <w:r w:rsidRPr="000B5D1B">
        <w:rPr>
          <w:bCs/>
        </w:rPr>
        <w:t xml:space="preserve">year-on-year </w:t>
      </w:r>
      <w:r w:rsidR="00E15CAE">
        <w:rPr>
          <w:bCs/>
        </w:rPr>
        <w:t xml:space="preserve">(y-o-y) </w:t>
      </w:r>
      <w:r w:rsidRPr="000B5D1B">
        <w:rPr>
          <w:bCs/>
        </w:rPr>
        <w:t>comparison. T</w:t>
      </w:r>
      <w:r w:rsidRPr="000B5D1B">
        <w:t xml:space="preserve">he </w:t>
      </w:r>
      <w:r w:rsidRPr="000B5D1B">
        <w:rPr>
          <w:b/>
          <w:bCs/>
        </w:rPr>
        <w:t xml:space="preserve">gross domestic product </w:t>
      </w:r>
      <w:r w:rsidRPr="000B5D1B">
        <w:rPr>
          <w:bCs/>
        </w:rPr>
        <w:t>(GDP)</w:t>
      </w:r>
      <w:r w:rsidRPr="000B5D1B">
        <w:rPr>
          <w:rFonts w:cs="Arial"/>
          <w:bCs/>
          <w:szCs w:val="20"/>
        </w:rPr>
        <w:t xml:space="preserve">  adjusted  for  price  effects  and  seasonally  adjusted</w:t>
      </w:r>
      <w:r w:rsidRPr="000B5D1B">
        <w:rPr>
          <w:rStyle w:val="Znakapoznpodarou"/>
          <w:rFonts w:cs="Arial"/>
          <w:szCs w:val="18"/>
        </w:rPr>
        <w:footnoteReference w:id="1"/>
      </w:r>
      <w:r w:rsidRPr="000B5D1B">
        <w:rPr>
          <w:rFonts w:cs="Arial"/>
          <w:bCs/>
          <w:szCs w:val="20"/>
        </w:rPr>
        <w:t xml:space="preserve">  </w:t>
      </w:r>
      <w:r w:rsidR="00365BA4" w:rsidRPr="000B5D1B">
        <w:rPr>
          <w:rFonts w:cs="Arial"/>
          <w:b/>
          <w:bCs/>
          <w:szCs w:val="20"/>
        </w:rPr>
        <w:t>was  by  0.9</w:t>
      </w:r>
      <w:r w:rsidRPr="000B5D1B">
        <w:rPr>
          <w:rFonts w:cs="Arial"/>
          <w:b/>
          <w:bCs/>
          <w:szCs w:val="20"/>
        </w:rPr>
        <w:t xml:space="preserve">%  </w:t>
      </w:r>
      <w:r w:rsidR="00365BA4" w:rsidRPr="000B5D1B">
        <w:rPr>
          <w:rFonts w:cs="Arial"/>
          <w:b/>
          <w:bCs/>
          <w:szCs w:val="20"/>
        </w:rPr>
        <w:t>higher</w:t>
      </w:r>
      <w:r w:rsidRPr="000B5D1B">
        <w:rPr>
          <w:rFonts w:cs="Arial"/>
          <w:b/>
          <w:bCs/>
          <w:szCs w:val="20"/>
        </w:rPr>
        <w:t xml:space="preserve">,  q-o-q. In the </w:t>
      </w:r>
      <w:r w:rsidRPr="000B5D1B">
        <w:rPr>
          <w:b/>
        </w:rPr>
        <w:t>y-o-y</w:t>
      </w:r>
      <w:r w:rsidRPr="000B5D1B">
        <w:rPr>
          <w:rFonts w:cs="Arial"/>
          <w:b/>
          <w:bCs/>
          <w:szCs w:val="20"/>
        </w:rPr>
        <w:t xml:space="preserve"> comparison, the GDP </w:t>
      </w:r>
      <w:r w:rsidR="00365BA4" w:rsidRPr="000B5D1B">
        <w:rPr>
          <w:rFonts w:cs="Arial"/>
          <w:b/>
          <w:bCs/>
          <w:szCs w:val="20"/>
        </w:rPr>
        <w:t>in</w:t>
      </w:r>
      <w:r w:rsidRPr="000B5D1B">
        <w:rPr>
          <w:rFonts w:cs="Arial"/>
          <w:b/>
          <w:bCs/>
          <w:szCs w:val="20"/>
        </w:rPr>
        <w:t xml:space="preserve">creased by </w:t>
      </w:r>
      <w:r w:rsidR="00365BA4" w:rsidRPr="000B5D1B">
        <w:rPr>
          <w:rFonts w:cs="Arial"/>
          <w:b/>
          <w:bCs/>
          <w:szCs w:val="20"/>
        </w:rPr>
        <w:t>4</w:t>
      </w:r>
      <w:r w:rsidRPr="000B5D1B">
        <w:rPr>
          <w:rFonts w:cs="Arial"/>
          <w:b/>
          <w:bCs/>
          <w:szCs w:val="20"/>
        </w:rPr>
        <w:t>.</w:t>
      </w:r>
      <w:r w:rsidR="00365BA4" w:rsidRPr="000B5D1B">
        <w:rPr>
          <w:rFonts w:cs="Arial"/>
          <w:b/>
          <w:bCs/>
          <w:szCs w:val="20"/>
        </w:rPr>
        <w:t>8</w:t>
      </w:r>
      <w:r w:rsidRPr="000B5D1B">
        <w:rPr>
          <w:rFonts w:cs="Arial"/>
          <w:b/>
          <w:bCs/>
          <w:szCs w:val="20"/>
        </w:rPr>
        <w:t>%.</w:t>
      </w:r>
    </w:p>
    <w:p w:rsidR="009C0173" w:rsidRPr="000B5D1B" w:rsidRDefault="009C0173" w:rsidP="009C0173">
      <w:pPr>
        <w:rPr>
          <w:rFonts w:cs="Arial"/>
          <w:b/>
          <w:bCs/>
          <w:szCs w:val="20"/>
        </w:rPr>
      </w:pPr>
    </w:p>
    <w:p w:rsidR="00AF597D" w:rsidRPr="000B5D1B" w:rsidRDefault="00956B40" w:rsidP="009C0173">
      <w:pPr>
        <w:autoSpaceDE w:val="0"/>
        <w:autoSpaceDN w:val="0"/>
        <w:adjustRightInd w:val="0"/>
        <w:rPr>
          <w:rFonts w:cs="Arial"/>
          <w:szCs w:val="20"/>
        </w:rPr>
      </w:pPr>
      <w:r w:rsidRPr="000B5D1B">
        <w:rPr>
          <w:rFonts w:cs="Arial"/>
          <w:szCs w:val="20"/>
        </w:rPr>
        <w:t>T</w:t>
      </w:r>
      <w:r w:rsidR="009C0173" w:rsidRPr="000B5D1B">
        <w:rPr>
          <w:rFonts w:cs="Arial"/>
          <w:szCs w:val="20"/>
        </w:rPr>
        <w:t xml:space="preserve">he </w:t>
      </w:r>
      <w:r w:rsidR="009C0173" w:rsidRPr="000B5D1B">
        <w:rPr>
          <w:rFonts w:cs="Arial"/>
          <w:b/>
          <w:szCs w:val="20"/>
        </w:rPr>
        <w:t>gross value added</w:t>
      </w:r>
      <w:r w:rsidR="009C0173" w:rsidRPr="000B5D1B">
        <w:rPr>
          <w:rFonts w:cs="Arial"/>
          <w:szCs w:val="20"/>
        </w:rPr>
        <w:t xml:space="preserve"> (GVA) </w:t>
      </w:r>
      <w:r w:rsidRPr="000B5D1B">
        <w:rPr>
          <w:rFonts w:cs="Arial"/>
          <w:b/>
          <w:szCs w:val="20"/>
        </w:rPr>
        <w:t>increased by 0.8</w:t>
      </w:r>
      <w:r w:rsidR="009C0173" w:rsidRPr="000B5D1B">
        <w:rPr>
          <w:rFonts w:cs="Arial"/>
          <w:b/>
          <w:szCs w:val="20"/>
        </w:rPr>
        <w:t>%, q-o-q</w:t>
      </w:r>
      <w:r w:rsidRPr="000B5D1B">
        <w:rPr>
          <w:rFonts w:cs="Arial"/>
          <w:b/>
          <w:szCs w:val="20"/>
        </w:rPr>
        <w:t xml:space="preserve">, </w:t>
      </w:r>
      <w:r w:rsidRPr="000B5D1B">
        <w:rPr>
          <w:rFonts w:cs="Arial"/>
          <w:szCs w:val="20"/>
        </w:rPr>
        <w:t>and</w:t>
      </w:r>
      <w:r w:rsidR="009C0173" w:rsidRPr="000B5D1B">
        <w:rPr>
          <w:rFonts w:cs="Arial"/>
          <w:szCs w:val="20"/>
        </w:rPr>
        <w:t xml:space="preserve"> </w:t>
      </w:r>
      <w:r w:rsidRPr="000B5D1B">
        <w:rPr>
          <w:rFonts w:cs="Arial"/>
          <w:b/>
          <w:szCs w:val="20"/>
        </w:rPr>
        <w:t>by 4.4%, y-o-y,</w:t>
      </w:r>
      <w:r w:rsidRPr="000B5D1B">
        <w:rPr>
          <w:rFonts w:cs="Arial"/>
          <w:szCs w:val="20"/>
        </w:rPr>
        <w:t xml:space="preserve"> in the Q1 2022. In the q-o-q comparison, the biggest contributors to the GVA growth were </w:t>
      </w:r>
      <w:r w:rsidR="00286268" w:rsidRPr="000B5D1B">
        <w:rPr>
          <w:rFonts w:cs="Arial"/>
          <w:szCs w:val="20"/>
        </w:rPr>
        <w:t>manufacturing (3.2% growth) and construction (+6.4</w:t>
      </w:r>
      <w:r w:rsidR="009C0173" w:rsidRPr="000B5D1B">
        <w:rPr>
          <w:rFonts w:cs="Arial"/>
          <w:szCs w:val="20"/>
        </w:rPr>
        <w:t>%)</w:t>
      </w:r>
      <w:r w:rsidR="00286268" w:rsidRPr="000B5D1B">
        <w:rPr>
          <w:rFonts w:cs="Arial"/>
          <w:szCs w:val="20"/>
        </w:rPr>
        <w:t>.</w:t>
      </w:r>
      <w:r w:rsidR="00EF24B5" w:rsidRPr="000B5D1B">
        <w:rPr>
          <w:rFonts w:cs="Arial"/>
          <w:szCs w:val="20"/>
        </w:rPr>
        <w:t xml:space="preserve"> A group of economic activities of trade, transportation, and accommodation and food service activities </w:t>
      </w:r>
      <w:r w:rsidR="00AF597D" w:rsidRPr="000B5D1B">
        <w:t>(+0.6</w:t>
      </w:r>
      <w:r w:rsidR="00EF24B5" w:rsidRPr="000B5D1B">
        <w:t>%)</w:t>
      </w:r>
      <w:r w:rsidR="00EF24B5" w:rsidRPr="000B5D1B">
        <w:rPr>
          <w:rFonts w:cs="Arial"/>
          <w:szCs w:val="20"/>
        </w:rPr>
        <w:t xml:space="preserve"> </w:t>
      </w:r>
      <w:r w:rsidR="00AF597D" w:rsidRPr="000B5D1B">
        <w:rPr>
          <w:rFonts w:cs="Arial"/>
          <w:szCs w:val="20"/>
        </w:rPr>
        <w:t>was also successful. A decrease occurred i</w:t>
      </w:r>
      <w:r w:rsidR="009C0173" w:rsidRPr="000B5D1B">
        <w:rPr>
          <w:rFonts w:cs="Arial"/>
          <w:szCs w:val="20"/>
        </w:rPr>
        <w:t>n financial</w:t>
      </w:r>
      <w:r w:rsidR="00AF597D" w:rsidRPr="000B5D1B">
        <w:rPr>
          <w:rFonts w:cs="Arial"/>
          <w:szCs w:val="20"/>
        </w:rPr>
        <w:t xml:space="preserve"> and insurance activities (</w:t>
      </w:r>
      <w:r w:rsidR="00AF597D" w:rsidRPr="000B5D1B">
        <w:t>-3</w:t>
      </w:r>
      <w:r w:rsidR="00AF597D" w:rsidRPr="000B5D1B">
        <w:rPr>
          <w:rFonts w:cs="Arial"/>
          <w:szCs w:val="20"/>
        </w:rPr>
        <w:t xml:space="preserve">.2%) and in a </w:t>
      </w:r>
      <w:r w:rsidR="00FE6B86" w:rsidRPr="000B5D1B">
        <w:rPr>
          <w:rFonts w:cs="Arial"/>
          <w:szCs w:val="20"/>
        </w:rPr>
        <w:t>group of economic activities of</w:t>
      </w:r>
      <w:r w:rsidR="005A5FDC">
        <w:rPr>
          <w:rFonts w:cs="Arial"/>
          <w:szCs w:val="20"/>
        </w:rPr>
        <w:t> </w:t>
      </w:r>
      <w:r w:rsidR="00FE6B86" w:rsidRPr="000B5D1B">
        <w:rPr>
          <w:rFonts w:cs="Arial"/>
          <w:szCs w:val="20"/>
        </w:rPr>
        <w:t>public administration, education, and human health and social work activities (</w:t>
      </w:r>
      <w:r w:rsidR="00FE6B86" w:rsidRPr="000B5D1B">
        <w:t>-</w:t>
      </w:r>
      <w:r w:rsidR="00FE6B86" w:rsidRPr="000B5D1B">
        <w:rPr>
          <w:rFonts w:cs="Arial"/>
          <w:szCs w:val="20"/>
        </w:rPr>
        <w:t>2.5%).</w:t>
      </w:r>
    </w:p>
    <w:p w:rsidR="00AF597D" w:rsidRPr="000B5D1B" w:rsidRDefault="00AF597D" w:rsidP="009C0173">
      <w:pPr>
        <w:autoSpaceDE w:val="0"/>
        <w:autoSpaceDN w:val="0"/>
        <w:adjustRightInd w:val="0"/>
        <w:rPr>
          <w:rFonts w:cs="Arial"/>
          <w:szCs w:val="20"/>
        </w:rPr>
      </w:pPr>
    </w:p>
    <w:p w:rsidR="00530923" w:rsidRPr="000B5D1B" w:rsidRDefault="009C0173" w:rsidP="009C0173">
      <w:pPr>
        <w:autoSpaceDE w:val="0"/>
        <w:autoSpaceDN w:val="0"/>
        <w:adjustRightInd w:val="0"/>
        <w:rPr>
          <w:rFonts w:cs="Arial"/>
          <w:szCs w:val="20"/>
        </w:rPr>
      </w:pPr>
      <w:r w:rsidRPr="000B5D1B">
        <w:rPr>
          <w:rFonts w:cs="Arial"/>
          <w:szCs w:val="20"/>
        </w:rPr>
        <w:t>The</w:t>
      </w:r>
      <w:r w:rsidR="00530923" w:rsidRPr="000B5D1B">
        <w:rPr>
          <w:rFonts w:cs="Arial"/>
          <w:szCs w:val="20"/>
        </w:rPr>
        <w:t xml:space="preserve"> y-o-y</w:t>
      </w:r>
      <w:r w:rsidRPr="000B5D1B">
        <w:rPr>
          <w:rFonts w:cs="Arial"/>
          <w:szCs w:val="20"/>
        </w:rPr>
        <w:t xml:space="preserve"> GVA </w:t>
      </w:r>
      <w:r w:rsidR="00530923" w:rsidRPr="000B5D1B">
        <w:rPr>
          <w:rFonts w:cs="Arial"/>
          <w:szCs w:val="20"/>
        </w:rPr>
        <w:t xml:space="preserve">growth </w:t>
      </w:r>
      <w:r w:rsidR="00530923" w:rsidRPr="000B5D1B">
        <w:t xml:space="preserve">(+4.4%) was the most contributed to by a group of </w:t>
      </w:r>
      <w:r w:rsidR="005A5FDC">
        <w:rPr>
          <w:rFonts w:cs="Arial"/>
          <w:szCs w:val="20"/>
        </w:rPr>
        <w:t>economic activities of </w:t>
      </w:r>
      <w:r w:rsidR="00530923" w:rsidRPr="000B5D1B">
        <w:rPr>
          <w:rFonts w:cs="Arial"/>
          <w:szCs w:val="20"/>
        </w:rPr>
        <w:t>trade, transportation, and accommodation and food service activities +2.3 percentage point</w:t>
      </w:r>
      <w:r w:rsidR="00C16DDE" w:rsidRPr="000B5D1B">
        <w:rPr>
          <w:rFonts w:cs="Arial"/>
          <w:szCs w:val="20"/>
        </w:rPr>
        <w:t>s</w:t>
      </w:r>
      <w:r w:rsidR="00530923" w:rsidRPr="000B5D1B">
        <w:rPr>
          <w:rFonts w:cs="Arial"/>
          <w:szCs w:val="20"/>
        </w:rPr>
        <w:t xml:space="preserve"> (p. p.; 14.1%</w:t>
      </w:r>
      <w:r w:rsidR="005A5FDC">
        <w:rPr>
          <w:rFonts w:cs="Arial"/>
          <w:szCs w:val="20"/>
        </w:rPr>
        <w:t xml:space="preserve"> </w:t>
      </w:r>
      <w:r w:rsidR="005A5FDC" w:rsidRPr="000B5D1B">
        <w:rPr>
          <w:rFonts w:cs="Arial"/>
          <w:szCs w:val="20"/>
        </w:rPr>
        <w:t>growth</w:t>
      </w:r>
      <w:r w:rsidR="00530923" w:rsidRPr="000B5D1B">
        <w:rPr>
          <w:rFonts w:cs="Arial"/>
          <w:szCs w:val="20"/>
        </w:rPr>
        <w:t>),</w:t>
      </w:r>
      <w:r w:rsidR="00C16DDE" w:rsidRPr="000B5D1B">
        <w:rPr>
          <w:rFonts w:cs="Arial"/>
          <w:szCs w:val="20"/>
        </w:rPr>
        <w:t xml:space="preserve"> </w:t>
      </w:r>
      <w:r w:rsidR="00E15CAE">
        <w:t xml:space="preserve">construction +0,6 p. p. (+9,6 %), </w:t>
      </w:r>
      <w:r w:rsidR="00A351E9" w:rsidRPr="000B5D1B">
        <w:t>real estate activities +0.4 p. p. (+3.6%), and</w:t>
      </w:r>
      <w:r w:rsidR="00530923" w:rsidRPr="000B5D1B">
        <w:rPr>
          <w:rFonts w:cs="Arial"/>
          <w:szCs w:val="20"/>
        </w:rPr>
        <w:t xml:space="preserve"> </w:t>
      </w:r>
      <w:r w:rsidR="00105376" w:rsidRPr="000B5D1B">
        <w:rPr>
          <w:rFonts w:cs="Arial"/>
          <w:szCs w:val="20"/>
        </w:rPr>
        <w:t>a group of economic activities of public administration, education, and human health and social work activities +0.4 p. p. (+2.3%). Manufacturing had a negative influence</w:t>
      </w:r>
      <w:r w:rsidR="002E71BB">
        <w:rPr>
          <w:rFonts w:cs="Arial"/>
          <w:szCs w:val="20"/>
        </w:rPr>
        <w:t xml:space="preserve"> of</w:t>
      </w:r>
      <w:r w:rsidR="00105376" w:rsidRPr="000B5D1B">
        <w:rPr>
          <w:rFonts w:cs="Arial"/>
          <w:szCs w:val="20"/>
        </w:rPr>
        <w:t xml:space="preserve"> </w:t>
      </w:r>
      <w:r w:rsidR="00105376" w:rsidRPr="000B5D1B">
        <w:t xml:space="preserve">-0.2 p. p. </w:t>
      </w:r>
      <w:r w:rsidR="005A5FDC">
        <w:br/>
      </w:r>
      <w:r w:rsidR="00105376" w:rsidRPr="000B5D1B">
        <w:t>(-0.7%).</w:t>
      </w:r>
      <w:r w:rsidR="00105376" w:rsidRPr="000B5D1B">
        <w:rPr>
          <w:rFonts w:cs="Arial"/>
          <w:szCs w:val="20"/>
        </w:rPr>
        <w:t xml:space="preserve"> </w:t>
      </w:r>
    </w:p>
    <w:p w:rsidR="009C0173" w:rsidRPr="000B5D1B" w:rsidRDefault="009C0173" w:rsidP="009C0173">
      <w:pPr>
        <w:autoSpaceDE w:val="0"/>
        <w:autoSpaceDN w:val="0"/>
        <w:adjustRightInd w:val="0"/>
        <w:rPr>
          <w:rFonts w:cs="Arial"/>
          <w:szCs w:val="20"/>
        </w:rPr>
      </w:pPr>
    </w:p>
    <w:p w:rsidR="00F636DD" w:rsidRPr="000B5D1B" w:rsidRDefault="009C0173" w:rsidP="009C0173">
      <w:r w:rsidRPr="000B5D1B">
        <w:rPr>
          <w:rFonts w:cs="Arial"/>
          <w:b/>
          <w:szCs w:val="20"/>
        </w:rPr>
        <w:t>On the demand side</w:t>
      </w:r>
      <w:r w:rsidRPr="000B5D1B">
        <w:rPr>
          <w:rFonts w:cs="Arial"/>
          <w:szCs w:val="20"/>
        </w:rPr>
        <w:t xml:space="preserve">, </w:t>
      </w:r>
      <w:r w:rsidR="009823C4" w:rsidRPr="000B5D1B">
        <w:rPr>
          <w:rFonts w:cs="Arial"/>
          <w:szCs w:val="20"/>
        </w:rPr>
        <w:t>increasing expenditure on the gross fixed capital formation and external demand were the main factors of the q-o-q GDP growth in the Q1 2022.</w:t>
      </w:r>
      <w:r w:rsidR="00F636DD" w:rsidRPr="000B5D1B">
        <w:rPr>
          <w:rFonts w:cs="Arial"/>
          <w:szCs w:val="20"/>
        </w:rPr>
        <w:t xml:space="preserve"> T</w:t>
      </w:r>
      <w:r w:rsidRPr="000B5D1B">
        <w:rPr>
          <w:rFonts w:cs="Arial"/>
          <w:szCs w:val="20"/>
        </w:rPr>
        <w:t xml:space="preserve">he y-o-y </w:t>
      </w:r>
      <w:r w:rsidR="00F636DD" w:rsidRPr="000B5D1B">
        <w:rPr>
          <w:rFonts w:cs="Arial"/>
          <w:szCs w:val="20"/>
        </w:rPr>
        <w:t>in</w:t>
      </w:r>
      <w:r w:rsidR="005A5FDC">
        <w:rPr>
          <w:rFonts w:cs="Arial"/>
          <w:szCs w:val="20"/>
        </w:rPr>
        <w:t>crease of </w:t>
      </w:r>
      <w:r w:rsidRPr="000B5D1B">
        <w:rPr>
          <w:rFonts w:cs="Arial"/>
          <w:szCs w:val="20"/>
        </w:rPr>
        <w:t>GDP</w:t>
      </w:r>
      <w:r w:rsidR="00F636DD" w:rsidRPr="000B5D1B">
        <w:rPr>
          <w:rFonts w:cs="Arial"/>
          <w:szCs w:val="20"/>
        </w:rPr>
        <w:t xml:space="preserve"> (+4.8%)</w:t>
      </w:r>
      <w:r w:rsidRPr="000B5D1B">
        <w:rPr>
          <w:rFonts w:cs="Arial"/>
          <w:szCs w:val="20"/>
        </w:rPr>
        <w:t xml:space="preserve"> was</w:t>
      </w:r>
      <w:r w:rsidR="00F636DD" w:rsidRPr="000B5D1B">
        <w:rPr>
          <w:rFonts w:cs="Arial"/>
          <w:szCs w:val="20"/>
        </w:rPr>
        <w:t xml:space="preserve"> mainly</w:t>
      </w:r>
      <w:r w:rsidRPr="000B5D1B">
        <w:rPr>
          <w:rFonts w:cs="Arial"/>
          <w:szCs w:val="20"/>
        </w:rPr>
        <w:t xml:space="preserve"> influenced by expenditure on final consumption of households</w:t>
      </w:r>
      <w:r w:rsidR="005A5FDC">
        <w:rPr>
          <w:rFonts w:cs="Arial"/>
          <w:szCs w:val="20"/>
        </w:rPr>
        <w:t xml:space="preserve"> +3.4 </w:t>
      </w:r>
      <w:r w:rsidR="00F636DD" w:rsidRPr="000B5D1B">
        <w:t>p. p.</w:t>
      </w:r>
      <w:r w:rsidR="00F636DD" w:rsidRPr="000B5D1B">
        <w:rPr>
          <w:rStyle w:val="Znakapoznpodarou"/>
          <w:rFonts w:cs="Arial"/>
          <w:szCs w:val="20"/>
        </w:rPr>
        <w:footnoteReference w:id="2"/>
      </w:r>
      <w:r w:rsidR="00F636DD" w:rsidRPr="000B5D1B">
        <w:t>,</w:t>
      </w:r>
      <w:r w:rsidR="00D14C8C" w:rsidRPr="000B5D1B">
        <w:t xml:space="preserve"> investment expenditure +1.6 p. p., and </w:t>
      </w:r>
      <w:r w:rsidR="00D14C8C" w:rsidRPr="000B5D1B">
        <w:rPr>
          <w:rFonts w:cs="Arial"/>
          <w:szCs w:val="20"/>
        </w:rPr>
        <w:t xml:space="preserve">change in inventories +1.5 p. p., whereas external demand had a negative influence </w:t>
      </w:r>
      <w:r w:rsidR="00D14C8C" w:rsidRPr="000B5D1B">
        <w:t xml:space="preserve">(-2.0 p. p.). </w:t>
      </w:r>
    </w:p>
    <w:p w:rsidR="003C04F2" w:rsidRPr="000B5D1B" w:rsidRDefault="003C04F2" w:rsidP="009C0173"/>
    <w:p w:rsidR="009C0173" w:rsidRPr="000B5D1B" w:rsidRDefault="00424A3F" w:rsidP="009C0173">
      <w:pPr>
        <w:rPr>
          <w:rFonts w:cs="Arial"/>
          <w:i/>
          <w:szCs w:val="20"/>
        </w:rPr>
      </w:pPr>
      <w:r w:rsidRPr="000B5D1B">
        <w:rPr>
          <w:rFonts w:cs="Arial"/>
          <w:i/>
          <w:szCs w:val="20"/>
        </w:rPr>
        <w:t>“</w:t>
      </w:r>
      <w:r w:rsidR="003C6A7F">
        <w:rPr>
          <w:rFonts w:cs="Arial"/>
          <w:i/>
          <w:szCs w:val="20"/>
        </w:rPr>
        <w:t>The d</w:t>
      </w:r>
      <w:r w:rsidRPr="000B5D1B">
        <w:rPr>
          <w:rFonts w:cs="Arial"/>
          <w:i/>
          <w:szCs w:val="20"/>
        </w:rPr>
        <w:t xml:space="preserve">ifferent structure of contributions to the GDP growth in the year-on-year and quarter-on-quarter comparison is caused by several important factors. The comparison basis of the previous </w:t>
      </w:r>
      <w:r w:rsidRPr="000B5D1B">
        <w:rPr>
          <w:rFonts w:cs="Arial"/>
          <w:i/>
          <w:szCs w:val="20"/>
        </w:rPr>
        <w:lastRenderedPageBreak/>
        <w:t>year has</w:t>
      </w:r>
      <w:r w:rsidR="00F51D99">
        <w:rPr>
          <w:rFonts w:cs="Arial"/>
          <w:i/>
          <w:szCs w:val="20"/>
        </w:rPr>
        <w:t xml:space="preserve"> still</w:t>
      </w:r>
      <w:r w:rsidRPr="000B5D1B">
        <w:rPr>
          <w:rFonts w:cs="Arial"/>
          <w:i/>
          <w:szCs w:val="20"/>
        </w:rPr>
        <w:t xml:space="preserve"> been influenced to a great extent by anti-epidemic measures and a lack of components especially for industry. This year, household expenditure already started to reflect the increasing price level and reduction of their expenditure mainly to durables,” </w:t>
      </w:r>
      <w:r w:rsidRPr="000B5D1B">
        <w:t xml:space="preserve">Vladimír Kermiet, Director of the National Accounts Department of the Czech Statistical Office (CZSO) comments on the </w:t>
      </w:r>
      <w:r w:rsidR="000A0FDE" w:rsidRPr="000B5D1B">
        <w:t>data</w:t>
      </w:r>
      <w:r w:rsidRPr="000B5D1B">
        <w:t xml:space="preserve">.  </w:t>
      </w:r>
    </w:p>
    <w:p w:rsidR="00424A3F" w:rsidRPr="000B5D1B" w:rsidRDefault="00424A3F" w:rsidP="009C0173">
      <w:pPr>
        <w:rPr>
          <w:rFonts w:cs="Arial"/>
          <w:szCs w:val="20"/>
        </w:rPr>
      </w:pPr>
    </w:p>
    <w:p w:rsidR="009C0173" w:rsidRPr="000B5D1B" w:rsidRDefault="009C0173" w:rsidP="009C0173">
      <w:pPr>
        <w:rPr>
          <w:rFonts w:cs="Arial"/>
          <w:szCs w:val="20"/>
        </w:rPr>
      </w:pPr>
      <w:r w:rsidRPr="000B5D1B">
        <w:rPr>
          <w:rFonts w:cs="Arial"/>
          <w:b/>
          <w:szCs w:val="20"/>
        </w:rPr>
        <w:t xml:space="preserve">Final consumption expenditure </w:t>
      </w:r>
      <w:r w:rsidRPr="000B5D1B">
        <w:rPr>
          <w:rFonts w:cs="Arial"/>
          <w:szCs w:val="20"/>
        </w:rPr>
        <w:t>decreased</w:t>
      </w:r>
      <w:r w:rsidR="00E11937" w:rsidRPr="000B5D1B">
        <w:rPr>
          <w:rFonts w:cs="Arial"/>
          <w:szCs w:val="20"/>
        </w:rPr>
        <w:t xml:space="preserve"> by 0.8</w:t>
      </w:r>
      <w:r w:rsidRPr="000B5D1B">
        <w:rPr>
          <w:rFonts w:cs="Arial"/>
          <w:szCs w:val="20"/>
        </w:rPr>
        <w:t>%, q-o-q, and</w:t>
      </w:r>
      <w:r w:rsidR="00E11937" w:rsidRPr="000B5D1B">
        <w:rPr>
          <w:rFonts w:cs="Arial"/>
          <w:szCs w:val="20"/>
        </w:rPr>
        <w:t xml:space="preserve"> increased by 6.2</w:t>
      </w:r>
      <w:r w:rsidRPr="000B5D1B">
        <w:rPr>
          <w:rFonts w:cs="Arial"/>
          <w:szCs w:val="20"/>
        </w:rPr>
        <w:t>%, y-o-</w:t>
      </w:r>
      <w:r w:rsidR="005A5FDC">
        <w:rPr>
          <w:rFonts w:cs="Arial"/>
          <w:szCs w:val="20"/>
        </w:rPr>
        <w:t>y. Of </w:t>
      </w:r>
      <w:r w:rsidRPr="000B5D1B">
        <w:rPr>
          <w:rFonts w:cs="Arial"/>
          <w:szCs w:val="20"/>
        </w:rPr>
        <w:t xml:space="preserve">that, final consumption expenditure of </w:t>
      </w:r>
      <w:r w:rsidRPr="000B5D1B">
        <w:rPr>
          <w:rFonts w:cs="Arial"/>
          <w:b/>
          <w:szCs w:val="20"/>
        </w:rPr>
        <w:t>households</w:t>
      </w:r>
      <w:r w:rsidRPr="000B5D1B">
        <w:rPr>
          <w:rFonts w:cs="Arial"/>
          <w:szCs w:val="20"/>
        </w:rPr>
        <w:t xml:space="preserve"> decreased by </w:t>
      </w:r>
      <w:r w:rsidR="00E11937" w:rsidRPr="000B5D1B">
        <w:rPr>
          <w:rFonts w:cs="Arial"/>
          <w:szCs w:val="20"/>
        </w:rPr>
        <w:t>1.0</w:t>
      </w:r>
      <w:r w:rsidRPr="000B5D1B">
        <w:rPr>
          <w:rFonts w:cs="Arial"/>
          <w:szCs w:val="20"/>
        </w:rPr>
        <w:t>%</w:t>
      </w:r>
      <w:r w:rsidR="00CC062D" w:rsidRPr="000B5D1B">
        <w:rPr>
          <w:rFonts w:cs="Arial"/>
          <w:szCs w:val="20"/>
        </w:rPr>
        <w:t xml:space="preserve">, q-o-q. The decrease occurred mainly at expenditure on purchase of durables. In the y-o-y comparison, final consumption expenditure of households increased by 8.5%. </w:t>
      </w:r>
      <w:r w:rsidRPr="000B5D1B">
        <w:rPr>
          <w:rFonts w:cs="Arial"/>
          <w:szCs w:val="20"/>
        </w:rPr>
        <w:t>Final consumption expenditure of</w:t>
      </w:r>
      <w:r w:rsidR="005A5FDC">
        <w:rPr>
          <w:rFonts w:cs="Arial"/>
          <w:b/>
          <w:szCs w:val="20"/>
        </w:rPr>
        <w:t> </w:t>
      </w:r>
      <w:r w:rsidRPr="000B5D1B">
        <w:rPr>
          <w:rFonts w:cs="Arial"/>
          <w:b/>
          <w:szCs w:val="20"/>
        </w:rPr>
        <w:t xml:space="preserve">general government </w:t>
      </w:r>
      <w:r w:rsidRPr="000B5D1B">
        <w:rPr>
          <w:rFonts w:cs="Arial"/>
          <w:szCs w:val="20"/>
        </w:rPr>
        <w:t xml:space="preserve">was </w:t>
      </w:r>
      <w:r w:rsidR="00CC062D" w:rsidRPr="000B5D1B">
        <w:rPr>
          <w:rFonts w:cs="Arial"/>
          <w:szCs w:val="20"/>
        </w:rPr>
        <w:t>0</w:t>
      </w:r>
      <w:r w:rsidRPr="000B5D1B">
        <w:rPr>
          <w:rFonts w:cs="Arial"/>
          <w:szCs w:val="20"/>
        </w:rPr>
        <w:t>.</w:t>
      </w:r>
      <w:r w:rsidR="00CC062D" w:rsidRPr="000B5D1B">
        <w:rPr>
          <w:rFonts w:cs="Arial"/>
          <w:szCs w:val="20"/>
        </w:rPr>
        <w:t>2</w:t>
      </w:r>
      <w:r w:rsidRPr="000B5D1B">
        <w:rPr>
          <w:rFonts w:cs="Arial"/>
          <w:szCs w:val="20"/>
        </w:rPr>
        <w:t xml:space="preserve">% down, q-o-q, and </w:t>
      </w:r>
      <w:r w:rsidR="00CC062D" w:rsidRPr="000B5D1B">
        <w:rPr>
          <w:rFonts w:cs="Arial"/>
          <w:szCs w:val="20"/>
        </w:rPr>
        <w:t>2.0</w:t>
      </w:r>
      <w:r w:rsidRPr="000B5D1B">
        <w:rPr>
          <w:rFonts w:cs="Arial"/>
          <w:szCs w:val="20"/>
        </w:rPr>
        <w:t xml:space="preserve">% up, y-o-y. </w:t>
      </w:r>
    </w:p>
    <w:p w:rsidR="009C0173" w:rsidRPr="000B5D1B" w:rsidRDefault="009C0173" w:rsidP="009C0173">
      <w:pPr>
        <w:spacing w:line="266" w:lineRule="auto"/>
        <w:rPr>
          <w:rFonts w:cs="Arial"/>
          <w:szCs w:val="20"/>
        </w:rPr>
      </w:pPr>
      <w:r w:rsidRPr="000B5D1B">
        <w:rPr>
          <w:rFonts w:cs="Arial"/>
          <w:szCs w:val="20"/>
        </w:rPr>
        <w:t xml:space="preserve"> </w:t>
      </w:r>
    </w:p>
    <w:p w:rsidR="009C0173" w:rsidRPr="000B5D1B" w:rsidRDefault="009C0173" w:rsidP="009C0173">
      <w:pPr>
        <w:rPr>
          <w:rFonts w:cs="Arial"/>
          <w:szCs w:val="20"/>
        </w:rPr>
      </w:pPr>
      <w:r w:rsidRPr="000B5D1B">
        <w:rPr>
          <w:rFonts w:cs="Arial"/>
          <w:b/>
          <w:szCs w:val="20"/>
        </w:rPr>
        <w:t xml:space="preserve">Gross fixed capital formation </w:t>
      </w:r>
      <w:r w:rsidR="003A1196" w:rsidRPr="000B5D1B">
        <w:rPr>
          <w:rFonts w:cs="Arial"/>
          <w:szCs w:val="20"/>
        </w:rPr>
        <w:t>increased by 4.5</w:t>
      </w:r>
      <w:r w:rsidRPr="000B5D1B">
        <w:rPr>
          <w:rFonts w:cs="Arial"/>
          <w:szCs w:val="20"/>
        </w:rPr>
        <w:t>%, q-o-q. In the</w:t>
      </w:r>
      <w:r w:rsidR="003A1196" w:rsidRPr="000B5D1B">
        <w:rPr>
          <w:rFonts w:cs="Arial"/>
          <w:szCs w:val="20"/>
        </w:rPr>
        <w:t xml:space="preserve"> y-o-y comparison it increased by 7.4</w:t>
      </w:r>
      <w:r w:rsidRPr="000B5D1B">
        <w:rPr>
          <w:rFonts w:cs="Arial"/>
          <w:szCs w:val="20"/>
        </w:rPr>
        <w:t>%.</w:t>
      </w:r>
      <w:r w:rsidR="002C0BD1" w:rsidRPr="000B5D1B">
        <w:rPr>
          <w:rFonts w:cs="Arial"/>
          <w:szCs w:val="20"/>
        </w:rPr>
        <w:t xml:space="preserve"> Increasing were mainly </w:t>
      </w:r>
      <w:r w:rsidR="002C0BD1" w:rsidRPr="000B5D1B">
        <w:t xml:space="preserve">investments in dwellings, </w:t>
      </w:r>
      <w:r w:rsidR="008B2F74" w:rsidRPr="000B5D1B">
        <w:t xml:space="preserve">other buildings and structures, and </w:t>
      </w:r>
      <w:r w:rsidRPr="000B5D1B">
        <w:rPr>
          <w:rFonts w:cs="Arial"/>
          <w:szCs w:val="20"/>
        </w:rPr>
        <w:t>transport equipment.</w:t>
      </w:r>
    </w:p>
    <w:p w:rsidR="009C0173" w:rsidRPr="000B5D1B" w:rsidRDefault="009C0173" w:rsidP="009C0173"/>
    <w:p w:rsidR="009C0173" w:rsidRPr="000B5D1B" w:rsidRDefault="009C0173" w:rsidP="009C0173">
      <w:pPr>
        <w:rPr>
          <w:rFonts w:cs="Arial"/>
          <w:szCs w:val="20"/>
        </w:rPr>
      </w:pPr>
      <w:r w:rsidRPr="000B5D1B">
        <w:rPr>
          <w:rFonts w:cs="Arial"/>
          <w:szCs w:val="20"/>
        </w:rPr>
        <w:t>The</w:t>
      </w:r>
      <w:r w:rsidRPr="000B5D1B">
        <w:rPr>
          <w:rFonts w:cs="Arial"/>
          <w:b/>
          <w:szCs w:val="20"/>
        </w:rPr>
        <w:t xml:space="preserve"> international trade balance</w:t>
      </w:r>
      <w:r w:rsidR="005A387F" w:rsidRPr="000B5D1B">
        <w:rPr>
          <w:rFonts w:cs="Arial"/>
          <w:b/>
          <w:szCs w:val="20"/>
        </w:rPr>
        <w:t xml:space="preserve"> </w:t>
      </w:r>
      <w:r w:rsidR="005B6816" w:rsidRPr="000B5D1B">
        <w:rPr>
          <w:rFonts w:cs="Arial"/>
          <w:b/>
          <w:szCs w:val="20"/>
        </w:rPr>
        <w:t>of</w:t>
      </w:r>
      <w:r w:rsidR="005A387F" w:rsidRPr="000B5D1B">
        <w:rPr>
          <w:rFonts w:cs="Arial"/>
          <w:b/>
          <w:szCs w:val="20"/>
        </w:rPr>
        <w:t xml:space="preserve"> goods and services</w:t>
      </w:r>
      <w:r w:rsidRPr="000B5D1B">
        <w:rPr>
          <w:rFonts w:cs="Arial"/>
          <w:b/>
          <w:szCs w:val="20"/>
        </w:rPr>
        <w:t xml:space="preserve"> </w:t>
      </w:r>
      <w:r w:rsidRPr="000B5D1B">
        <w:rPr>
          <w:rFonts w:cs="Arial"/>
          <w:szCs w:val="20"/>
        </w:rPr>
        <w:t xml:space="preserve">at current prices </w:t>
      </w:r>
      <w:r w:rsidR="00236809" w:rsidRPr="000B5D1B">
        <w:rPr>
          <w:rFonts w:cs="Arial"/>
          <w:szCs w:val="20"/>
        </w:rPr>
        <w:t>amounted to CZK 10.7 billion; thus it was by CZK 86.2 billion lower than in the corresponding period of the previous year. Exports in</w:t>
      </w:r>
      <w:r w:rsidRPr="000B5D1B">
        <w:rPr>
          <w:rFonts w:cs="Arial"/>
          <w:szCs w:val="20"/>
        </w:rPr>
        <w:t>creased</w:t>
      </w:r>
      <w:r w:rsidR="004B473A" w:rsidRPr="000B5D1B">
        <w:rPr>
          <w:rFonts w:cs="Arial"/>
          <w:szCs w:val="20"/>
        </w:rPr>
        <w:t xml:space="preserve"> in real terms</w:t>
      </w:r>
      <w:r w:rsidRPr="000B5D1B">
        <w:rPr>
          <w:rFonts w:cs="Arial"/>
          <w:szCs w:val="20"/>
        </w:rPr>
        <w:t xml:space="preserve"> by </w:t>
      </w:r>
      <w:r w:rsidR="00236809" w:rsidRPr="000B5D1B">
        <w:rPr>
          <w:rFonts w:cs="Arial"/>
          <w:szCs w:val="20"/>
        </w:rPr>
        <w:t>3</w:t>
      </w:r>
      <w:r w:rsidRPr="000B5D1B">
        <w:rPr>
          <w:rFonts w:cs="Arial"/>
          <w:szCs w:val="20"/>
        </w:rPr>
        <w:t>.</w:t>
      </w:r>
      <w:r w:rsidR="00236809" w:rsidRPr="000B5D1B">
        <w:rPr>
          <w:rFonts w:cs="Arial"/>
          <w:szCs w:val="20"/>
        </w:rPr>
        <w:t>0</w:t>
      </w:r>
      <w:r w:rsidR="004B473A" w:rsidRPr="000B5D1B">
        <w:rPr>
          <w:rFonts w:cs="Arial"/>
          <w:szCs w:val="20"/>
        </w:rPr>
        <w:t>%, q-o-q. I</w:t>
      </w:r>
      <w:r w:rsidRPr="000B5D1B">
        <w:rPr>
          <w:rFonts w:cs="Arial"/>
          <w:szCs w:val="20"/>
        </w:rPr>
        <w:t>n the y</w:t>
      </w:r>
      <w:r w:rsidRPr="000B5D1B">
        <w:rPr>
          <w:rFonts w:cs="Arial"/>
          <w:szCs w:val="20"/>
        </w:rPr>
        <w:noBreakHyphen/>
        <w:t>o-y c</w:t>
      </w:r>
      <w:r w:rsidR="004B473A" w:rsidRPr="000B5D1B">
        <w:rPr>
          <w:rFonts w:cs="Arial"/>
          <w:szCs w:val="20"/>
        </w:rPr>
        <w:t>omparison, it de</w:t>
      </w:r>
      <w:r w:rsidRPr="000B5D1B">
        <w:rPr>
          <w:rFonts w:cs="Arial"/>
          <w:szCs w:val="20"/>
        </w:rPr>
        <w:t xml:space="preserve">creased by </w:t>
      </w:r>
      <w:r w:rsidR="004B473A" w:rsidRPr="000B5D1B">
        <w:rPr>
          <w:rFonts w:cs="Arial"/>
          <w:szCs w:val="20"/>
        </w:rPr>
        <w:t>0</w:t>
      </w:r>
      <w:r w:rsidR="009B2B43" w:rsidRPr="000B5D1B">
        <w:rPr>
          <w:rFonts w:cs="Arial"/>
          <w:szCs w:val="20"/>
        </w:rPr>
        <w:t>.</w:t>
      </w:r>
      <w:r w:rsidR="004B473A" w:rsidRPr="000B5D1B">
        <w:rPr>
          <w:rFonts w:cs="Arial"/>
          <w:szCs w:val="20"/>
        </w:rPr>
        <w:t>1</w:t>
      </w:r>
      <w:r w:rsidR="009B2B43" w:rsidRPr="000B5D1B">
        <w:rPr>
          <w:rFonts w:cs="Arial"/>
          <w:szCs w:val="20"/>
        </w:rPr>
        <w:t xml:space="preserve">%, while the development was influenced the most by a decrease in exports of motor vehicles. </w:t>
      </w:r>
      <w:r w:rsidR="0056031B" w:rsidRPr="000B5D1B">
        <w:rPr>
          <w:rFonts w:cs="Arial"/>
          <w:szCs w:val="20"/>
        </w:rPr>
        <w:t xml:space="preserve">Imports </w:t>
      </w:r>
      <w:r w:rsidR="00923D6C" w:rsidRPr="000B5D1B">
        <w:rPr>
          <w:rFonts w:cs="Arial"/>
          <w:szCs w:val="20"/>
        </w:rPr>
        <w:t>increased by 2.3</w:t>
      </w:r>
      <w:r w:rsidRPr="000B5D1B">
        <w:rPr>
          <w:rFonts w:cs="Arial"/>
          <w:szCs w:val="20"/>
        </w:rPr>
        <w:t>%, q-o-q; in the y-o-y comparison it increased by </w:t>
      </w:r>
      <w:r w:rsidR="00923D6C" w:rsidRPr="000B5D1B">
        <w:rPr>
          <w:rFonts w:cs="Arial"/>
          <w:szCs w:val="20"/>
        </w:rPr>
        <w:t>3.7%</w:t>
      </w:r>
      <w:r w:rsidR="00BA3E4C" w:rsidRPr="000B5D1B">
        <w:rPr>
          <w:rFonts w:cs="Arial"/>
          <w:szCs w:val="20"/>
        </w:rPr>
        <w:t xml:space="preserve">, mainly owing to an increase of imports of </w:t>
      </w:r>
      <w:r w:rsidR="00BA3E4C" w:rsidRPr="000B5D1B">
        <w:t xml:space="preserve">fabricated metal products and </w:t>
      </w:r>
      <w:r w:rsidRPr="000B5D1B">
        <w:rPr>
          <w:rFonts w:cs="Arial"/>
          <w:szCs w:val="20"/>
        </w:rPr>
        <w:t>electrical equipment</w:t>
      </w:r>
      <w:r w:rsidR="00BA3E4C" w:rsidRPr="000B5D1B">
        <w:rPr>
          <w:rFonts w:cs="Arial"/>
          <w:szCs w:val="20"/>
        </w:rPr>
        <w:t xml:space="preserve">. On the contrary, imports of cars </w:t>
      </w:r>
      <w:r w:rsidRPr="000B5D1B">
        <w:rPr>
          <w:rFonts w:cs="Arial"/>
          <w:szCs w:val="20"/>
        </w:rPr>
        <w:t>and sub</w:t>
      </w:r>
      <w:r w:rsidRPr="000B5D1B">
        <w:rPr>
          <w:rFonts w:cs="Arial"/>
          <w:szCs w:val="20"/>
        </w:rPr>
        <w:noBreakHyphen/>
        <w:t>deliver</w:t>
      </w:r>
      <w:r w:rsidR="00BA3E4C" w:rsidRPr="000B5D1B">
        <w:rPr>
          <w:rFonts w:cs="Arial"/>
          <w:szCs w:val="20"/>
        </w:rPr>
        <w:t xml:space="preserve">ies for the automotive industry were decreasing. </w:t>
      </w:r>
      <w:r w:rsidRPr="000B5D1B">
        <w:rPr>
          <w:rFonts w:cs="Arial"/>
          <w:szCs w:val="20"/>
        </w:rPr>
        <w:t xml:space="preserve">  </w:t>
      </w:r>
    </w:p>
    <w:p w:rsidR="005B6816" w:rsidRPr="000B5D1B" w:rsidRDefault="005B6816" w:rsidP="009C0173">
      <w:pPr>
        <w:rPr>
          <w:rFonts w:cs="Arial"/>
          <w:szCs w:val="20"/>
        </w:rPr>
      </w:pPr>
    </w:p>
    <w:p w:rsidR="005B6816" w:rsidRPr="000B5D1B" w:rsidRDefault="00042598" w:rsidP="005B6816">
      <w:pPr>
        <w:spacing w:before="240" w:after="240"/>
        <w:rPr>
          <w:rFonts w:cs="Arial"/>
          <w:szCs w:val="20"/>
        </w:rPr>
      </w:pPr>
      <w:r>
        <w:rPr>
          <w:noProof/>
          <w:lang w:val="cs-CZ" w:eastAsia="cs-CZ"/>
        </w:rPr>
        <w:drawing>
          <wp:inline distT="0" distB="0" distL="0" distR="0" wp14:anchorId="48C461D3" wp14:editId="05E6E7C2">
            <wp:extent cx="5381623" cy="3291050"/>
            <wp:effectExtent l="0" t="0" r="0" b="508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Start w:id="0" w:name="_GoBack"/>
      <w:bookmarkEnd w:id="0"/>
    </w:p>
    <w:p w:rsidR="005B6816" w:rsidRPr="000B5D1B" w:rsidRDefault="005B6816" w:rsidP="009C0173">
      <w:pPr>
        <w:rPr>
          <w:rFonts w:cs="Arial"/>
          <w:szCs w:val="20"/>
        </w:rPr>
      </w:pPr>
    </w:p>
    <w:p w:rsidR="009C0173" w:rsidRPr="000B5D1B" w:rsidRDefault="009C0173" w:rsidP="009C0173">
      <w:pPr>
        <w:rPr>
          <w:rFonts w:cs="Arial"/>
          <w:szCs w:val="20"/>
        </w:rPr>
      </w:pPr>
    </w:p>
    <w:p w:rsidR="009C0173" w:rsidRPr="000B5D1B" w:rsidRDefault="009C0173" w:rsidP="009C0173">
      <w:pPr>
        <w:rPr>
          <w:rFonts w:cs="Arial"/>
          <w:szCs w:val="20"/>
        </w:rPr>
      </w:pPr>
      <w:r w:rsidRPr="000B5D1B">
        <w:rPr>
          <w:rFonts w:cs="Arial"/>
          <w:szCs w:val="20"/>
        </w:rPr>
        <w:t xml:space="preserve">As for the price development in the Q1 </w:t>
      </w:r>
      <w:r w:rsidR="00737148" w:rsidRPr="000B5D1B">
        <w:rPr>
          <w:rFonts w:cs="Arial"/>
          <w:szCs w:val="20"/>
        </w:rPr>
        <w:t>2022</w:t>
      </w:r>
      <w:r w:rsidRPr="000B5D1B">
        <w:rPr>
          <w:rFonts w:cs="Arial"/>
          <w:szCs w:val="20"/>
        </w:rPr>
        <w:t xml:space="preserve">, the total GDP deflator </w:t>
      </w:r>
      <w:r w:rsidR="00F92483" w:rsidRPr="000B5D1B">
        <w:rPr>
          <w:rFonts w:cs="Arial"/>
          <w:szCs w:val="20"/>
        </w:rPr>
        <w:t>increased by</w:t>
      </w:r>
      <w:r w:rsidRPr="000B5D1B">
        <w:rPr>
          <w:rFonts w:cs="Arial"/>
          <w:szCs w:val="20"/>
        </w:rPr>
        <w:t xml:space="preserve"> </w:t>
      </w:r>
      <w:r w:rsidR="00F92483" w:rsidRPr="000B5D1B">
        <w:rPr>
          <w:rFonts w:cs="Arial"/>
          <w:szCs w:val="20"/>
        </w:rPr>
        <w:t xml:space="preserve">5.8%, y-o-y, the most since the year 2002. </w:t>
      </w:r>
    </w:p>
    <w:p w:rsidR="009C0173" w:rsidRPr="000B5D1B" w:rsidRDefault="009C0173" w:rsidP="009C0173">
      <w:pPr>
        <w:rPr>
          <w:rFonts w:cs="Arial"/>
          <w:szCs w:val="20"/>
        </w:rPr>
      </w:pPr>
    </w:p>
    <w:p w:rsidR="009C0173" w:rsidRPr="000B5D1B" w:rsidRDefault="009C0173" w:rsidP="009C0173">
      <w:r w:rsidRPr="000B5D1B">
        <w:rPr>
          <w:rFonts w:cs="Arial"/>
          <w:szCs w:val="20"/>
        </w:rPr>
        <w:t>The </w:t>
      </w:r>
      <w:r w:rsidRPr="000B5D1B">
        <w:rPr>
          <w:rFonts w:cs="Arial"/>
          <w:b/>
          <w:szCs w:val="20"/>
        </w:rPr>
        <w:t>total employment</w:t>
      </w:r>
      <w:r w:rsidR="00E55FD2" w:rsidRPr="000B5D1B">
        <w:rPr>
          <w:rStyle w:val="Znakapoznpodarou"/>
          <w:rFonts w:cs="Arial"/>
          <w:szCs w:val="20"/>
        </w:rPr>
        <w:footnoteReference w:id="3"/>
      </w:r>
      <w:r w:rsidR="00E55FD2" w:rsidRPr="000B5D1B">
        <w:rPr>
          <w:rFonts w:cs="Arial"/>
          <w:szCs w:val="20"/>
        </w:rPr>
        <w:t xml:space="preserve"> </w:t>
      </w:r>
      <w:r w:rsidRPr="000B5D1B">
        <w:rPr>
          <w:rFonts w:cs="Arial"/>
          <w:szCs w:val="20"/>
        </w:rPr>
        <w:t xml:space="preserve"> </w:t>
      </w:r>
      <w:r w:rsidR="008307DB" w:rsidRPr="000B5D1B">
        <w:rPr>
          <w:rFonts w:cs="Arial"/>
          <w:szCs w:val="20"/>
        </w:rPr>
        <w:t>increased by 0.4</w:t>
      </w:r>
      <w:r w:rsidRPr="000B5D1B">
        <w:rPr>
          <w:rFonts w:cs="Arial"/>
          <w:szCs w:val="20"/>
        </w:rPr>
        <w:t>%, q-o-</w:t>
      </w:r>
      <w:r w:rsidR="008307DB" w:rsidRPr="000B5D1B">
        <w:rPr>
          <w:rFonts w:cs="Arial"/>
          <w:szCs w:val="20"/>
        </w:rPr>
        <w:t>q; in the y-o-y comparison</w:t>
      </w:r>
      <w:r w:rsidR="00306152" w:rsidRPr="000B5D1B">
        <w:rPr>
          <w:rFonts w:cs="Arial"/>
          <w:szCs w:val="20"/>
        </w:rPr>
        <w:t>,</w:t>
      </w:r>
      <w:r w:rsidR="008307DB" w:rsidRPr="000B5D1B">
        <w:rPr>
          <w:rFonts w:cs="Arial"/>
          <w:szCs w:val="20"/>
        </w:rPr>
        <w:t xml:space="preserve"> it increased by 1.5</w:t>
      </w:r>
      <w:r w:rsidRPr="000B5D1B">
        <w:rPr>
          <w:rFonts w:cs="Arial"/>
          <w:szCs w:val="20"/>
        </w:rPr>
        <w:t xml:space="preserve">%. </w:t>
      </w:r>
      <w:r w:rsidR="008307DB" w:rsidRPr="000B5D1B">
        <w:rPr>
          <w:rFonts w:cs="Arial"/>
          <w:szCs w:val="20"/>
        </w:rPr>
        <w:t>In total, by 0.8</w:t>
      </w:r>
      <w:r w:rsidRPr="000B5D1B">
        <w:rPr>
          <w:rFonts w:cs="Arial"/>
          <w:szCs w:val="20"/>
        </w:rPr>
        <w:t>% more hours were worked in the q-o-q comparison; in the y-o-y comparison,</w:t>
      </w:r>
      <w:r w:rsidR="001C3000" w:rsidRPr="000B5D1B">
        <w:t xml:space="preserve"> it was by 6.4% more.</w:t>
      </w:r>
    </w:p>
    <w:p w:rsidR="009C0173" w:rsidRPr="000B5D1B" w:rsidRDefault="009C0173" w:rsidP="009C0173">
      <w:pPr>
        <w:spacing w:line="240" w:lineRule="auto"/>
      </w:pPr>
    </w:p>
    <w:p w:rsidR="009C0173" w:rsidRPr="000B5D1B" w:rsidRDefault="009C0173" w:rsidP="009C0173">
      <w:pPr>
        <w:rPr>
          <w:rFonts w:cs="Arial"/>
          <w:szCs w:val="20"/>
        </w:rPr>
      </w:pPr>
    </w:p>
    <w:p w:rsidR="00306152" w:rsidRPr="000B5D1B" w:rsidRDefault="00306152" w:rsidP="009C0173">
      <w:pPr>
        <w:pStyle w:val="Poznmky0"/>
        <w:ind w:left="3600" w:hanging="3600"/>
      </w:pPr>
      <w:r w:rsidRPr="000B5D1B">
        <w:t>Notes:</w:t>
      </w:r>
    </w:p>
    <w:p w:rsidR="009C0173" w:rsidRPr="000B5D1B" w:rsidRDefault="009C0173" w:rsidP="009C0173">
      <w:pPr>
        <w:pStyle w:val="Poznmky0"/>
        <w:ind w:left="3600" w:hanging="3600"/>
        <w:rPr>
          <w:i w:val="0"/>
        </w:rPr>
      </w:pPr>
      <w:r w:rsidRPr="000B5D1B">
        <w:t>Responsible head at the CZSO:</w:t>
      </w:r>
      <w:r w:rsidRPr="000B5D1B">
        <w:tab/>
        <w:t>Vladimír Kermiet, Director of the National Accounts Department, phone number (+420) 274 054 247, e</w:t>
      </w:r>
      <w:r w:rsidRPr="000B5D1B">
        <w:noBreakHyphen/>
        <w:t>mail: </w:t>
      </w:r>
      <w:hyperlink r:id="rId8" w:history="1">
        <w:r w:rsidRPr="000B5D1B">
          <w:rPr>
            <w:rStyle w:val="Hypertextovodkaz"/>
          </w:rPr>
          <w:t>vladimir.kermiet@czso.cz</w:t>
        </w:r>
      </w:hyperlink>
    </w:p>
    <w:p w:rsidR="009C0173" w:rsidRPr="000B5D1B" w:rsidRDefault="009C0173" w:rsidP="009C0173">
      <w:pPr>
        <w:pStyle w:val="Poznmky0"/>
        <w:ind w:left="3600" w:hanging="3600"/>
      </w:pPr>
      <w:r w:rsidRPr="000B5D1B">
        <w:t xml:space="preserve">Contact person: </w:t>
      </w:r>
      <w:r w:rsidRPr="000B5D1B">
        <w:tab/>
        <w:t xml:space="preserve">Jan Benedikt, Quarterly Estimates Unit, phone number (+420) 274 052 750, e-mail: </w:t>
      </w:r>
      <w:hyperlink r:id="rId9" w:history="1">
        <w:r w:rsidRPr="000B5D1B">
          <w:rPr>
            <w:rStyle w:val="Hypertextovodkaz"/>
          </w:rPr>
          <w:t>jan.benedikt@czso.cz</w:t>
        </w:r>
      </w:hyperlink>
    </w:p>
    <w:p w:rsidR="009C0173" w:rsidRPr="000B5D1B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0B5D1B">
        <w:rPr>
          <w:lang w:val="en-GB"/>
        </w:rPr>
        <w:t>Used data sources updated as at:</w:t>
      </w:r>
      <w:r w:rsidRPr="000B5D1B">
        <w:rPr>
          <w:lang w:val="en-GB"/>
        </w:rPr>
        <w:tab/>
      </w:r>
      <w:r w:rsidR="000B5D1B" w:rsidRPr="000B5D1B">
        <w:rPr>
          <w:lang w:val="en-GB"/>
        </w:rPr>
        <w:t>24 </w:t>
      </w:r>
      <w:r w:rsidRPr="000B5D1B">
        <w:rPr>
          <w:lang w:val="en-GB"/>
        </w:rPr>
        <w:t xml:space="preserve">May </w:t>
      </w:r>
      <w:r w:rsidR="00737148" w:rsidRPr="000B5D1B">
        <w:rPr>
          <w:lang w:val="en-GB"/>
        </w:rPr>
        <w:t>2022</w:t>
      </w:r>
    </w:p>
    <w:p w:rsidR="009C0173" w:rsidRPr="000B5D1B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0B5D1B">
        <w:rPr>
          <w:lang w:val="en-GB"/>
        </w:rPr>
        <w:t xml:space="preserve">Time series: </w:t>
      </w:r>
      <w:r w:rsidRPr="000B5D1B">
        <w:rPr>
          <w:lang w:val="en-GB"/>
        </w:rPr>
        <w:tab/>
      </w:r>
      <w:hyperlink r:id="rId10" w:history="1">
        <w:r w:rsidRPr="000B5D1B">
          <w:rPr>
            <w:rStyle w:val="Hypertextovodkaz"/>
            <w:lang w:val="en-GB"/>
          </w:rPr>
          <w:t>https://www.czso.cz/csu/czso/hdp_ts</w:t>
        </w:r>
      </w:hyperlink>
    </w:p>
    <w:p w:rsidR="009C0173" w:rsidRPr="000B5D1B" w:rsidRDefault="009C0173" w:rsidP="009C0173">
      <w:pPr>
        <w:pStyle w:val="Poznamkytexty"/>
        <w:spacing w:after="240"/>
        <w:ind w:left="3600" w:hanging="3600"/>
        <w:rPr>
          <w:lang w:val="en-GB"/>
        </w:rPr>
      </w:pPr>
      <w:r w:rsidRPr="000B5D1B">
        <w:rPr>
          <w:lang w:val="en-GB"/>
        </w:rPr>
        <w:t>The News Release web page:</w:t>
      </w:r>
      <w:r w:rsidRPr="000B5D1B">
        <w:rPr>
          <w:lang w:val="en-GB"/>
        </w:rPr>
        <w:tab/>
      </w:r>
      <w:hyperlink r:id="rId11" w:history="1">
        <w:r w:rsidRPr="000B5D1B">
          <w:rPr>
            <w:rStyle w:val="Hypertextovodkaz"/>
            <w:lang w:val="en-GB"/>
          </w:rPr>
          <w:t>https://www.czso.cz/csu/czso/quarterly-national-accounts-gdp-resources-and-uses-and-gdp-preliminary-estimate</w:t>
        </w:r>
      </w:hyperlink>
    </w:p>
    <w:p w:rsidR="000B5D1B" w:rsidRPr="000B5D1B" w:rsidRDefault="009C0173" w:rsidP="009C0173">
      <w:pPr>
        <w:ind w:left="3600" w:hanging="3600"/>
        <w:rPr>
          <w:rFonts w:cs="ArialMT"/>
          <w:i/>
          <w:sz w:val="18"/>
          <w:szCs w:val="18"/>
        </w:rPr>
      </w:pPr>
      <w:r w:rsidRPr="000B5D1B">
        <w:rPr>
          <w:rFonts w:cs="ArialMT"/>
          <w:i/>
          <w:sz w:val="18"/>
          <w:szCs w:val="18"/>
        </w:rPr>
        <w:t>Next News Release will be published on:</w:t>
      </w:r>
      <w:r w:rsidRPr="000B5D1B">
        <w:rPr>
          <w:rFonts w:cs="ArialMT"/>
          <w:i/>
          <w:sz w:val="18"/>
          <w:szCs w:val="18"/>
        </w:rPr>
        <w:tab/>
      </w:r>
      <w:r w:rsidR="000B5D1B" w:rsidRPr="000B5D1B">
        <w:rPr>
          <w:rFonts w:cs="ArialMT"/>
          <w:i/>
          <w:sz w:val="18"/>
          <w:szCs w:val="18"/>
        </w:rPr>
        <w:t>29 </w:t>
      </w:r>
      <w:r w:rsidRPr="000B5D1B">
        <w:rPr>
          <w:rFonts w:cs="ArialMT"/>
          <w:i/>
          <w:sz w:val="18"/>
          <w:szCs w:val="18"/>
        </w:rPr>
        <w:t xml:space="preserve">July </w:t>
      </w:r>
      <w:r w:rsidR="00737148" w:rsidRPr="000B5D1B">
        <w:rPr>
          <w:rFonts w:cs="ArialMT"/>
          <w:i/>
          <w:sz w:val="18"/>
          <w:szCs w:val="18"/>
        </w:rPr>
        <w:t>2022</w:t>
      </w:r>
      <w:r w:rsidRPr="000B5D1B">
        <w:rPr>
          <w:rFonts w:cs="ArialMT"/>
          <w:i/>
          <w:sz w:val="18"/>
          <w:szCs w:val="18"/>
        </w:rPr>
        <w:t xml:space="preserve"> </w:t>
      </w:r>
    </w:p>
    <w:p w:rsidR="009C0173" w:rsidRPr="00B529A1" w:rsidRDefault="009C0173" w:rsidP="000B5D1B">
      <w:pPr>
        <w:ind w:left="3600"/>
        <w:rPr>
          <w:rFonts w:cs="Arial"/>
          <w:szCs w:val="20"/>
        </w:rPr>
      </w:pPr>
      <w:r w:rsidRPr="000B5D1B">
        <w:rPr>
          <w:rFonts w:cs="ArialMT"/>
          <w:i/>
          <w:sz w:val="18"/>
          <w:szCs w:val="18"/>
        </w:rPr>
        <w:t xml:space="preserve">(GDP preliminary estimate for the second quarter of </w:t>
      </w:r>
      <w:r w:rsidR="00737148" w:rsidRPr="000B5D1B">
        <w:rPr>
          <w:rFonts w:cs="ArialMT"/>
          <w:i/>
          <w:sz w:val="18"/>
          <w:szCs w:val="18"/>
        </w:rPr>
        <w:t>2022</w:t>
      </w:r>
      <w:r w:rsidRPr="000B5D1B">
        <w:rPr>
          <w:rFonts w:cs="ArialMT"/>
          <w:i/>
          <w:sz w:val="18"/>
          <w:szCs w:val="18"/>
        </w:rPr>
        <w:t>)</w:t>
      </w:r>
    </w:p>
    <w:p w:rsidR="009C0173" w:rsidRPr="00B529A1" w:rsidRDefault="009C0173" w:rsidP="009C0173"/>
    <w:p w:rsidR="009C0173" w:rsidRPr="00B529A1" w:rsidRDefault="009C0173" w:rsidP="009C0173"/>
    <w:p w:rsidR="00D209A7" w:rsidRPr="009C0173" w:rsidRDefault="00D209A7" w:rsidP="009C0173"/>
    <w:sectPr w:rsidR="00D209A7" w:rsidRPr="009C0173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B2" w:rsidRDefault="00B746B2" w:rsidP="00BA6370">
      <w:r>
        <w:separator/>
      </w:r>
    </w:p>
  </w:endnote>
  <w:endnote w:type="continuationSeparator" w:id="0">
    <w:p w:rsidR="00B746B2" w:rsidRDefault="00B746B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:rsidR="00380178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:rsidR="00380178" w:rsidRPr="00D52A09" w:rsidRDefault="00380178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="00784615"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:rsidR="00380178" w:rsidRPr="00BA137F" w:rsidRDefault="00380178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</w:t>
                          </w:r>
                          <w:r w:rsidR="000B6773"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>274 056 789</w:t>
                          </w:r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, e-mail: </w:t>
                          </w:r>
                          <w:hyperlink r:id="rId2" w:history="1">
                            <w:r w:rsidRPr="00BA137F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BA137F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BA137F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42598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="00123849"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:rsidR="00380178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:rsidR="00380178" w:rsidRPr="00D52A09" w:rsidRDefault="00380178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="00784615"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:rsidR="00380178" w:rsidRPr="00BA137F" w:rsidRDefault="00380178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</w:t>
                    </w:r>
                    <w:r w:rsidR="000B6773"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>274 056 789</w:t>
                    </w:r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, e-mail: </w:t>
                    </w:r>
                    <w:hyperlink r:id="rId4" w:history="1">
                      <w:r w:rsidRPr="00BA137F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BA137F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BA137F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42598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="00123849"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62134A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B2" w:rsidRDefault="00B746B2" w:rsidP="00BA6370">
      <w:r>
        <w:separator/>
      </w:r>
    </w:p>
  </w:footnote>
  <w:footnote w:type="continuationSeparator" w:id="0">
    <w:p w:rsidR="00B746B2" w:rsidRDefault="00B746B2" w:rsidP="00BA6370">
      <w:r>
        <w:continuationSeparator/>
      </w:r>
    </w:p>
  </w:footnote>
  <w:footnote w:id="1">
    <w:p w:rsidR="009C0173" w:rsidRPr="00F30189" w:rsidRDefault="009C0173" w:rsidP="009C0173">
      <w:pPr>
        <w:pStyle w:val="Textpoznpodarou"/>
        <w:spacing w:after="60"/>
        <w:jc w:val="both"/>
        <w:rPr>
          <w:rFonts w:ascii="Arial" w:hAnsi="Arial" w:cs="Arial"/>
          <w:i/>
          <w:lang w:val="en-GB"/>
        </w:rPr>
      </w:pPr>
      <w:r w:rsidRPr="00F30189">
        <w:rPr>
          <w:rStyle w:val="Znakapoznpodarou"/>
          <w:rFonts w:ascii="Arial" w:hAnsi="Arial" w:cs="Arial"/>
          <w:i/>
          <w:lang w:val="en-GB"/>
        </w:rPr>
        <w:footnoteRef/>
      </w:r>
      <w:r w:rsidRPr="00F30189">
        <w:rPr>
          <w:rFonts w:ascii="Arial" w:hAnsi="Arial" w:cs="Arial"/>
          <w:i/>
          <w:lang w:val="en-GB"/>
        </w:rPr>
        <w:t xml:space="preserve"> 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Unless otherwise stated, all data presented in this </w:t>
      </w:r>
      <w:r>
        <w:rPr>
          <w:rFonts w:ascii="Arial" w:hAnsi="Arial" w:cs="Arial"/>
          <w:i/>
          <w:sz w:val="18"/>
          <w:szCs w:val="18"/>
          <w:lang w:val="en-GB"/>
        </w:rPr>
        <w:t>n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ews </w:t>
      </w:r>
      <w:r>
        <w:rPr>
          <w:rFonts w:ascii="Arial" w:hAnsi="Arial" w:cs="Arial"/>
          <w:i/>
          <w:sz w:val="18"/>
          <w:szCs w:val="18"/>
          <w:lang w:val="en-GB"/>
        </w:rPr>
        <w:t>r</w:t>
      </w:r>
      <w:r w:rsidRPr="00F30189">
        <w:rPr>
          <w:rFonts w:ascii="Arial" w:hAnsi="Arial" w:cs="Arial"/>
          <w:i/>
          <w:sz w:val="18"/>
          <w:szCs w:val="18"/>
          <w:lang w:val="en-GB"/>
        </w:rPr>
        <w:t xml:space="preserve">elease are adjusted for price, seasonal, and calendar effects. </w:t>
      </w:r>
    </w:p>
  </w:footnote>
  <w:footnote w:id="2">
    <w:p w:rsidR="00F636DD" w:rsidRPr="00C854A8" w:rsidRDefault="00F636DD" w:rsidP="00F636DD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  <w:lang w:val="en-GB"/>
        </w:rPr>
      </w:pPr>
      <w:r w:rsidRPr="00C854A8">
        <w:rPr>
          <w:rStyle w:val="Znakapoznpodarou"/>
          <w:rFonts w:ascii="Arial" w:hAnsi="Arial" w:cs="Arial"/>
          <w:i/>
          <w:lang w:val="en-GB"/>
        </w:rPr>
        <w:footnoteRef/>
      </w:r>
      <w:r w:rsidRPr="00C854A8">
        <w:rPr>
          <w:rFonts w:ascii="Arial" w:hAnsi="Arial" w:cs="Arial"/>
          <w:i/>
          <w:lang w:val="en-GB"/>
        </w:rPr>
        <w:t xml:space="preserve"> </w:t>
      </w:r>
      <w:r w:rsidR="0026588A">
        <w:rPr>
          <w:rFonts w:ascii="Arial" w:hAnsi="Arial" w:cs="Arial"/>
          <w:i/>
          <w:lang w:val="en-GB"/>
        </w:rPr>
        <w:t>C</w:t>
      </w:r>
      <w:r w:rsidR="00C854A8" w:rsidRPr="00C854A8">
        <w:rPr>
          <w:rFonts w:ascii="Arial" w:hAnsi="Arial" w:cs="Arial"/>
          <w:i/>
          <w:sz w:val="18"/>
          <w:szCs w:val="18"/>
          <w:lang w:val="en-GB"/>
        </w:rPr>
        <w:t>ontributions to the GDP growth (imports for final use excluded, unless otherwise stated)</w:t>
      </w:r>
      <w:r w:rsidR="0026588A">
        <w:rPr>
          <w:rFonts w:ascii="Arial" w:hAnsi="Arial" w:cs="Arial"/>
          <w:i/>
          <w:sz w:val="18"/>
          <w:szCs w:val="18"/>
          <w:lang w:val="en-GB"/>
        </w:rPr>
        <w:t>.</w:t>
      </w:r>
    </w:p>
  </w:footnote>
  <w:footnote w:id="3">
    <w:p w:rsidR="00E55FD2" w:rsidRPr="00E55FD2" w:rsidRDefault="00E55FD2" w:rsidP="00E55FD2">
      <w:pPr>
        <w:pStyle w:val="Textpoznpodarou"/>
        <w:spacing w:line="288" w:lineRule="auto"/>
        <w:rPr>
          <w:rFonts w:ascii="Arial" w:hAnsi="Arial" w:cs="Arial"/>
          <w:i/>
          <w:sz w:val="22"/>
          <w:lang w:val="en-GB"/>
        </w:rPr>
      </w:pPr>
      <w:r w:rsidRPr="00E55FD2">
        <w:rPr>
          <w:rStyle w:val="Znakapoznpodarou"/>
          <w:rFonts w:ascii="Arial" w:hAnsi="Arial" w:cs="Arial"/>
          <w:i/>
          <w:sz w:val="18"/>
          <w:lang w:val="en-GB"/>
        </w:rPr>
        <w:footnoteRef/>
      </w:r>
      <w:r w:rsidRPr="00E55FD2">
        <w:rPr>
          <w:rFonts w:ascii="Arial" w:hAnsi="Arial" w:cs="Arial"/>
          <w:i/>
          <w:sz w:val="18"/>
          <w:lang w:val="en-GB"/>
        </w:rPr>
        <w:t xml:space="preserve"> </w:t>
      </w:r>
      <w:r>
        <w:rPr>
          <w:rFonts w:ascii="Arial" w:hAnsi="Arial" w:cs="Arial"/>
          <w:i/>
          <w:sz w:val="18"/>
          <w:lang w:val="en-GB"/>
        </w:rPr>
        <w:t>i</w:t>
      </w:r>
      <w:r w:rsidRPr="00E55FD2">
        <w:rPr>
          <w:rFonts w:ascii="Arial" w:hAnsi="Arial" w:cs="Arial"/>
          <w:i/>
          <w:sz w:val="18"/>
          <w:lang w:val="en-GB"/>
        </w:rPr>
        <w:t>n terms of national accounts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75FE6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069402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6145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E6"/>
    <w:rsid w:val="00042598"/>
    <w:rsid w:val="00043BF4"/>
    <w:rsid w:val="000843A5"/>
    <w:rsid w:val="00091722"/>
    <w:rsid w:val="000A0FDE"/>
    <w:rsid w:val="000B5D1B"/>
    <w:rsid w:val="000B6773"/>
    <w:rsid w:val="000B6F63"/>
    <w:rsid w:val="00105376"/>
    <w:rsid w:val="00116ED1"/>
    <w:rsid w:val="00123849"/>
    <w:rsid w:val="0013242C"/>
    <w:rsid w:val="001404AB"/>
    <w:rsid w:val="0017231D"/>
    <w:rsid w:val="00176E26"/>
    <w:rsid w:val="0018061F"/>
    <w:rsid w:val="001810DC"/>
    <w:rsid w:val="001B607F"/>
    <w:rsid w:val="001C3000"/>
    <w:rsid w:val="001C6F17"/>
    <w:rsid w:val="001C71FD"/>
    <w:rsid w:val="001D369A"/>
    <w:rsid w:val="001F08B3"/>
    <w:rsid w:val="00205E83"/>
    <w:rsid w:val="002070FB"/>
    <w:rsid w:val="00213729"/>
    <w:rsid w:val="00236809"/>
    <w:rsid w:val="002406FA"/>
    <w:rsid w:val="0026588A"/>
    <w:rsid w:val="00286268"/>
    <w:rsid w:val="00297900"/>
    <w:rsid w:val="002B2E47"/>
    <w:rsid w:val="002C0BD1"/>
    <w:rsid w:val="002D37F5"/>
    <w:rsid w:val="002E71BB"/>
    <w:rsid w:val="00306152"/>
    <w:rsid w:val="0032398D"/>
    <w:rsid w:val="003301A3"/>
    <w:rsid w:val="00365BA4"/>
    <w:rsid w:val="0036777B"/>
    <w:rsid w:val="00380178"/>
    <w:rsid w:val="0038282A"/>
    <w:rsid w:val="00397580"/>
    <w:rsid w:val="003A1196"/>
    <w:rsid w:val="003A45C8"/>
    <w:rsid w:val="003B7F42"/>
    <w:rsid w:val="003C04F2"/>
    <w:rsid w:val="003C2DCF"/>
    <w:rsid w:val="003C3372"/>
    <w:rsid w:val="003C6A7F"/>
    <w:rsid w:val="003C7FE7"/>
    <w:rsid w:val="003D0499"/>
    <w:rsid w:val="003D3576"/>
    <w:rsid w:val="003F526A"/>
    <w:rsid w:val="00405244"/>
    <w:rsid w:val="00424A3F"/>
    <w:rsid w:val="00436D82"/>
    <w:rsid w:val="004436EE"/>
    <w:rsid w:val="0045547F"/>
    <w:rsid w:val="004920AD"/>
    <w:rsid w:val="004B473A"/>
    <w:rsid w:val="004D05B3"/>
    <w:rsid w:val="004E479E"/>
    <w:rsid w:val="004F78E6"/>
    <w:rsid w:val="00512D99"/>
    <w:rsid w:val="00530923"/>
    <w:rsid w:val="00531DBB"/>
    <w:rsid w:val="0056031B"/>
    <w:rsid w:val="0056151C"/>
    <w:rsid w:val="00564213"/>
    <w:rsid w:val="005A387F"/>
    <w:rsid w:val="005A5FDC"/>
    <w:rsid w:val="005B6816"/>
    <w:rsid w:val="005F79FB"/>
    <w:rsid w:val="00604406"/>
    <w:rsid w:val="00605F4A"/>
    <w:rsid w:val="00607822"/>
    <w:rsid w:val="006103AA"/>
    <w:rsid w:val="00613BBF"/>
    <w:rsid w:val="00622B80"/>
    <w:rsid w:val="0064139A"/>
    <w:rsid w:val="006436DA"/>
    <w:rsid w:val="006B2AE4"/>
    <w:rsid w:val="006D5C60"/>
    <w:rsid w:val="006E024F"/>
    <w:rsid w:val="006E4E81"/>
    <w:rsid w:val="00707F7D"/>
    <w:rsid w:val="00717EC5"/>
    <w:rsid w:val="00737148"/>
    <w:rsid w:val="00755D8B"/>
    <w:rsid w:val="00763787"/>
    <w:rsid w:val="00784615"/>
    <w:rsid w:val="00793D5F"/>
    <w:rsid w:val="007A0CA5"/>
    <w:rsid w:val="007A57F2"/>
    <w:rsid w:val="007B1333"/>
    <w:rsid w:val="007B4D02"/>
    <w:rsid w:val="007F4AEB"/>
    <w:rsid w:val="007F75B2"/>
    <w:rsid w:val="008043C4"/>
    <w:rsid w:val="008307DB"/>
    <w:rsid w:val="00831B1B"/>
    <w:rsid w:val="00833C6A"/>
    <w:rsid w:val="00855FB3"/>
    <w:rsid w:val="00861D0E"/>
    <w:rsid w:val="00867569"/>
    <w:rsid w:val="00885C0D"/>
    <w:rsid w:val="008A750A"/>
    <w:rsid w:val="008B2F74"/>
    <w:rsid w:val="008B3970"/>
    <w:rsid w:val="008C384C"/>
    <w:rsid w:val="008D0F11"/>
    <w:rsid w:val="008F73B4"/>
    <w:rsid w:val="009035E8"/>
    <w:rsid w:val="00923D6C"/>
    <w:rsid w:val="00932609"/>
    <w:rsid w:val="00953416"/>
    <w:rsid w:val="00956B40"/>
    <w:rsid w:val="00971374"/>
    <w:rsid w:val="009823C4"/>
    <w:rsid w:val="00997496"/>
    <w:rsid w:val="009B2B43"/>
    <w:rsid w:val="009B55B1"/>
    <w:rsid w:val="009C0173"/>
    <w:rsid w:val="009C4D55"/>
    <w:rsid w:val="009E39C5"/>
    <w:rsid w:val="00A07BA7"/>
    <w:rsid w:val="00A17409"/>
    <w:rsid w:val="00A351E9"/>
    <w:rsid w:val="00A4343D"/>
    <w:rsid w:val="00A502F1"/>
    <w:rsid w:val="00A70A83"/>
    <w:rsid w:val="00A81EB3"/>
    <w:rsid w:val="00AB6196"/>
    <w:rsid w:val="00AC3140"/>
    <w:rsid w:val="00AF597D"/>
    <w:rsid w:val="00B00C1D"/>
    <w:rsid w:val="00B632CC"/>
    <w:rsid w:val="00B746B2"/>
    <w:rsid w:val="00BA12F1"/>
    <w:rsid w:val="00BA137F"/>
    <w:rsid w:val="00BA3E4C"/>
    <w:rsid w:val="00BA439F"/>
    <w:rsid w:val="00BA6370"/>
    <w:rsid w:val="00BD46C7"/>
    <w:rsid w:val="00C16DDE"/>
    <w:rsid w:val="00C269D4"/>
    <w:rsid w:val="00C4160D"/>
    <w:rsid w:val="00C75FE6"/>
    <w:rsid w:val="00C8406E"/>
    <w:rsid w:val="00C854A8"/>
    <w:rsid w:val="00CB2709"/>
    <w:rsid w:val="00CB6F89"/>
    <w:rsid w:val="00CC062D"/>
    <w:rsid w:val="00CE228C"/>
    <w:rsid w:val="00CE71D9"/>
    <w:rsid w:val="00CF545B"/>
    <w:rsid w:val="00D14C8C"/>
    <w:rsid w:val="00D209A7"/>
    <w:rsid w:val="00D27D69"/>
    <w:rsid w:val="00D33B61"/>
    <w:rsid w:val="00D448C2"/>
    <w:rsid w:val="00D666C3"/>
    <w:rsid w:val="00D811AB"/>
    <w:rsid w:val="00DA3AFA"/>
    <w:rsid w:val="00DF47FE"/>
    <w:rsid w:val="00E0156A"/>
    <w:rsid w:val="00E041D7"/>
    <w:rsid w:val="00E11937"/>
    <w:rsid w:val="00E15CAE"/>
    <w:rsid w:val="00E1630A"/>
    <w:rsid w:val="00E26704"/>
    <w:rsid w:val="00E31980"/>
    <w:rsid w:val="00E55FD2"/>
    <w:rsid w:val="00E6423C"/>
    <w:rsid w:val="00E71483"/>
    <w:rsid w:val="00E93830"/>
    <w:rsid w:val="00E93E0E"/>
    <w:rsid w:val="00EB1A25"/>
    <w:rsid w:val="00EB1ED3"/>
    <w:rsid w:val="00EE70B7"/>
    <w:rsid w:val="00EF24B5"/>
    <w:rsid w:val="00F314B7"/>
    <w:rsid w:val="00F51D99"/>
    <w:rsid w:val="00F636DD"/>
    <w:rsid w:val="00F83C49"/>
    <w:rsid w:val="00F92483"/>
    <w:rsid w:val="00FB687C"/>
    <w:rsid w:val="00FE114D"/>
    <w:rsid w:val="00FE6B86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0071bc"/>
    </o:shapedefaults>
    <o:shapelayout v:ext="edit">
      <o:idmap v:ext="edit" data="1"/>
    </o:shapelayout>
  </w:shapeDefaults>
  <w:decimalSymbol w:val=","/>
  <w:listSeparator w:val=";"/>
  <w15:docId w15:val="{76E8D70C-12B8-4F22-BA85-C417DF6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C0173"/>
    <w:pPr>
      <w:spacing w:line="240" w:lineRule="auto"/>
      <w:jc w:val="left"/>
    </w:pPr>
    <w:rPr>
      <w:rFonts w:ascii="Times New Roman" w:eastAsia="Times New Roman" w:hAnsi="Times New Roman"/>
      <w:szCs w:val="20"/>
      <w:lang w:val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C0173"/>
    <w:rPr>
      <w:rFonts w:ascii="Times New Roman" w:eastAsia="Times New Roman" w:hAnsi="Times New Roman"/>
      <w:lang w:eastAsia="en-US"/>
    </w:rPr>
  </w:style>
  <w:style w:type="paragraph" w:customStyle="1" w:styleId="Poznamkytexty">
    <w:name w:val="Poznamky texty"/>
    <w:basedOn w:val="Normln"/>
    <w:qFormat/>
    <w:rsid w:val="009C0173"/>
    <w:pPr>
      <w:spacing w:line="240" w:lineRule="exact"/>
    </w:pPr>
    <w:rPr>
      <w:rFonts w:cs="ArialMT"/>
      <w:i/>
      <w:color w:val="000000"/>
      <w:sz w:val="18"/>
      <w:szCs w:val="18"/>
      <w:lang w:val="cs-CZ"/>
    </w:rPr>
  </w:style>
  <w:style w:type="character" w:styleId="Znakapoznpodarou">
    <w:name w:val="footnote reference"/>
    <w:semiHidden/>
    <w:unhideWhenUsed/>
    <w:rsid w:val="009C0173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0B5D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quarterly-national-accounts-gdp-resources-and-uses-and-gdp-preliminary-estimat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t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-1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1Q\T60\ghdp053122_4_&#382;iv&#283;_T6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data!$D$3</c:f>
              <c:strCache>
                <c:ptCount val="1"/>
                <c:pt idx="0">
                  <c:v>Final consumption expenditure of households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data!$D$85:$D$109</c:f>
              <c:numCache>
                <c:formatCode>#\ ##0.0</c:formatCode>
                <c:ptCount val="25"/>
                <c:pt idx="0">
                  <c:v>0.93618616091517504</c:v>
                </c:pt>
                <c:pt idx="1">
                  <c:v>0.87008623065588986</c:v>
                </c:pt>
                <c:pt idx="2">
                  <c:v>1.088831374618116</c:v>
                </c:pt>
                <c:pt idx="3">
                  <c:v>0.98663697427429853</c:v>
                </c:pt>
                <c:pt idx="4">
                  <c:v>1.1317605173808631</c:v>
                </c:pt>
                <c:pt idx="5">
                  <c:v>1.4117084709383003</c:v>
                </c:pt>
                <c:pt idx="6">
                  <c:v>1.3280225164734749</c:v>
                </c:pt>
                <c:pt idx="7">
                  <c:v>1.0794473419672266</c:v>
                </c:pt>
                <c:pt idx="8">
                  <c:v>1.580542821710847</c:v>
                </c:pt>
                <c:pt idx="9">
                  <c:v>1.2036281398321482</c:v>
                </c:pt>
                <c:pt idx="10">
                  <c:v>0.99314647332669792</c:v>
                </c:pt>
                <c:pt idx="11">
                  <c:v>0.88688082354953479</c:v>
                </c:pt>
                <c:pt idx="12">
                  <c:v>0.92742283153358485</c:v>
                </c:pt>
                <c:pt idx="13">
                  <c:v>1.2648435786040815</c:v>
                </c:pt>
                <c:pt idx="14">
                  <c:v>1.0200882664173805</c:v>
                </c:pt>
                <c:pt idx="15">
                  <c:v>1.1768223210480195</c:v>
                </c:pt>
                <c:pt idx="16">
                  <c:v>-0.91830335911448924</c:v>
                </c:pt>
                <c:pt idx="17">
                  <c:v>-3.3026648907213207</c:v>
                </c:pt>
                <c:pt idx="18">
                  <c:v>-2.0346444917072359</c:v>
                </c:pt>
                <c:pt idx="19">
                  <c:v>-4.4970793086911476</c:v>
                </c:pt>
                <c:pt idx="20">
                  <c:v>-3.1633667842789337</c:v>
                </c:pt>
                <c:pt idx="21">
                  <c:v>1.6154466213042813</c:v>
                </c:pt>
                <c:pt idx="22">
                  <c:v>2.291117307275583</c:v>
                </c:pt>
                <c:pt idx="23">
                  <c:v>3.7811650610568606</c:v>
                </c:pt>
                <c:pt idx="24">
                  <c:v>3.3866923039064099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15-471F-B3D2-DD0D68B61AEF}"/>
            </c:ext>
          </c:extLst>
        </c:ser>
        <c:ser>
          <c:idx val="1"/>
          <c:order val="1"/>
          <c:tx>
            <c:strRef>
              <c:f>data!$E$3</c:f>
              <c:strCache>
                <c:ptCount val="1"/>
                <c:pt idx="0">
                  <c:v>Final consumption expenditure of general government, incl. NPISHs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data!$E$85:$E$109</c:f>
              <c:numCache>
                <c:formatCode>#\ ##0.0</c:formatCode>
                <c:ptCount val="25"/>
                <c:pt idx="0">
                  <c:v>0.4748776357963892</c:v>
                </c:pt>
                <c:pt idx="1">
                  <c:v>0.51657472377752678</c:v>
                </c:pt>
                <c:pt idx="2">
                  <c:v>0.50027131640245437</c:v>
                </c:pt>
                <c:pt idx="3">
                  <c:v>0.54136169346791663</c:v>
                </c:pt>
                <c:pt idx="4">
                  <c:v>0.5237615791723923</c:v>
                </c:pt>
                <c:pt idx="5">
                  <c:v>0.46098385984172263</c:v>
                </c:pt>
                <c:pt idx="6">
                  <c:v>0.29628820428940161</c:v>
                </c:pt>
                <c:pt idx="7">
                  <c:v>0.30866928292433171</c:v>
                </c:pt>
                <c:pt idx="8">
                  <c:v>0.70102807663396993</c:v>
                </c:pt>
                <c:pt idx="9">
                  <c:v>0.66694617463145922</c:v>
                </c:pt>
                <c:pt idx="10">
                  <c:v>0.9969094904304413</c:v>
                </c:pt>
                <c:pt idx="11">
                  <c:v>0.85896941639528834</c:v>
                </c:pt>
                <c:pt idx="12">
                  <c:v>0.45663980345837318</c:v>
                </c:pt>
                <c:pt idx="13">
                  <c:v>0.58168454438394002</c:v>
                </c:pt>
                <c:pt idx="14">
                  <c:v>0.48542409498820488</c:v>
                </c:pt>
                <c:pt idx="15">
                  <c:v>0.39465347366299408</c:v>
                </c:pt>
                <c:pt idx="16">
                  <c:v>0.76502722143164625</c:v>
                </c:pt>
                <c:pt idx="17">
                  <c:v>0.66015484333516317</c:v>
                </c:pt>
                <c:pt idx="18">
                  <c:v>0.45606897381537204</c:v>
                </c:pt>
                <c:pt idx="19">
                  <c:v>1.1470325289043797</c:v>
                </c:pt>
                <c:pt idx="20">
                  <c:v>0.55133164780868116</c:v>
                </c:pt>
                <c:pt idx="21">
                  <c:v>0.1825304362084173</c:v>
                </c:pt>
                <c:pt idx="22">
                  <c:v>1.5029928880977534</c:v>
                </c:pt>
                <c:pt idx="23">
                  <c:v>0.23877329396602692</c:v>
                </c:pt>
                <c:pt idx="24">
                  <c:v>0.39975329750750416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15-471F-B3D2-DD0D68B61AEF}"/>
            </c:ext>
          </c:extLst>
        </c:ser>
        <c:ser>
          <c:idx val="2"/>
          <c:order val="2"/>
          <c:tx>
            <c:strRef>
              <c:f>data!$F$3</c:f>
              <c:strCache>
                <c:ptCount val="1"/>
                <c:pt idx="0">
                  <c:v>Gross capital formation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data!$F$85:$F$109</c:f>
              <c:numCache>
                <c:formatCode>#\ ##0.0</c:formatCode>
                <c:ptCount val="25"/>
                <c:pt idx="0">
                  <c:v>0.16571758684643292</c:v>
                </c:pt>
                <c:pt idx="1">
                  <c:v>-1.6231279926014353</c:v>
                </c:pt>
                <c:pt idx="2">
                  <c:v>-0.9230024021929123</c:v>
                </c:pt>
                <c:pt idx="3">
                  <c:v>-0.55002076148293633</c:v>
                </c:pt>
                <c:pt idx="4">
                  <c:v>-1.2630660286446516</c:v>
                </c:pt>
                <c:pt idx="5">
                  <c:v>0.84009326563270514</c:v>
                </c:pt>
                <c:pt idx="6">
                  <c:v>1.6097758497475534</c:v>
                </c:pt>
                <c:pt idx="7">
                  <c:v>2.3721301843681739</c:v>
                </c:pt>
                <c:pt idx="8">
                  <c:v>2.8713468902027719</c:v>
                </c:pt>
                <c:pt idx="9">
                  <c:v>1.5905888817549036</c:v>
                </c:pt>
                <c:pt idx="10">
                  <c:v>1.9208851743389141</c:v>
                </c:pt>
                <c:pt idx="11">
                  <c:v>0.56073143718343366</c:v>
                </c:pt>
                <c:pt idx="12">
                  <c:v>1.5826437930914861</c:v>
                </c:pt>
                <c:pt idx="13">
                  <c:v>-0.15800458401897696</c:v>
                </c:pt>
                <c:pt idx="14">
                  <c:v>5.6924086841567925E-2</c:v>
                </c:pt>
                <c:pt idx="15">
                  <c:v>2.5116661705287227</c:v>
                </c:pt>
                <c:pt idx="16">
                  <c:v>-0.61859997120139953</c:v>
                </c:pt>
                <c:pt idx="17">
                  <c:v>-0.1104431651754639</c:v>
                </c:pt>
                <c:pt idx="18">
                  <c:v>-3.8589775640830584</c:v>
                </c:pt>
                <c:pt idx="19">
                  <c:v>-5.2855728465562315</c:v>
                </c:pt>
                <c:pt idx="20">
                  <c:v>0.48067215758709692</c:v>
                </c:pt>
                <c:pt idx="21">
                  <c:v>2.1921453114504836</c:v>
                </c:pt>
                <c:pt idx="22">
                  <c:v>5.6542736728274869</c:v>
                </c:pt>
                <c:pt idx="23">
                  <c:v>5.9938062852095877</c:v>
                </c:pt>
                <c:pt idx="24">
                  <c:v>3.0399291812668183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215-471F-B3D2-DD0D68B61AEF}"/>
            </c:ext>
          </c:extLst>
        </c:ser>
        <c:ser>
          <c:idx val="4"/>
          <c:order val="3"/>
          <c:tx>
            <c:strRef>
              <c:f>data!$G$3</c:f>
              <c:strCache>
                <c:ptCount val="1"/>
                <c:pt idx="0">
                  <c:v>International trade balance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data!$G$85:$G$109</c:f>
              <c:numCache>
                <c:formatCode>#\ ##0.0</c:formatCode>
                <c:ptCount val="25"/>
                <c:pt idx="0">
                  <c:v>1.8167152604552226</c:v>
                </c:pt>
                <c:pt idx="1">
                  <c:v>2.4919364052715784</c:v>
                </c:pt>
                <c:pt idx="2">
                  <c:v>1.2934583130738089</c:v>
                </c:pt>
                <c:pt idx="3">
                  <c:v>1.1926166397447078</c:v>
                </c:pt>
                <c:pt idx="4">
                  <c:v>3.1780322387555695</c:v>
                </c:pt>
                <c:pt idx="5">
                  <c:v>3.4186500578903547</c:v>
                </c:pt>
                <c:pt idx="6">
                  <c:v>2.6451757604214197</c:v>
                </c:pt>
                <c:pt idx="7">
                  <c:v>2.134600536374907</c:v>
                </c:pt>
                <c:pt idx="8">
                  <c:v>-0.34846185861429246</c:v>
                </c:pt>
                <c:pt idx="9">
                  <c:v>-0.77956175506757264</c:v>
                </c:pt>
                <c:pt idx="10">
                  <c:v>-1.1814783274089611</c:v>
                </c:pt>
                <c:pt idx="11">
                  <c:v>0.25173122797348579</c:v>
                </c:pt>
                <c:pt idx="12">
                  <c:v>4.8271345411210476E-4</c:v>
                </c:pt>
                <c:pt idx="13">
                  <c:v>1.3310256349867293</c:v>
                </c:pt>
                <c:pt idx="14">
                  <c:v>1.3927593162025209</c:v>
                </c:pt>
                <c:pt idx="15">
                  <c:v>-1.1986582855082308</c:v>
                </c:pt>
                <c:pt idx="16">
                  <c:v>-0.70704049567154237</c:v>
                </c:pt>
                <c:pt idx="17">
                  <c:v>-8.1880750230478405</c:v>
                </c:pt>
                <c:pt idx="18">
                  <c:v>-4.2914045921098154E-2</c:v>
                </c:pt>
                <c:pt idx="19">
                  <c:v>3.3212284987957057</c:v>
                </c:pt>
                <c:pt idx="20">
                  <c:v>-0.15762794617150133</c:v>
                </c:pt>
                <c:pt idx="21">
                  <c:v>4.7308315250286768</c:v>
                </c:pt>
                <c:pt idx="22">
                  <c:v>-5.8737642462475739</c:v>
                </c:pt>
                <c:pt idx="23">
                  <c:v>-6.4460894581651713</c:v>
                </c:pt>
                <c:pt idx="24">
                  <c:v>-2.0008077775309285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215-471F-B3D2-DD0D68B61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data!$H$3</c:f>
              <c:strCache>
                <c:ptCount val="1"/>
                <c:pt idx="0">
                  <c:v>GDP – y-o-y real growth rate, seasonally adjusted (in %)</c:v>
                </c:pt>
              </c:strCache>
            </c:strRef>
          </c:tx>
          <c:spPr>
            <a:ln w="17780"/>
          </c:spPr>
          <c:marker>
            <c:symbol val="none"/>
          </c:marker>
          <c:cat>
            <c:multiLvlStrRef>
              <c:f>data!$B$85:$C$109</c:f>
              <c:multiLvlStrCache>
                <c:ptCount val="25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data!$H$85:$H$109</c:f>
              <c:numCache>
                <c:formatCode>#\ ##0.0</c:formatCode>
                <c:ptCount val="25"/>
                <c:pt idx="0">
                  <c:v>3.3935679863989208</c:v>
                </c:pt>
                <c:pt idx="1">
                  <c:v>2.2554525211863137</c:v>
                </c:pt>
                <c:pt idx="2">
                  <c:v>1.9595698850867365</c:v>
                </c:pt>
                <c:pt idx="3">
                  <c:v>2.1706116744660449</c:v>
                </c:pt>
                <c:pt idx="4">
                  <c:v>3.5703667972288571</c:v>
                </c:pt>
                <c:pt idx="5">
                  <c:v>6.1313858438531526</c:v>
                </c:pt>
                <c:pt idx="6">
                  <c:v>5.8793571478929323</c:v>
                </c:pt>
                <c:pt idx="7">
                  <c:v>5.8948576142013849</c:v>
                </c:pt>
                <c:pt idx="8">
                  <c:v>4.8045186709861412</c:v>
                </c:pt>
                <c:pt idx="9">
                  <c:v>2.6817351351516834</c:v>
                </c:pt>
                <c:pt idx="10">
                  <c:v>2.7294466842677565</c:v>
                </c:pt>
                <c:pt idx="11">
                  <c:v>2.5583350179001485</c:v>
                </c:pt>
                <c:pt idx="12">
                  <c:v>2.9671766091530287</c:v>
                </c:pt>
                <c:pt idx="13">
                  <c:v>3.0195090485548093</c:v>
                </c:pt>
                <c:pt idx="14">
                  <c:v>2.9551051697276307</c:v>
                </c:pt>
                <c:pt idx="15">
                  <c:v>2.8845218371908743</c:v>
                </c:pt>
                <c:pt idx="16">
                  <c:v>-1.4789298016082597</c:v>
                </c:pt>
                <c:pt idx="17">
                  <c:v>-10.941056198550214</c:v>
                </c:pt>
                <c:pt idx="18">
                  <c:v>-5.4805373705362399</c:v>
                </c:pt>
                <c:pt idx="19">
                  <c:v>-5.3144733686297201</c:v>
                </c:pt>
                <c:pt idx="20">
                  <c:v>-2.2890397743192636</c:v>
                </c:pt>
                <c:pt idx="21">
                  <c:v>8.7208941054759208</c:v>
                </c:pt>
                <c:pt idx="22">
                  <c:v>3.5747719598019216</c:v>
                </c:pt>
                <c:pt idx="23">
                  <c:v>3.5675370561548618</c:v>
                </c:pt>
                <c:pt idx="24">
                  <c:v>4.8255838356427034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215-471F-B3D2-DD0D68B61A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Quarter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  <c:min val="-12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Percentage points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294143814284195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3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Contributions* to year-on-year real GDP growth rate – seasonally adjusted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Contributions after exclusion of imports for final use.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Non-profit institutions serving households.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D0EB6-1743-41F0-956A-502CEC1D9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ENG_2022-02-08-1.dotx</Template>
  <TotalTime>107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5351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matousova9707</dc:creator>
  <cp:lastModifiedBy>Benedikt Jan</cp:lastModifiedBy>
  <cp:revision>53</cp:revision>
  <dcterms:created xsi:type="dcterms:W3CDTF">2022-05-30T04:37:00Z</dcterms:created>
  <dcterms:modified xsi:type="dcterms:W3CDTF">2022-05-30T09:18:00Z</dcterms:modified>
</cp:coreProperties>
</file>