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35" w:rsidRDefault="005E266F" w:rsidP="00770C35">
      <w:pPr>
        <w:pStyle w:val="Datum"/>
      </w:pPr>
      <w:r>
        <w:t>29</w:t>
      </w:r>
      <w:r w:rsidR="00770C35">
        <w:t xml:space="preserve">. </w:t>
      </w:r>
      <w:r>
        <w:t>4</w:t>
      </w:r>
      <w:r w:rsidR="00770C35">
        <w:t>. 202</w:t>
      </w:r>
      <w:r>
        <w:t>2</w:t>
      </w:r>
    </w:p>
    <w:p w:rsidR="00770C35" w:rsidRDefault="00770C35" w:rsidP="00770C35">
      <w:pPr>
        <w:pStyle w:val="Nzev"/>
      </w:pPr>
      <w:r>
        <w:t xml:space="preserve">HDP vzrostl </w:t>
      </w:r>
      <w:proofErr w:type="spellStart"/>
      <w:r>
        <w:t>mezičtvrtletně</w:t>
      </w:r>
      <w:proofErr w:type="spellEnd"/>
      <w:r>
        <w:t xml:space="preserve"> o 0,</w:t>
      </w:r>
      <w:r w:rsidR="00D542D7">
        <w:t>7</w:t>
      </w:r>
      <w:r>
        <w:t xml:space="preserve"> %</w:t>
      </w:r>
    </w:p>
    <w:p w:rsidR="00770C35" w:rsidRPr="002E496D" w:rsidRDefault="00770C35" w:rsidP="00770C35">
      <w:pPr>
        <w:pStyle w:val="Podtitulek"/>
      </w:pPr>
      <w:r w:rsidRPr="002E496D">
        <w:t xml:space="preserve">Předběžný odhad HDP – </w:t>
      </w:r>
      <w:r w:rsidR="005E266F">
        <w:t>1</w:t>
      </w:r>
      <w:r w:rsidRPr="002E496D">
        <w:t>. čtvrtletí 20</w:t>
      </w:r>
      <w:r>
        <w:t>2</w:t>
      </w:r>
      <w:r w:rsidR="005E266F">
        <w:t>2</w:t>
      </w:r>
    </w:p>
    <w:p w:rsidR="00770C35" w:rsidRPr="002E496D" w:rsidRDefault="00770C35" w:rsidP="00770C35">
      <w:pPr>
        <w:pStyle w:val="Perex"/>
      </w:pPr>
      <w:r w:rsidRPr="00915CD9">
        <w:t xml:space="preserve">Podle předběžného odhadu </w:t>
      </w:r>
      <w:r>
        <w:t>vzrostl</w:t>
      </w:r>
      <w:r w:rsidRPr="00915CD9">
        <w:t xml:space="preserve"> hrubý domácí produkt v</w:t>
      </w:r>
      <w:r>
        <w:t xml:space="preserve"> </w:t>
      </w:r>
      <w:r w:rsidR="005E266F">
        <w:t>1</w:t>
      </w:r>
      <w:r w:rsidR="00D542D7">
        <w:t xml:space="preserve">. čtvrtletí </w:t>
      </w:r>
      <w:proofErr w:type="spellStart"/>
      <w:r w:rsidR="00D542D7">
        <w:t>mezičtvrtletně</w:t>
      </w:r>
      <w:proofErr w:type="spellEnd"/>
      <w:r w:rsidR="00D542D7">
        <w:t> o 0,7</w:t>
      </w:r>
      <w:r>
        <w:t xml:space="preserve"> % a </w:t>
      </w:r>
      <w:r w:rsidRPr="00915CD9">
        <w:t xml:space="preserve">meziročně o </w:t>
      </w:r>
      <w:r w:rsidR="00ED5A9F">
        <w:t>4</w:t>
      </w:r>
      <w:r>
        <w:t>,</w:t>
      </w:r>
      <w:r w:rsidR="00D542D7">
        <w:t>6</w:t>
      </w:r>
      <w:r w:rsidRPr="00915CD9">
        <w:t> %</w:t>
      </w:r>
      <w:r>
        <w:t>.</w:t>
      </w:r>
    </w:p>
    <w:p w:rsidR="00770C35" w:rsidRDefault="00FF55C0" w:rsidP="00770C35">
      <w:pPr>
        <w:rPr>
          <w:rFonts w:cs="Arial"/>
          <w:bCs/>
          <w:szCs w:val="20"/>
        </w:rPr>
      </w:pPr>
      <w:r>
        <w:t>Č</w:t>
      </w:r>
      <w:r w:rsidRPr="00FB00A2">
        <w:t>eské ekonomi</w:t>
      </w:r>
      <w:r>
        <w:t>ce</w:t>
      </w:r>
      <w:r w:rsidRPr="00FB00A2">
        <w:t xml:space="preserve"> </w:t>
      </w:r>
      <w:r>
        <w:t>se dařilo</w:t>
      </w:r>
      <w:r w:rsidRPr="00FB00A2">
        <w:t xml:space="preserve"> i na počátku roku 20</w:t>
      </w:r>
      <w:r>
        <w:t>22</w:t>
      </w:r>
      <w:r w:rsidR="008F7395">
        <w:t xml:space="preserve">. </w:t>
      </w:r>
      <w:r w:rsidR="00770C35" w:rsidRPr="00FB00A2">
        <w:t xml:space="preserve">Hrubý domácí produkt </w:t>
      </w:r>
      <w:r w:rsidR="00770C35">
        <w:t>(HDP) očištěný o cenové vlivy a </w:t>
      </w:r>
      <w:r w:rsidR="00770C35" w:rsidRPr="00FB00A2">
        <w:t>sezónnost</w:t>
      </w:r>
      <w:r w:rsidR="00770C35" w:rsidRPr="00FB00A2">
        <w:rPr>
          <w:rStyle w:val="Znakapoznpodarou"/>
        </w:rPr>
        <w:footnoteReference w:id="1"/>
      </w:r>
      <w:r w:rsidR="00770C35" w:rsidRPr="00FB00A2">
        <w:rPr>
          <w:rFonts w:cs="Arial"/>
          <w:bCs/>
          <w:szCs w:val="20"/>
        </w:rPr>
        <w:t xml:space="preserve"> byl </w:t>
      </w:r>
      <w:r w:rsidR="00770C35" w:rsidRPr="00D6142E">
        <w:rPr>
          <w:rFonts w:cs="Arial"/>
          <w:bCs/>
          <w:szCs w:val="20"/>
        </w:rPr>
        <w:t>v </w:t>
      </w:r>
      <w:r w:rsidR="005E266F">
        <w:rPr>
          <w:rFonts w:cs="Arial"/>
          <w:bCs/>
          <w:szCs w:val="20"/>
        </w:rPr>
        <w:t>1</w:t>
      </w:r>
      <w:r w:rsidR="00770C35" w:rsidRPr="00D6142E">
        <w:rPr>
          <w:rFonts w:cs="Arial"/>
          <w:bCs/>
          <w:szCs w:val="20"/>
        </w:rPr>
        <w:t>.</w:t>
      </w:r>
      <w:r w:rsidR="00770C35">
        <w:rPr>
          <w:rFonts w:cs="Arial"/>
          <w:bCs/>
          <w:szCs w:val="20"/>
        </w:rPr>
        <w:t> </w:t>
      </w:r>
      <w:r w:rsidR="00770C35" w:rsidRPr="00D6142E">
        <w:rPr>
          <w:rFonts w:cs="Arial"/>
          <w:bCs/>
          <w:szCs w:val="20"/>
        </w:rPr>
        <w:t xml:space="preserve">čtvrtletí </w:t>
      </w:r>
      <w:r w:rsidR="00770C35" w:rsidRPr="00FB00A2">
        <w:rPr>
          <w:rFonts w:cs="Arial"/>
          <w:bCs/>
          <w:szCs w:val="20"/>
        </w:rPr>
        <w:t>podle předběžného odhadu o </w:t>
      </w:r>
      <w:r w:rsidR="00770C35">
        <w:rPr>
          <w:rFonts w:cs="Arial"/>
          <w:bCs/>
          <w:szCs w:val="20"/>
        </w:rPr>
        <w:t>0</w:t>
      </w:r>
      <w:r w:rsidR="00770C35" w:rsidRPr="00FB00A2">
        <w:rPr>
          <w:rFonts w:cs="Arial"/>
          <w:bCs/>
          <w:szCs w:val="20"/>
        </w:rPr>
        <w:t>,</w:t>
      </w:r>
      <w:r w:rsidR="00A25FB7">
        <w:rPr>
          <w:rFonts w:cs="Arial"/>
          <w:bCs/>
          <w:szCs w:val="20"/>
        </w:rPr>
        <w:t>7</w:t>
      </w:r>
      <w:r w:rsidR="00770C35" w:rsidRPr="00FB00A2">
        <w:rPr>
          <w:rFonts w:cs="Arial"/>
          <w:bCs/>
          <w:szCs w:val="20"/>
        </w:rPr>
        <w:t xml:space="preserve"> % </w:t>
      </w:r>
      <w:r w:rsidR="00770C35">
        <w:rPr>
          <w:rFonts w:cs="Arial"/>
          <w:bCs/>
          <w:szCs w:val="20"/>
        </w:rPr>
        <w:t>vyšší</w:t>
      </w:r>
      <w:r w:rsidR="00770C35" w:rsidRPr="00FB00A2">
        <w:rPr>
          <w:rFonts w:cs="Arial"/>
          <w:bCs/>
          <w:szCs w:val="20"/>
        </w:rPr>
        <w:t xml:space="preserve"> než </w:t>
      </w:r>
      <w:r>
        <w:rPr>
          <w:rFonts w:cs="Arial"/>
          <w:bCs/>
          <w:szCs w:val="20"/>
        </w:rPr>
        <w:t>v </w:t>
      </w:r>
      <w:r w:rsidR="00770C35">
        <w:rPr>
          <w:rFonts w:cs="Arial"/>
          <w:bCs/>
          <w:szCs w:val="20"/>
        </w:rPr>
        <w:t xml:space="preserve">předchozím čtvrtletí a </w:t>
      </w:r>
      <w:r w:rsidR="00770C35" w:rsidRPr="00FB00A2">
        <w:rPr>
          <w:rFonts w:cs="Arial"/>
          <w:bCs/>
          <w:szCs w:val="20"/>
        </w:rPr>
        <w:t>v</w:t>
      </w:r>
      <w:r w:rsidR="00770C35">
        <w:rPr>
          <w:rFonts w:cs="Arial"/>
          <w:bCs/>
          <w:szCs w:val="20"/>
        </w:rPr>
        <w:t> porovnání se stejným čtvrtletím předchozího roku vzrostl</w:t>
      </w:r>
      <w:r w:rsidR="00770C35" w:rsidRPr="00FB00A2">
        <w:rPr>
          <w:rFonts w:cs="Arial"/>
          <w:bCs/>
          <w:szCs w:val="20"/>
        </w:rPr>
        <w:t xml:space="preserve"> o </w:t>
      </w:r>
      <w:r w:rsidR="00ED5A9F">
        <w:rPr>
          <w:rFonts w:cs="Arial"/>
          <w:bCs/>
          <w:szCs w:val="20"/>
        </w:rPr>
        <w:t>4</w:t>
      </w:r>
      <w:r w:rsidR="00770C35" w:rsidRPr="00FB00A2">
        <w:rPr>
          <w:rFonts w:cs="Arial"/>
          <w:bCs/>
          <w:szCs w:val="20"/>
        </w:rPr>
        <w:t>,</w:t>
      </w:r>
      <w:r w:rsidR="00A25FB7">
        <w:rPr>
          <w:rFonts w:cs="Arial"/>
          <w:bCs/>
          <w:szCs w:val="20"/>
        </w:rPr>
        <w:t>6</w:t>
      </w:r>
      <w:r w:rsidR="00770C35" w:rsidRPr="00FB00A2">
        <w:rPr>
          <w:rFonts w:cs="Arial"/>
          <w:bCs/>
          <w:szCs w:val="20"/>
        </w:rPr>
        <w:t> %.</w:t>
      </w:r>
    </w:p>
    <w:p w:rsidR="00770C35" w:rsidRDefault="00770C35" w:rsidP="00770C35">
      <w:pPr>
        <w:rPr>
          <w:rFonts w:cs="Arial"/>
          <w:bCs/>
          <w:szCs w:val="20"/>
        </w:rPr>
      </w:pPr>
    </w:p>
    <w:p w:rsidR="00770C35" w:rsidRDefault="00E960EF" w:rsidP="00770C35">
      <w:pPr>
        <w:rPr>
          <w:rFonts w:cs="Arial"/>
          <w:bCs/>
          <w:szCs w:val="20"/>
        </w:rPr>
      </w:pPr>
      <w:r>
        <w:rPr>
          <w:noProof/>
          <w:lang w:eastAsia="cs-CZ"/>
        </w:rPr>
        <w:drawing>
          <wp:inline distT="0" distB="0" distL="0" distR="0" wp14:anchorId="2F00A86C" wp14:editId="7B00C07D">
            <wp:extent cx="5400040" cy="2781300"/>
            <wp:effectExtent l="0" t="0" r="10160" b="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0C35" w:rsidRDefault="00770C35" w:rsidP="00770C35">
      <w:pPr>
        <w:rPr>
          <w:rFonts w:cs="Arial"/>
          <w:bCs/>
          <w:szCs w:val="20"/>
        </w:rPr>
      </w:pPr>
    </w:p>
    <w:p w:rsidR="00C50E8B" w:rsidRPr="00311F84" w:rsidRDefault="00C50E8B" w:rsidP="00770C35">
      <w:pPr>
        <w:rPr>
          <w:rFonts w:cs="Arial"/>
          <w:bCs/>
          <w:szCs w:val="20"/>
        </w:rPr>
      </w:pPr>
      <w:r>
        <w:t>„</w:t>
      </w:r>
      <w:r w:rsidR="00770C35" w:rsidRPr="00C50E8B">
        <w:rPr>
          <w:i/>
        </w:rPr>
        <w:t xml:space="preserve">K meziročnímu růstu HDP </w:t>
      </w:r>
      <w:r w:rsidR="00770C35" w:rsidRPr="00C50E8B">
        <w:rPr>
          <w:rFonts w:cs="Arial"/>
          <w:bCs/>
          <w:i/>
          <w:szCs w:val="20"/>
        </w:rPr>
        <w:t>pozitivně přispěl</w:t>
      </w:r>
      <w:r w:rsidR="00ED5A9F" w:rsidRPr="00C50E8B">
        <w:rPr>
          <w:rFonts w:cs="Arial"/>
          <w:bCs/>
          <w:i/>
          <w:szCs w:val="20"/>
        </w:rPr>
        <w:t>y</w:t>
      </w:r>
      <w:r w:rsidR="00770C35" w:rsidRPr="00C50E8B">
        <w:rPr>
          <w:rFonts w:cs="Arial"/>
          <w:bCs/>
          <w:i/>
          <w:szCs w:val="20"/>
        </w:rPr>
        <w:t xml:space="preserve"> zejména </w:t>
      </w:r>
      <w:r w:rsidR="00ED5A9F" w:rsidRPr="00C50E8B">
        <w:rPr>
          <w:rFonts w:cs="Arial"/>
          <w:bCs/>
          <w:i/>
          <w:szCs w:val="20"/>
        </w:rPr>
        <w:t>výdaje na konečnou spotřebu domácností a tvorba hrubého kapitálu</w:t>
      </w:r>
      <w:r w:rsidR="00770C35" w:rsidRPr="00C50E8B">
        <w:rPr>
          <w:rFonts w:cs="Arial"/>
          <w:bCs/>
          <w:i/>
          <w:szCs w:val="20"/>
        </w:rPr>
        <w:t xml:space="preserve">. </w:t>
      </w:r>
      <w:r w:rsidR="00ED5A9F" w:rsidRPr="00C50E8B">
        <w:rPr>
          <w:rFonts w:cs="Arial"/>
          <w:bCs/>
          <w:i/>
          <w:szCs w:val="20"/>
        </w:rPr>
        <w:t>Naopak přetrvával negativní vliv zahraniční poptávky</w:t>
      </w:r>
      <w:r w:rsidR="00311F84">
        <w:rPr>
          <w:rFonts w:cs="Arial"/>
          <w:bCs/>
          <w:i/>
          <w:szCs w:val="20"/>
        </w:rPr>
        <w:t>,</w:t>
      </w:r>
      <w:r>
        <w:rPr>
          <w:rFonts w:cs="Arial"/>
          <w:bCs/>
          <w:szCs w:val="20"/>
        </w:rPr>
        <w:t xml:space="preserve">“ </w:t>
      </w:r>
      <w:r w:rsidRPr="00311F84">
        <w:rPr>
          <w:rFonts w:cs="Arial"/>
          <w:szCs w:val="20"/>
        </w:rPr>
        <w:t>sdělil Vladimír Kermiet, ředitel odboru národních účtů ČSÚ</w:t>
      </w:r>
      <w:r w:rsidRPr="00311F84">
        <w:rPr>
          <w:rFonts w:cs="Arial"/>
          <w:bCs/>
          <w:szCs w:val="20"/>
        </w:rPr>
        <w:t>.</w:t>
      </w:r>
    </w:p>
    <w:p w:rsidR="00C50E8B" w:rsidRDefault="00C50E8B" w:rsidP="00770C35">
      <w:pPr>
        <w:rPr>
          <w:rFonts w:cs="Arial"/>
          <w:bCs/>
          <w:szCs w:val="20"/>
        </w:rPr>
      </w:pPr>
    </w:p>
    <w:p w:rsidR="00311F84" w:rsidRDefault="00A128B1" w:rsidP="00C50E8B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Mezičtvrtletní vývoj byl pozitivně ovlivněn především tvorbou hrubého fixního kapitálu</w:t>
      </w:r>
      <w:r w:rsidR="007048E3">
        <w:rPr>
          <w:rFonts w:cs="Arial"/>
          <w:bCs/>
          <w:szCs w:val="20"/>
        </w:rPr>
        <w:t xml:space="preserve"> a </w:t>
      </w:r>
      <w:r w:rsidR="00F73827">
        <w:rPr>
          <w:rFonts w:cs="Arial"/>
          <w:bCs/>
          <w:szCs w:val="20"/>
        </w:rPr>
        <w:t>růstem salda zahraničního obchodu</w:t>
      </w:r>
      <w:r>
        <w:rPr>
          <w:rFonts w:cs="Arial"/>
          <w:bCs/>
          <w:szCs w:val="20"/>
        </w:rPr>
        <w:t>.</w:t>
      </w:r>
      <w:r w:rsidR="007048E3">
        <w:rPr>
          <w:rFonts w:cs="Arial"/>
          <w:bCs/>
          <w:szCs w:val="20"/>
        </w:rPr>
        <w:t xml:space="preserve"> </w:t>
      </w:r>
    </w:p>
    <w:p w:rsidR="00311F84" w:rsidRDefault="00311F84" w:rsidP="00C50E8B">
      <w:pPr>
        <w:rPr>
          <w:rFonts w:cs="Arial"/>
          <w:bCs/>
          <w:szCs w:val="20"/>
        </w:rPr>
      </w:pPr>
    </w:p>
    <w:p w:rsidR="00C50E8B" w:rsidRDefault="00A128B1" w:rsidP="00C50E8B">
      <w:bookmarkStart w:id="0" w:name="_GoBack"/>
      <w:bookmarkEnd w:id="0"/>
      <w:r>
        <w:rPr>
          <w:rFonts w:cs="Arial"/>
          <w:bCs/>
          <w:szCs w:val="20"/>
        </w:rPr>
        <w:t>Z</w:t>
      </w:r>
      <w:r w:rsidR="007048E3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hlediska odvětvové struktury byl m</w:t>
      </w:r>
      <w:r w:rsidR="00770C35">
        <w:rPr>
          <w:rFonts w:cs="Arial"/>
          <w:bCs/>
          <w:szCs w:val="20"/>
        </w:rPr>
        <w:t xml:space="preserve">eziroční růst hrubé přidané hodnoty nejvíce </w:t>
      </w:r>
      <w:r w:rsidR="007D51A5">
        <w:rPr>
          <w:rFonts w:cs="Arial"/>
          <w:bCs/>
          <w:szCs w:val="20"/>
        </w:rPr>
        <w:t>podpořen</w:t>
      </w:r>
      <w:r w:rsidR="00770C35">
        <w:rPr>
          <w:rFonts w:cs="Arial"/>
          <w:bCs/>
          <w:szCs w:val="20"/>
        </w:rPr>
        <w:t xml:space="preserve"> </w:t>
      </w:r>
      <w:r>
        <w:t xml:space="preserve">stavebnictvím a </w:t>
      </w:r>
      <w:r w:rsidR="00770C35" w:rsidRPr="00CA020A">
        <w:t>skupin</w:t>
      </w:r>
      <w:r>
        <w:t>ou</w:t>
      </w:r>
      <w:r w:rsidR="00770C35">
        <w:t xml:space="preserve"> odvětví obchodu, dopravy, ubytování a pohostinství.</w:t>
      </w:r>
      <w:r>
        <w:t xml:space="preserve"> Dařilo se i většině odvětví služeb.</w:t>
      </w:r>
    </w:p>
    <w:p w:rsidR="00C50E8B" w:rsidRDefault="00C50E8B" w:rsidP="00C50E8B"/>
    <w:p w:rsidR="00770C35" w:rsidRDefault="00770C35" w:rsidP="00C50E8B">
      <w:r w:rsidRPr="00C10C30">
        <w:rPr>
          <w:bCs/>
        </w:rPr>
        <w:lastRenderedPageBreak/>
        <w:t>Zaměstnanost</w:t>
      </w:r>
      <w:r w:rsidRPr="00C10C30">
        <w:rPr>
          <w:rStyle w:val="Znakapoznpodarou"/>
        </w:rPr>
        <w:footnoteReference w:id="2"/>
      </w:r>
      <w:r>
        <w:t xml:space="preserve"> </w:t>
      </w:r>
      <w:r w:rsidR="00531644">
        <w:t xml:space="preserve">se </w:t>
      </w:r>
      <w:proofErr w:type="spellStart"/>
      <w:r>
        <w:t>mezičtvrtletně</w:t>
      </w:r>
      <w:proofErr w:type="spellEnd"/>
      <w:r>
        <w:t xml:space="preserve"> </w:t>
      </w:r>
      <w:r w:rsidR="00531644">
        <w:t>nezměnila</w:t>
      </w:r>
      <w:r>
        <w:t xml:space="preserve"> a </w:t>
      </w:r>
      <w:r w:rsidRPr="00C10C30">
        <w:t>oproti ste</w:t>
      </w:r>
      <w:r>
        <w:t>jnému čtvrtletí loňského roku vzrostla o </w:t>
      </w:r>
      <w:r w:rsidR="005E007D">
        <w:t>1</w:t>
      </w:r>
      <w:r w:rsidRPr="00C10C30">
        <w:t>,</w:t>
      </w:r>
      <w:r w:rsidR="00531644">
        <w:t>2</w:t>
      </w:r>
      <w:r w:rsidRPr="00C10C30">
        <w:t> %.</w:t>
      </w:r>
    </w:p>
    <w:p w:rsidR="00770C35" w:rsidRPr="00304ECA" w:rsidRDefault="00770C35" w:rsidP="00770C35">
      <w:pPr>
        <w:pStyle w:val="Poznmky"/>
        <w:tabs>
          <w:tab w:val="left" w:pos="284"/>
        </w:tabs>
        <w:spacing w:before="600"/>
        <w:ind w:left="4253" w:hanging="4253"/>
        <w:rPr>
          <w:i/>
        </w:rPr>
      </w:pPr>
      <w:r>
        <w:rPr>
          <w:i/>
        </w:rPr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>
        <w:rPr>
          <w:i/>
        </w:rPr>
        <w:t>Ing. Vladimír Kermiet</w:t>
      </w:r>
      <w:r w:rsidRPr="00304ECA">
        <w:rPr>
          <w:i/>
        </w:rPr>
        <w:t xml:space="preserve">, ředitel </w:t>
      </w:r>
      <w:r>
        <w:rPr>
          <w:i/>
        </w:rPr>
        <w:t>o</w:t>
      </w:r>
      <w:r w:rsidRPr="00304ECA">
        <w:rPr>
          <w:i/>
        </w:rPr>
        <w:t xml:space="preserve">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e</w:t>
      </w:r>
      <w:r>
        <w:rPr>
          <w:i/>
        </w:rPr>
        <w:noBreakHyphen/>
        <w:t>mail: </w:t>
      </w:r>
      <w:hyperlink r:id="rId8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:rsidR="00770C35" w:rsidRDefault="00770C35" w:rsidP="00770C35">
      <w:pPr>
        <w:pStyle w:val="Poznamkytexty"/>
        <w:ind w:left="4253" w:hanging="4253"/>
        <w:jc w:val="left"/>
      </w:pPr>
      <w:r>
        <w:t>Kontaktní osoba:</w:t>
      </w:r>
      <w:r>
        <w:tab/>
        <w:t>Ing. Jan Benedikt</w:t>
      </w:r>
      <w:r w:rsidRPr="00315471">
        <w:t xml:space="preserve">, </w:t>
      </w:r>
      <w:r>
        <w:t xml:space="preserve">vedoucí oddělení čtvrtletních odhadů, </w:t>
      </w:r>
      <w:r w:rsidRPr="00315471">
        <w:t>tel.</w:t>
      </w:r>
      <w:r>
        <w:t> </w:t>
      </w:r>
      <w:r w:rsidRPr="00315471">
        <w:t>274 052 750, e</w:t>
      </w:r>
      <w:r w:rsidRPr="00315471">
        <w:noBreakHyphen/>
        <w:t>mail: </w:t>
      </w:r>
      <w:hyperlink r:id="rId9" w:history="1">
        <w:r w:rsidRPr="00D82385">
          <w:rPr>
            <w:rStyle w:val="Hypertextovodkaz"/>
          </w:rPr>
          <w:t>jan.benedikt@czso.cz</w:t>
        </w:r>
      </w:hyperlink>
      <w:r>
        <w:t xml:space="preserve"> </w:t>
      </w:r>
    </w:p>
    <w:p w:rsidR="00770C35" w:rsidRDefault="00770C35" w:rsidP="00770C35">
      <w:pPr>
        <w:pStyle w:val="Poznamkytexty"/>
        <w:ind w:left="4253" w:hanging="4253"/>
      </w:pPr>
      <w:r>
        <w:t>Aktuálnost použitých datových zdrojů</w:t>
      </w:r>
      <w:r w:rsidRPr="00B13ABB">
        <w:t>:</w:t>
      </w:r>
      <w:r w:rsidRPr="00B13ABB">
        <w:tab/>
      </w:r>
      <w:r>
        <w:t xml:space="preserve">26. </w:t>
      </w:r>
      <w:r w:rsidR="005E266F">
        <w:t>dubna</w:t>
      </w:r>
      <w:r>
        <w:t xml:space="preserve"> 202</w:t>
      </w:r>
      <w:r w:rsidR="005E266F">
        <w:t>2</w:t>
      </w:r>
    </w:p>
    <w:p w:rsidR="00770C35" w:rsidRPr="00D9330E" w:rsidRDefault="00770C35" w:rsidP="00770C35">
      <w:pPr>
        <w:pStyle w:val="Poznamkytexty"/>
        <w:ind w:left="4253" w:hanging="4253"/>
        <w:rPr>
          <w:color w:val="auto"/>
        </w:rPr>
      </w:pPr>
      <w:r>
        <w:t>Internetové stránky ČSÚ</w:t>
      </w:r>
      <w:r w:rsidRPr="00B13ABB">
        <w:t>:</w:t>
      </w:r>
      <w:r w:rsidRPr="00B13ABB">
        <w:tab/>
      </w:r>
      <w:hyperlink r:id="rId10" w:history="1">
        <w:r w:rsidRPr="002F0441">
          <w:rPr>
            <w:rStyle w:val="Hypertextovodkaz"/>
          </w:rPr>
          <w:t>https://www.czso.cz/csu/czso/ctvrtletni-narodni-ucty-tvorba-a-uziti-hdp-a-predbezny-odhad-hdp</w:t>
        </w:r>
      </w:hyperlink>
      <w:r>
        <w:rPr>
          <w:color w:val="auto"/>
        </w:rPr>
        <w:t xml:space="preserve"> </w:t>
      </w:r>
    </w:p>
    <w:p w:rsidR="00770C35" w:rsidRPr="004920AD" w:rsidRDefault="00770C35" w:rsidP="00770C35">
      <w:pPr>
        <w:pStyle w:val="Poznamkytexty"/>
        <w:ind w:left="4253" w:hanging="4253"/>
        <w:jc w:val="left"/>
      </w:pPr>
      <w:r>
        <w:t>Termín zveřejnění další RI:</w:t>
      </w:r>
      <w:r>
        <w:tab/>
        <w:t xml:space="preserve">31. </w:t>
      </w:r>
      <w:r w:rsidR="005E266F">
        <w:t>května</w:t>
      </w:r>
      <w:r>
        <w:t xml:space="preserve"> 202</w:t>
      </w:r>
      <w:r w:rsidR="005E266F">
        <w:t>2</w:t>
      </w:r>
      <w:r>
        <w:t xml:space="preserve"> </w:t>
      </w:r>
      <w:r>
        <w:br/>
        <w:t xml:space="preserve">(Tvorba a užití HDP za </w:t>
      </w:r>
      <w:r w:rsidR="005E266F">
        <w:t>1</w:t>
      </w:r>
      <w:r>
        <w:t>. čtvrtletí 202</w:t>
      </w:r>
      <w:r w:rsidR="005E266F">
        <w:t>2</w:t>
      </w:r>
      <w:r>
        <w:t>)</w:t>
      </w:r>
    </w:p>
    <w:p w:rsidR="00D209A7" w:rsidRPr="00770C35" w:rsidRDefault="00D209A7" w:rsidP="00770C35"/>
    <w:sectPr w:rsidR="00D209A7" w:rsidRPr="00770C35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B34" w:rsidRDefault="004E7B34" w:rsidP="00BA6370">
      <w:r>
        <w:separator/>
      </w:r>
    </w:p>
  </w:endnote>
  <w:endnote w:type="continuationSeparator" w:id="0">
    <w:p w:rsidR="004E7B34" w:rsidRDefault="004E7B3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11F84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11F84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567E9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B34" w:rsidRDefault="004E7B34" w:rsidP="00BA6370">
      <w:r>
        <w:separator/>
      </w:r>
    </w:p>
  </w:footnote>
  <w:footnote w:type="continuationSeparator" w:id="0">
    <w:p w:rsidR="004E7B34" w:rsidRDefault="004E7B34" w:rsidP="00BA6370">
      <w:r>
        <w:continuationSeparator/>
      </w:r>
    </w:p>
  </w:footnote>
  <w:footnote w:id="1">
    <w:p w:rsidR="00770C35" w:rsidRPr="00943006" w:rsidRDefault="00770C35" w:rsidP="00770C35">
      <w:pPr>
        <w:pStyle w:val="Textpoznpodarou"/>
        <w:spacing w:before="60"/>
        <w:rPr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Všechny u</w:t>
      </w:r>
      <w:r w:rsidRPr="00943006">
        <w:rPr>
          <w:rFonts w:ascii="Arial" w:hAnsi="Arial" w:cs="Arial"/>
          <w:i/>
          <w:sz w:val="18"/>
          <w:szCs w:val="18"/>
        </w:rPr>
        <w:t xml:space="preserve">váděné údaje </w:t>
      </w:r>
      <w:r>
        <w:rPr>
          <w:rFonts w:ascii="Arial" w:hAnsi="Arial" w:cs="Arial"/>
          <w:i/>
          <w:sz w:val="18"/>
          <w:szCs w:val="18"/>
        </w:rPr>
        <w:t xml:space="preserve">jsou </w:t>
      </w:r>
      <w:r w:rsidRPr="00943006">
        <w:rPr>
          <w:rFonts w:ascii="Arial" w:hAnsi="Arial" w:cs="Arial"/>
          <w:i/>
          <w:sz w:val="18"/>
          <w:szCs w:val="18"/>
        </w:rPr>
        <w:t xml:space="preserve">očištěny o sezónní vlivy a nestejný počet pracovních dní. </w:t>
      </w:r>
    </w:p>
  </w:footnote>
  <w:footnote w:id="2">
    <w:p w:rsidR="00770C35" w:rsidRPr="00943006" w:rsidRDefault="00770C35" w:rsidP="00770C35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681B6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DC"/>
    <w:rsid w:val="00007D21"/>
    <w:rsid w:val="00043BF4"/>
    <w:rsid w:val="000671A9"/>
    <w:rsid w:val="000754C2"/>
    <w:rsid w:val="000843A5"/>
    <w:rsid w:val="000910DA"/>
    <w:rsid w:val="00096D6C"/>
    <w:rsid w:val="000B6F63"/>
    <w:rsid w:val="000D093F"/>
    <w:rsid w:val="000D3E39"/>
    <w:rsid w:val="000E43CC"/>
    <w:rsid w:val="001404AB"/>
    <w:rsid w:val="001511B3"/>
    <w:rsid w:val="00152BAF"/>
    <w:rsid w:val="0017231D"/>
    <w:rsid w:val="001810DC"/>
    <w:rsid w:val="00187632"/>
    <w:rsid w:val="001B607F"/>
    <w:rsid w:val="001D369A"/>
    <w:rsid w:val="001F08B3"/>
    <w:rsid w:val="001F2FE0"/>
    <w:rsid w:val="00200854"/>
    <w:rsid w:val="002070FB"/>
    <w:rsid w:val="00213729"/>
    <w:rsid w:val="002406FA"/>
    <w:rsid w:val="00244039"/>
    <w:rsid w:val="00254511"/>
    <w:rsid w:val="0026107B"/>
    <w:rsid w:val="00275DF8"/>
    <w:rsid w:val="00283787"/>
    <w:rsid w:val="00284C2C"/>
    <w:rsid w:val="002B2E47"/>
    <w:rsid w:val="002D2649"/>
    <w:rsid w:val="002D7F4F"/>
    <w:rsid w:val="00311F84"/>
    <w:rsid w:val="00324416"/>
    <w:rsid w:val="003301A3"/>
    <w:rsid w:val="0036777B"/>
    <w:rsid w:val="003734EA"/>
    <w:rsid w:val="0038282A"/>
    <w:rsid w:val="00397580"/>
    <w:rsid w:val="003A45C8"/>
    <w:rsid w:val="003C2DCF"/>
    <w:rsid w:val="003C4F7B"/>
    <w:rsid w:val="003C7FE7"/>
    <w:rsid w:val="003D0499"/>
    <w:rsid w:val="003D3576"/>
    <w:rsid w:val="003D529B"/>
    <w:rsid w:val="003F526A"/>
    <w:rsid w:val="00405244"/>
    <w:rsid w:val="004154C7"/>
    <w:rsid w:val="004436EE"/>
    <w:rsid w:val="0045547F"/>
    <w:rsid w:val="00471DEF"/>
    <w:rsid w:val="00472310"/>
    <w:rsid w:val="004767C2"/>
    <w:rsid w:val="004920AD"/>
    <w:rsid w:val="004C1BBB"/>
    <w:rsid w:val="004D05B3"/>
    <w:rsid w:val="004E479E"/>
    <w:rsid w:val="004E7B34"/>
    <w:rsid w:val="004F134E"/>
    <w:rsid w:val="004F686C"/>
    <w:rsid w:val="004F78E6"/>
    <w:rsid w:val="0050420E"/>
    <w:rsid w:val="00512D99"/>
    <w:rsid w:val="005211E4"/>
    <w:rsid w:val="00531644"/>
    <w:rsid w:val="00531DBB"/>
    <w:rsid w:val="00573994"/>
    <w:rsid w:val="00585F13"/>
    <w:rsid w:val="005E007D"/>
    <w:rsid w:val="005E266F"/>
    <w:rsid w:val="005E7011"/>
    <w:rsid w:val="005F79FB"/>
    <w:rsid w:val="00604406"/>
    <w:rsid w:val="00605F4A"/>
    <w:rsid w:val="00607822"/>
    <w:rsid w:val="006103AA"/>
    <w:rsid w:val="00613BBF"/>
    <w:rsid w:val="00622B80"/>
    <w:rsid w:val="0064139A"/>
    <w:rsid w:val="00680927"/>
    <w:rsid w:val="00683F5C"/>
    <w:rsid w:val="00692211"/>
    <w:rsid w:val="006931CF"/>
    <w:rsid w:val="006C05CC"/>
    <w:rsid w:val="006C0678"/>
    <w:rsid w:val="006D21EB"/>
    <w:rsid w:val="006E024F"/>
    <w:rsid w:val="006E4E81"/>
    <w:rsid w:val="007048E3"/>
    <w:rsid w:val="00707F7D"/>
    <w:rsid w:val="00717EC5"/>
    <w:rsid w:val="00734E3E"/>
    <w:rsid w:val="00754C20"/>
    <w:rsid w:val="00770C35"/>
    <w:rsid w:val="007A2048"/>
    <w:rsid w:val="007A57F2"/>
    <w:rsid w:val="007B1333"/>
    <w:rsid w:val="007C771E"/>
    <w:rsid w:val="007D51A5"/>
    <w:rsid w:val="007D6941"/>
    <w:rsid w:val="007F4AEB"/>
    <w:rsid w:val="007F75B2"/>
    <w:rsid w:val="00803993"/>
    <w:rsid w:val="008043C4"/>
    <w:rsid w:val="00817ADC"/>
    <w:rsid w:val="00831B1B"/>
    <w:rsid w:val="00844154"/>
    <w:rsid w:val="00855FB3"/>
    <w:rsid w:val="00861D0E"/>
    <w:rsid w:val="00862A04"/>
    <w:rsid w:val="008662BB"/>
    <w:rsid w:val="00867569"/>
    <w:rsid w:val="00870B17"/>
    <w:rsid w:val="00884917"/>
    <w:rsid w:val="00896680"/>
    <w:rsid w:val="008976A5"/>
    <w:rsid w:val="008A750A"/>
    <w:rsid w:val="008B3970"/>
    <w:rsid w:val="008C384C"/>
    <w:rsid w:val="008D0F11"/>
    <w:rsid w:val="008D5290"/>
    <w:rsid w:val="008D7206"/>
    <w:rsid w:val="008F24E5"/>
    <w:rsid w:val="008F7395"/>
    <w:rsid w:val="008F73B4"/>
    <w:rsid w:val="00904B72"/>
    <w:rsid w:val="00930BA9"/>
    <w:rsid w:val="0094322B"/>
    <w:rsid w:val="00981D35"/>
    <w:rsid w:val="00986DD7"/>
    <w:rsid w:val="009B55B1"/>
    <w:rsid w:val="009B62A7"/>
    <w:rsid w:val="00A0762A"/>
    <w:rsid w:val="00A1095E"/>
    <w:rsid w:val="00A128B1"/>
    <w:rsid w:val="00A15612"/>
    <w:rsid w:val="00A16A1F"/>
    <w:rsid w:val="00A25FB7"/>
    <w:rsid w:val="00A4343D"/>
    <w:rsid w:val="00A502F1"/>
    <w:rsid w:val="00A70A83"/>
    <w:rsid w:val="00A81EB3"/>
    <w:rsid w:val="00A955BC"/>
    <w:rsid w:val="00AB3410"/>
    <w:rsid w:val="00AD04BF"/>
    <w:rsid w:val="00AD7489"/>
    <w:rsid w:val="00B00C1D"/>
    <w:rsid w:val="00B55375"/>
    <w:rsid w:val="00B632CC"/>
    <w:rsid w:val="00BA12F1"/>
    <w:rsid w:val="00BA439F"/>
    <w:rsid w:val="00BA6370"/>
    <w:rsid w:val="00BF7B16"/>
    <w:rsid w:val="00C009CE"/>
    <w:rsid w:val="00C269D4"/>
    <w:rsid w:val="00C31C8E"/>
    <w:rsid w:val="00C35900"/>
    <w:rsid w:val="00C37ADB"/>
    <w:rsid w:val="00C4160D"/>
    <w:rsid w:val="00C50E8B"/>
    <w:rsid w:val="00C8406E"/>
    <w:rsid w:val="00CA2DB0"/>
    <w:rsid w:val="00CB2709"/>
    <w:rsid w:val="00CB6F89"/>
    <w:rsid w:val="00CC0AE9"/>
    <w:rsid w:val="00CC6BC1"/>
    <w:rsid w:val="00CD618A"/>
    <w:rsid w:val="00CE13A2"/>
    <w:rsid w:val="00CE228C"/>
    <w:rsid w:val="00CE71D9"/>
    <w:rsid w:val="00CF545B"/>
    <w:rsid w:val="00D209A7"/>
    <w:rsid w:val="00D27D69"/>
    <w:rsid w:val="00D33658"/>
    <w:rsid w:val="00D3597A"/>
    <w:rsid w:val="00D448C2"/>
    <w:rsid w:val="00D542D7"/>
    <w:rsid w:val="00D62B6D"/>
    <w:rsid w:val="00D666C3"/>
    <w:rsid w:val="00D67AAE"/>
    <w:rsid w:val="00D9189F"/>
    <w:rsid w:val="00DC014F"/>
    <w:rsid w:val="00DD6F49"/>
    <w:rsid w:val="00DF0E94"/>
    <w:rsid w:val="00DF47FE"/>
    <w:rsid w:val="00E0156A"/>
    <w:rsid w:val="00E13264"/>
    <w:rsid w:val="00E256DA"/>
    <w:rsid w:val="00E26704"/>
    <w:rsid w:val="00E31980"/>
    <w:rsid w:val="00E6423C"/>
    <w:rsid w:val="00E93830"/>
    <w:rsid w:val="00E93E0E"/>
    <w:rsid w:val="00E960EF"/>
    <w:rsid w:val="00EB1ED3"/>
    <w:rsid w:val="00ED5A9F"/>
    <w:rsid w:val="00F04EC3"/>
    <w:rsid w:val="00F60982"/>
    <w:rsid w:val="00F73827"/>
    <w:rsid w:val="00F75F2A"/>
    <w:rsid w:val="00FB687C"/>
    <w:rsid w:val="00FF37CD"/>
    <w:rsid w:val="00FF55C0"/>
    <w:rsid w:val="00FF5D4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1bc"/>
    </o:shapedefaults>
    <o:shapelayout v:ext="edit">
      <o:idmap v:ext="edit" data="1"/>
    </o:shapelayout>
  </w:shapeDefaults>
  <w:decimalSymbol w:val=","/>
  <w:listSeparator w:val=";"/>
  <w14:docId w14:val="32193BA5"/>
  <w15:docId w15:val="{E6155C0E-5F67-4EC3-A7EB-F374DDEE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981D35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981D35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81D35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981D35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770C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ctvrtletni-narodni-ucty-tvorba-a-uziti-hdp-a-predbezny-odhad-h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benedikt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cova8495\Downloads\Rychl&#225;%20informace%20CZ_2022-02-08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BFS3\BARANNU\nu\QU\HDP\VYS\RI\2022\1Q\T30\Graf_RI_T30_1Q22_&#382;iv&#2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054117072575236E-2"/>
          <c:y val="0.14749411982623345"/>
          <c:w val="0.91732965970245384"/>
          <c:h val="0.663095315140401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data!$G$4</c:f>
              <c:strCache>
                <c:ptCount val="1"/>
                <c:pt idx="0">
                  <c:v>Hrubý domácí produkt
Gross domestic product 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cat>
            <c:multiLvlStrRef>
              <c:f>data!$B$75:$C$111</c:f>
              <c:multiLvlStrCache>
                <c:ptCount val="3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  <c:pt idx="24">
                    <c:v>2019</c:v>
                  </c:pt>
                  <c:pt idx="28">
                    <c:v>2020</c:v>
                  </c:pt>
                  <c:pt idx="32">
                    <c:v>2021</c:v>
                  </c:pt>
                  <c:pt idx="36">
                    <c:v>2022</c:v>
                  </c:pt>
                </c:lvl>
              </c:multiLvlStrCache>
            </c:multiLvlStrRef>
          </c:cat>
          <c:val>
            <c:numRef>
              <c:f>data!$G$75:$G$111</c:f>
              <c:numCache>
                <c:formatCode>#\ ##0.0</c:formatCode>
                <c:ptCount val="37"/>
                <c:pt idx="0">
                  <c:v>-1.3590956143324746</c:v>
                </c:pt>
                <c:pt idx="1">
                  <c:v>-0.54364766003887155</c:v>
                </c:pt>
                <c:pt idx="2">
                  <c:v>0.11323123199593965</c:v>
                </c:pt>
                <c:pt idx="3">
                  <c:v>1.6302933144241933</c:v>
                </c:pt>
                <c:pt idx="4">
                  <c:v>1.3959922445122857</c:v>
                </c:pt>
                <c:pt idx="5">
                  <c:v>2.0496183413976752</c:v>
                </c:pt>
                <c:pt idx="6">
                  <c:v>2.7950896516682207</c:v>
                </c:pt>
                <c:pt idx="7">
                  <c:v>2.7927172013318966</c:v>
                </c:pt>
                <c:pt idx="8">
                  <c:v>5.2815112528490999</c:v>
                </c:pt>
                <c:pt idx="9">
                  <c:v>5.7456929224482849</c:v>
                </c:pt>
                <c:pt idx="10">
                  <c:v>5.7573688585789426</c:v>
                </c:pt>
                <c:pt idx="11">
                  <c:v>5.098853344330152</c:v>
                </c:pt>
                <c:pt idx="12">
                  <c:v>3.3935679863989208</c:v>
                </c:pt>
                <c:pt idx="13">
                  <c:v>2.2554525211863137</c:v>
                </c:pt>
                <c:pt idx="14">
                  <c:v>1.9595698850867365</c:v>
                </c:pt>
                <c:pt idx="15">
                  <c:v>2.1706116744660449</c:v>
                </c:pt>
                <c:pt idx="16">
                  <c:v>3.5703667972288571</c:v>
                </c:pt>
                <c:pt idx="17">
                  <c:v>6.1313858438531526</c:v>
                </c:pt>
                <c:pt idx="18">
                  <c:v>5.8793571478929323</c:v>
                </c:pt>
                <c:pt idx="19">
                  <c:v>5.8948576142013849</c:v>
                </c:pt>
                <c:pt idx="20">
                  <c:v>4.8045186709861412</c:v>
                </c:pt>
                <c:pt idx="21">
                  <c:v>2.6817351351516834</c:v>
                </c:pt>
                <c:pt idx="22">
                  <c:v>2.7294466842677565</c:v>
                </c:pt>
                <c:pt idx="23">
                  <c:v>2.5583350179001485</c:v>
                </c:pt>
                <c:pt idx="24">
                  <c:v>2.9671766091530287</c:v>
                </c:pt>
                <c:pt idx="25">
                  <c:v>3.0195090485548093</c:v>
                </c:pt>
                <c:pt idx="26">
                  <c:v>2.9551051697276307</c:v>
                </c:pt>
                <c:pt idx="27">
                  <c:v>2.8845218371908743</c:v>
                </c:pt>
                <c:pt idx="28">
                  <c:v>-1.4789298016082597</c:v>
                </c:pt>
                <c:pt idx="29">
                  <c:v>-10.941056198550214</c:v>
                </c:pt>
                <c:pt idx="30">
                  <c:v>-5.4805373705362399</c:v>
                </c:pt>
                <c:pt idx="31">
                  <c:v>-5.3144733686297201</c:v>
                </c:pt>
                <c:pt idx="32">
                  <c:v>-2.2890397743192636</c:v>
                </c:pt>
                <c:pt idx="33">
                  <c:v>8.7208941054759208</c:v>
                </c:pt>
                <c:pt idx="34">
                  <c:v>3.5747719598019216</c:v>
                </c:pt>
                <c:pt idx="35">
                  <c:v>3.5675370561548618</c:v>
                </c:pt>
                <c:pt idx="36">
                  <c:v>4.5607099707674905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FB-4E8A-B25B-59FA464D04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axId val="200844800"/>
        <c:axId val="44289984"/>
      </c:barChart>
      <c:catAx>
        <c:axId val="200844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ctr">
                  <a:defRPr/>
                </a:pPr>
                <a:r>
                  <a:rPr lang="cs-CZ" sz="600" b="1" i="0"/>
                  <a:t>Čtvrtletí</a:t>
                </a:r>
              </a:p>
            </c:rich>
          </c:tx>
          <c:layout>
            <c:manualLayout>
              <c:xMode val="edge"/>
              <c:yMode val="edge"/>
              <c:x val="0.49682206057732908"/>
              <c:y val="0.90933987703591845"/>
            </c:manualLayout>
          </c:layout>
          <c:overlay val="0"/>
        </c:title>
        <c:numFmt formatCode="General" sourceLinked="0"/>
        <c:majorTickMark val="out"/>
        <c:minorTickMark val="none"/>
        <c:tickLblPos val="low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430" baseline="0"/>
            </a:pPr>
            <a:endParaRPr lang="cs-CZ"/>
          </a:p>
        </c:txPr>
        <c:crossAx val="44289984"/>
        <c:crossesAt val="0"/>
        <c:auto val="1"/>
        <c:lblAlgn val="ctr"/>
        <c:lblOffset val="100"/>
        <c:noMultiLvlLbl val="0"/>
      </c:catAx>
      <c:valAx>
        <c:axId val="44289984"/>
        <c:scaling>
          <c:orientation val="minMax"/>
          <c:max val="10"/>
          <c:min val="-12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600" baseline="0"/>
                </a:pPr>
                <a:r>
                  <a:rPr lang="cs-CZ" sz="600" baseline="0"/>
                  <a:t>%</a:t>
                </a:r>
                <a:endParaRPr lang="cs-CZ" sz="600" b="0" i="1" baseline="0"/>
              </a:p>
            </c:rich>
          </c:tx>
          <c:layout>
            <c:manualLayout>
              <c:xMode val="edge"/>
              <c:yMode val="edge"/>
              <c:x val="1.8006903652565538E-2"/>
              <c:y val="0.44438212346744327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430" baseline="0"/>
            </a:pPr>
            <a:endParaRPr lang="cs-CZ"/>
          </a:p>
        </c:txPr>
        <c:crossAx val="200844800"/>
        <c:crosses val="autoZero"/>
        <c:crossBetween val="between"/>
        <c:majorUnit val="2"/>
      </c:valAx>
      <c:spPr>
        <a:ln>
          <a:solidFill>
            <a:schemeClr val="bg1">
              <a:lumMod val="75000"/>
            </a:schemeClr>
          </a:solidFill>
        </a:ln>
      </c:spPr>
    </c:plotArea>
    <c:plotVisOnly val="1"/>
    <c:dispBlanksAs val="gap"/>
    <c:showDLblsOverMax val="0"/>
  </c:chart>
  <c:spPr>
    <a:ln w="6350">
      <a:solidFill>
        <a:schemeClr val="bg1">
          <a:lumMod val="50000"/>
        </a:schemeClr>
      </a:solidFill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0.01609</cdr:x>
      <cdr:y>0.0137</cdr:y>
    </cdr:from>
    <cdr:to>
      <cdr:x>0.98903</cdr:x>
      <cdr:y>0.12117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86887" y="38100"/>
          <a:ext cx="5253915" cy="29891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0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Hrubý domácí produkt</a:t>
          </a:r>
        </a:p>
        <a:p xmlns:a="http://schemas.openxmlformats.org/drawingml/2006/main"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000" b="0" i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meziroční reálná změna, sezónně očištěno</a:t>
          </a:r>
          <a:endParaRPr lang="cs-CZ" sz="1000" b="0" i="1" cap="none" baseline="0">
            <a:latin typeface="Arial" pitchFamily="34" charset="0"/>
            <a:ea typeface="+mn-ea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0.0518</cdr:x>
      <cdr:y>0.92466</cdr:y>
    </cdr:from>
    <cdr:to>
      <cdr:x>0.52901</cdr:x>
      <cdr:y>0.98935</cdr:y>
    </cdr:to>
    <cdr:sp macro="" textlink="">
      <cdr:nvSpPr>
        <cdr:cNvPr id="6" name="TextovéPole 3"/>
        <cdr:cNvSpPr txBox="1"/>
      </cdr:nvSpPr>
      <cdr:spPr>
        <a:xfrm xmlns:a="http://schemas.openxmlformats.org/drawingml/2006/main">
          <a:off x="279731" y="2571750"/>
          <a:ext cx="2576953" cy="1799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600">
              <a:latin typeface="Arial" panose="020B0604020202020204" pitchFamily="34" charset="0"/>
              <a:cs typeface="Arial" panose="020B0604020202020204" pitchFamily="34" charset="0"/>
            </a:rPr>
            <a:t>Poznámka: Údaje do 4. čtvrtletí 2021 platné k 31.3.2022</a:t>
          </a: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19F64-BFEF-4902-A20A-2AF1517C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83</TotalTime>
  <Pages>2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1856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svecova8495</dc:creator>
  <cp:lastModifiedBy>Kermiet Vladimír</cp:lastModifiedBy>
  <cp:revision>14</cp:revision>
  <dcterms:created xsi:type="dcterms:W3CDTF">2022-04-26T12:58:00Z</dcterms:created>
  <dcterms:modified xsi:type="dcterms:W3CDTF">2022-04-28T07:31:00Z</dcterms:modified>
</cp:coreProperties>
</file>