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740C" w14:textId="171FD53B" w:rsidR="00D136C8" w:rsidRPr="00352869" w:rsidRDefault="00F96BC2" w:rsidP="00D136C8">
      <w:pPr>
        <w:pStyle w:val="Datum"/>
      </w:pPr>
      <w:r w:rsidRPr="00352869">
        <w:t>29 July</w:t>
      </w:r>
      <w:r w:rsidR="00D136C8" w:rsidRPr="00352869">
        <w:t xml:space="preserve"> 2022</w:t>
      </w:r>
    </w:p>
    <w:p w14:paraId="33A3E4F3" w14:textId="39F68ABC" w:rsidR="00D136C8" w:rsidRPr="00352869" w:rsidRDefault="0058156C" w:rsidP="00D136C8">
      <w:pPr>
        <w:pStyle w:val="Nzev"/>
      </w:pPr>
      <w:r w:rsidRPr="00352869">
        <w:t xml:space="preserve">GDP </w:t>
      </w:r>
      <w:r w:rsidR="00CE47AA" w:rsidRPr="00352869">
        <w:t>increased by 0.2</w:t>
      </w:r>
      <w:r w:rsidRPr="00352869">
        <w:t>%</w:t>
      </w:r>
      <w:r w:rsidR="005322C8" w:rsidRPr="00352869">
        <w:t>, quarter-on-quarter</w:t>
      </w:r>
    </w:p>
    <w:p w14:paraId="31930A08" w14:textId="23494AC4" w:rsidR="00D136C8" w:rsidRPr="00352869" w:rsidRDefault="00F96BC2" w:rsidP="00D136C8">
      <w:pPr>
        <w:pStyle w:val="Podtitulek"/>
      </w:pPr>
      <w:r w:rsidRPr="00352869">
        <w:t>GDP preliminary estimate – the second</w:t>
      </w:r>
      <w:r w:rsidR="0058156C" w:rsidRPr="00352869">
        <w:t xml:space="preserve"> quarter of 2022</w:t>
      </w:r>
    </w:p>
    <w:p w14:paraId="70F4A0E2" w14:textId="207D1EE1" w:rsidR="007E5E0C" w:rsidRPr="00352869" w:rsidRDefault="00D136C8" w:rsidP="00D136C8">
      <w:pPr>
        <w:pStyle w:val="Perex"/>
      </w:pPr>
      <w:r w:rsidRPr="00352869">
        <w:t xml:space="preserve">According to a preliminary estimate, the gross domestic product increased by </w:t>
      </w:r>
      <w:r w:rsidR="00CE47AA" w:rsidRPr="00352869">
        <w:t>0.2</w:t>
      </w:r>
      <w:r w:rsidRPr="00352869">
        <w:t>%</w:t>
      </w:r>
      <w:r w:rsidR="007E5E0C" w:rsidRPr="00352869">
        <w:t xml:space="preserve">, quarter-on-quarter, in the </w:t>
      </w:r>
      <w:r w:rsidR="00C86832" w:rsidRPr="00352869">
        <w:t>Q2</w:t>
      </w:r>
      <w:r w:rsidR="007E5E0C" w:rsidRPr="00352869">
        <w:t xml:space="preserve"> 2022. In the year-on-year</w:t>
      </w:r>
      <w:r w:rsidR="00CE47AA" w:rsidRPr="00352869">
        <w:t xml:space="preserve"> comparison, it increased by 3</w:t>
      </w:r>
      <w:r w:rsidR="007E5E0C" w:rsidRPr="00352869">
        <w:t xml:space="preserve">.6%. </w:t>
      </w:r>
    </w:p>
    <w:p w14:paraId="73CCDEFB" w14:textId="0AEDFA02" w:rsidR="005827B0" w:rsidRPr="00352869" w:rsidRDefault="00D136C8" w:rsidP="00D136C8">
      <w:pPr>
        <w:rPr>
          <w:bCs/>
        </w:rPr>
      </w:pPr>
      <w:r w:rsidRPr="00352869">
        <w:t xml:space="preserve">The gross domestic product </w:t>
      </w:r>
      <w:r w:rsidR="00FE0CC5" w:rsidRPr="00352869">
        <w:t xml:space="preserve">(GDP) </w:t>
      </w:r>
      <w:r w:rsidRPr="00352869">
        <w:rPr>
          <w:rFonts w:cs="Arial"/>
          <w:bCs/>
          <w:szCs w:val="20"/>
        </w:rPr>
        <w:t>adjusted for price effects and seasonally adjusted</w:t>
      </w:r>
      <w:r w:rsidRPr="00352869">
        <w:rPr>
          <w:rStyle w:val="Znakapoznpodarou"/>
        </w:rPr>
        <w:footnoteReference w:id="1"/>
      </w:r>
      <w:r w:rsidRPr="00352869">
        <w:rPr>
          <w:rFonts w:cs="Arial"/>
          <w:bCs/>
          <w:szCs w:val="20"/>
        </w:rPr>
        <w:t xml:space="preserve"> </w:t>
      </w:r>
      <w:r w:rsidRPr="00352869">
        <w:rPr>
          <w:bCs/>
        </w:rPr>
        <w:t xml:space="preserve">increased in </w:t>
      </w:r>
      <w:r w:rsidR="007525EC" w:rsidRPr="00352869">
        <w:rPr>
          <w:bCs/>
        </w:rPr>
        <w:t xml:space="preserve">the </w:t>
      </w:r>
      <w:r w:rsidR="00C86832" w:rsidRPr="00352869">
        <w:rPr>
          <w:bCs/>
        </w:rPr>
        <w:t>Q2</w:t>
      </w:r>
      <w:r w:rsidR="007525EC" w:rsidRPr="00352869">
        <w:rPr>
          <w:bCs/>
        </w:rPr>
        <w:t xml:space="preserve"> 2022</w:t>
      </w:r>
      <w:r w:rsidRPr="00352869">
        <w:rPr>
          <w:bCs/>
        </w:rPr>
        <w:t xml:space="preserve">, according to the preliminary estimate, by </w:t>
      </w:r>
      <w:r w:rsidR="00CD0EEE" w:rsidRPr="00352869">
        <w:rPr>
          <w:bCs/>
        </w:rPr>
        <w:t>0.2</w:t>
      </w:r>
      <w:r w:rsidRPr="00352869">
        <w:rPr>
          <w:bCs/>
        </w:rPr>
        <w:t xml:space="preserve">% compared to </w:t>
      </w:r>
      <w:r w:rsidR="005827B0" w:rsidRPr="00352869">
        <w:rPr>
          <w:bCs/>
        </w:rPr>
        <w:t>the previous quarter</w:t>
      </w:r>
      <w:r w:rsidRPr="00352869">
        <w:rPr>
          <w:bCs/>
        </w:rPr>
        <w:t>.</w:t>
      </w:r>
      <w:r w:rsidR="005827B0" w:rsidRPr="00352869">
        <w:rPr>
          <w:bCs/>
        </w:rPr>
        <w:t xml:space="preserve"> When compared to the corresponding quarter of the previous y</w:t>
      </w:r>
      <w:r w:rsidR="00CD0EEE" w:rsidRPr="00352869">
        <w:rPr>
          <w:bCs/>
        </w:rPr>
        <w:t>ear, it increased by 3</w:t>
      </w:r>
      <w:r w:rsidR="005827B0" w:rsidRPr="00352869">
        <w:rPr>
          <w:bCs/>
        </w:rPr>
        <w:t xml:space="preserve">.6%. </w:t>
      </w:r>
    </w:p>
    <w:p w14:paraId="15933E25" w14:textId="77777777" w:rsidR="00D32465" w:rsidRPr="00352869" w:rsidRDefault="00D32465" w:rsidP="00D136C8">
      <w:pPr>
        <w:rPr>
          <w:bCs/>
        </w:rPr>
      </w:pPr>
    </w:p>
    <w:p w14:paraId="710CE979" w14:textId="77777777" w:rsidR="00CD0EEE" w:rsidRPr="00352869" w:rsidRDefault="00CD0EEE" w:rsidP="00CD0EEE">
      <w:pPr>
        <w:rPr>
          <w:rFonts w:cs="Arial"/>
          <w:bCs/>
          <w:szCs w:val="20"/>
        </w:rPr>
      </w:pPr>
      <w:r w:rsidRPr="00352869">
        <w:rPr>
          <w:noProof/>
          <w:lang w:val="cs-CZ" w:eastAsia="cs-CZ"/>
        </w:rPr>
        <w:drawing>
          <wp:inline distT="0" distB="0" distL="0" distR="0" wp14:anchorId="1765CA4F" wp14:editId="19D34C11">
            <wp:extent cx="5400040" cy="274701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D37822" w14:textId="77777777" w:rsidR="00767908" w:rsidRPr="00352869" w:rsidRDefault="00767908" w:rsidP="005C7DD3">
      <w:pPr>
        <w:rPr>
          <w:bCs/>
        </w:rPr>
      </w:pPr>
    </w:p>
    <w:p w14:paraId="6FAB68C8" w14:textId="49DD0525" w:rsidR="002C1BCE" w:rsidRPr="00352869" w:rsidRDefault="009E4EFC" w:rsidP="005C7DD3">
      <w:pPr>
        <w:rPr>
          <w:bCs/>
        </w:rPr>
      </w:pPr>
      <w:r w:rsidRPr="00352869">
        <w:rPr>
          <w:bCs/>
        </w:rPr>
        <w:t xml:space="preserve">The year-on-year increase of the GDP was positively contributed to by final consumption expenditure and gross capital formation. </w:t>
      </w:r>
      <w:r w:rsidR="002C1BCE" w:rsidRPr="00352869">
        <w:rPr>
          <w:bCs/>
        </w:rPr>
        <w:t>However</w:t>
      </w:r>
      <w:r w:rsidRPr="00352869">
        <w:rPr>
          <w:bCs/>
        </w:rPr>
        <w:t xml:space="preserve">, </w:t>
      </w:r>
      <w:r w:rsidR="005006E3" w:rsidRPr="00352869">
        <w:rPr>
          <w:bCs/>
        </w:rPr>
        <w:t xml:space="preserve">a </w:t>
      </w:r>
      <w:r w:rsidRPr="00352869">
        <w:rPr>
          <w:bCs/>
        </w:rPr>
        <w:t xml:space="preserve">negative influence of </w:t>
      </w:r>
      <w:r w:rsidR="00266E3A" w:rsidRPr="00352869">
        <w:rPr>
          <w:bCs/>
        </w:rPr>
        <w:t>external</w:t>
      </w:r>
      <w:r w:rsidRPr="00352869">
        <w:rPr>
          <w:bCs/>
        </w:rPr>
        <w:t xml:space="preserve"> demand </w:t>
      </w:r>
      <w:r w:rsidR="004A7F9E">
        <w:rPr>
          <w:bCs/>
        </w:rPr>
        <w:t>persisted</w:t>
      </w:r>
      <w:r w:rsidR="002C1BCE" w:rsidRPr="00352869">
        <w:rPr>
          <w:bCs/>
        </w:rPr>
        <w:t>.</w:t>
      </w:r>
    </w:p>
    <w:p w14:paraId="067A2D6C" w14:textId="44D3EAEA" w:rsidR="009330D6" w:rsidRPr="00352869" w:rsidRDefault="009330D6" w:rsidP="002D0C77">
      <w:pPr>
        <w:rPr>
          <w:bCs/>
        </w:rPr>
      </w:pPr>
    </w:p>
    <w:p w14:paraId="051F3E45" w14:textId="067A356C" w:rsidR="009330D6" w:rsidRPr="00352869" w:rsidRDefault="009330D6" w:rsidP="002D0C77">
      <w:pPr>
        <w:rPr>
          <w:bCs/>
        </w:rPr>
      </w:pPr>
      <w:r w:rsidRPr="00352869">
        <w:rPr>
          <w:bCs/>
        </w:rPr>
        <w:t>T</w:t>
      </w:r>
      <w:r w:rsidR="008E0D55" w:rsidRPr="00352869">
        <w:rPr>
          <w:bCs/>
        </w:rPr>
        <w:t>he</w:t>
      </w:r>
      <w:r w:rsidR="00904E89">
        <w:rPr>
          <w:bCs/>
        </w:rPr>
        <w:t xml:space="preserve"> following contributed the most to the </w:t>
      </w:r>
      <w:r w:rsidR="008E0D55" w:rsidRPr="00352869">
        <w:rPr>
          <w:bCs/>
        </w:rPr>
        <w:t xml:space="preserve">year-on-year </w:t>
      </w:r>
      <w:r w:rsidR="00B25EDE">
        <w:rPr>
          <w:bCs/>
        </w:rPr>
        <w:t>growth</w:t>
      </w:r>
      <w:r w:rsidR="008E0D55" w:rsidRPr="00352869">
        <w:rPr>
          <w:bCs/>
        </w:rPr>
        <w:t xml:space="preserve"> of the gross value added</w:t>
      </w:r>
      <w:r w:rsidR="00904E89">
        <w:rPr>
          <w:bCs/>
        </w:rPr>
        <w:t>:</w:t>
      </w:r>
      <w:r w:rsidR="008E0D55" w:rsidRPr="00352869">
        <w:rPr>
          <w:bCs/>
        </w:rPr>
        <w:t xml:space="preserve"> </w:t>
      </w:r>
      <w:r w:rsidR="0058748D" w:rsidRPr="00352869">
        <w:rPr>
          <w:bCs/>
        </w:rPr>
        <w:t>a group of economic activities</w:t>
      </w:r>
      <w:r w:rsidR="00075BDE" w:rsidRPr="00352869">
        <w:rPr>
          <w:bCs/>
        </w:rPr>
        <w:t xml:space="preserve"> </w:t>
      </w:r>
      <w:r w:rsidR="0058748D" w:rsidRPr="00352869">
        <w:rPr>
          <w:bCs/>
        </w:rPr>
        <w:t>of trade, transportation, accommodation and food service activities.</w:t>
      </w:r>
      <w:r w:rsidR="00070844" w:rsidRPr="00352869">
        <w:rPr>
          <w:bCs/>
        </w:rPr>
        <w:t xml:space="preserve"> C</w:t>
      </w:r>
      <w:r w:rsidR="008E0D55" w:rsidRPr="00352869">
        <w:rPr>
          <w:bCs/>
        </w:rPr>
        <w:t xml:space="preserve">onstruction </w:t>
      </w:r>
      <w:r w:rsidR="00070844" w:rsidRPr="00352869">
        <w:rPr>
          <w:bCs/>
        </w:rPr>
        <w:t>and m</w:t>
      </w:r>
      <w:r w:rsidR="00050C21">
        <w:rPr>
          <w:bCs/>
        </w:rPr>
        <w:t xml:space="preserve">ost of economic activities </w:t>
      </w:r>
      <w:r w:rsidR="007015F1" w:rsidRPr="00352869">
        <w:rPr>
          <w:bCs/>
        </w:rPr>
        <w:t>of services were successful, too.</w:t>
      </w:r>
    </w:p>
    <w:p w14:paraId="776F3FD2" w14:textId="0058DFCE" w:rsidR="000D73A3" w:rsidRDefault="000D73A3" w:rsidP="009330D6">
      <w:pPr>
        <w:rPr>
          <w:i/>
        </w:rPr>
      </w:pPr>
    </w:p>
    <w:p w14:paraId="32C1ABD5" w14:textId="53B21C78" w:rsidR="005A3BA0" w:rsidRPr="00352869" w:rsidRDefault="000D73A3" w:rsidP="009330D6">
      <w:pPr>
        <w:rPr>
          <w:i/>
        </w:rPr>
      </w:pPr>
      <w:r w:rsidRPr="00352869">
        <w:rPr>
          <w:i/>
        </w:rPr>
        <w:t>“</w:t>
      </w:r>
      <w:r w:rsidR="00160587">
        <w:rPr>
          <w:i/>
        </w:rPr>
        <w:t xml:space="preserve">On the expenditure side, only domestic demand contributed to the </w:t>
      </w:r>
      <w:r w:rsidRPr="00352869">
        <w:rPr>
          <w:i/>
        </w:rPr>
        <w:t>quarter-on-quarter growth of</w:t>
      </w:r>
      <w:r w:rsidR="00050C21">
        <w:rPr>
          <w:i/>
        </w:rPr>
        <w:t> </w:t>
      </w:r>
      <w:r w:rsidRPr="00352869">
        <w:rPr>
          <w:i/>
        </w:rPr>
        <w:t>the GDP.</w:t>
      </w:r>
      <w:r w:rsidR="008B5E6C" w:rsidRPr="00352869">
        <w:rPr>
          <w:i/>
        </w:rPr>
        <w:t xml:space="preserve"> </w:t>
      </w:r>
      <w:r w:rsidR="00D92FD4">
        <w:rPr>
          <w:i/>
        </w:rPr>
        <w:t>The m</w:t>
      </w:r>
      <w:r w:rsidR="00160587">
        <w:rPr>
          <w:i/>
        </w:rPr>
        <w:t>oderate growth of the gross value ad</w:t>
      </w:r>
      <w:r w:rsidR="00050C21">
        <w:rPr>
          <w:i/>
        </w:rPr>
        <w:t>ded was supported by a group of </w:t>
      </w:r>
      <w:r w:rsidR="00160587">
        <w:rPr>
          <w:i/>
        </w:rPr>
        <w:t xml:space="preserve">economic activities of services, whereas industry and construction were stagnating,” </w:t>
      </w:r>
      <w:r w:rsidR="00396063" w:rsidRPr="00352869">
        <w:rPr>
          <w:bCs/>
        </w:rPr>
        <w:t>Vladimír Kermiet, Director of the National Accounts Department of the Czech Statistical Office (CZSO), said.</w:t>
      </w:r>
    </w:p>
    <w:p w14:paraId="0D076E96" w14:textId="6A4ED676" w:rsidR="00D136C8" w:rsidRPr="00352869" w:rsidRDefault="00D136C8" w:rsidP="00D136C8">
      <w:bookmarkStart w:id="0" w:name="_GoBack"/>
      <w:bookmarkEnd w:id="0"/>
      <w:r w:rsidRPr="00352869">
        <w:lastRenderedPageBreak/>
        <w:t>Employment</w:t>
      </w:r>
      <w:r w:rsidRPr="00352869">
        <w:rPr>
          <w:rStyle w:val="Znakapoznpodarou"/>
        </w:rPr>
        <w:footnoteReference w:id="2"/>
      </w:r>
      <w:r w:rsidRPr="00352869">
        <w:t xml:space="preserve"> </w:t>
      </w:r>
      <w:r w:rsidR="002877CD" w:rsidRPr="00352869">
        <w:t>increased by 1.4%</w:t>
      </w:r>
      <w:r w:rsidR="00093BA9" w:rsidRPr="00352869">
        <w:t xml:space="preserve">, quarter-on-quarter; </w:t>
      </w:r>
      <w:r w:rsidR="002877CD" w:rsidRPr="00352869">
        <w:t>in the year-on-year comparison, it increased by 2.3</w:t>
      </w:r>
      <w:r w:rsidRPr="00352869">
        <w:t xml:space="preserve">%. </w:t>
      </w:r>
    </w:p>
    <w:p w14:paraId="712A325A" w14:textId="77777777" w:rsidR="00D136C8" w:rsidRPr="00352869" w:rsidRDefault="00D136C8" w:rsidP="00D136C8"/>
    <w:p w14:paraId="7ADA99EF" w14:textId="77777777" w:rsidR="00D136C8" w:rsidRPr="00352869" w:rsidRDefault="00D136C8" w:rsidP="00D136C8">
      <w:pPr>
        <w:pStyle w:val="Poznmky0"/>
        <w:spacing w:before="0"/>
        <w:ind w:left="3600" w:hanging="3600"/>
        <w:rPr>
          <w:i w:val="0"/>
        </w:rPr>
      </w:pPr>
      <w:r w:rsidRPr="00352869">
        <w:t>Responsible head at the CZSO:</w:t>
      </w:r>
      <w:r w:rsidRPr="00352869">
        <w:tab/>
        <w:t xml:space="preserve">Vladimír Kermiet, Director of the National Accounts Department, phone number: (+420) 274 054 247, </w:t>
      </w:r>
    </w:p>
    <w:p w14:paraId="2F504DC0" w14:textId="77777777" w:rsidR="00D136C8" w:rsidRPr="00352869" w:rsidRDefault="00D136C8" w:rsidP="00D136C8">
      <w:pPr>
        <w:tabs>
          <w:tab w:val="left" w:pos="3544"/>
        </w:tabs>
        <w:ind w:left="3540" w:hanging="3540"/>
        <w:rPr>
          <w:lang w:val="it-IT"/>
        </w:rPr>
      </w:pPr>
      <w:r w:rsidRPr="00352869">
        <w:rPr>
          <w:i/>
          <w:sz w:val="18"/>
          <w:szCs w:val="18"/>
        </w:rPr>
        <w:tab/>
      </w:r>
      <w:r w:rsidRPr="00352869">
        <w:rPr>
          <w:i/>
          <w:sz w:val="18"/>
          <w:szCs w:val="18"/>
        </w:rPr>
        <w:tab/>
      </w:r>
      <w:r w:rsidRPr="00352869">
        <w:rPr>
          <w:i/>
          <w:sz w:val="18"/>
          <w:szCs w:val="18"/>
        </w:rPr>
        <w:tab/>
      </w:r>
      <w:r w:rsidRPr="00352869">
        <w:rPr>
          <w:i/>
          <w:sz w:val="18"/>
          <w:szCs w:val="18"/>
          <w:lang w:val="it-IT"/>
        </w:rPr>
        <w:t xml:space="preserve">e-mail: </w:t>
      </w:r>
      <w:hyperlink r:id="rId8" w:history="1">
        <w:r w:rsidRPr="00352869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14:paraId="36C39631" w14:textId="77777777" w:rsidR="00D136C8" w:rsidRPr="00352869" w:rsidRDefault="00D136C8" w:rsidP="00D136C8">
      <w:pPr>
        <w:pStyle w:val="Poznamkytexty"/>
        <w:ind w:left="3600" w:hanging="3600"/>
        <w:rPr>
          <w:lang w:val="en-GB"/>
        </w:rPr>
      </w:pPr>
      <w:r w:rsidRPr="00352869">
        <w:rPr>
          <w:lang w:val="en-GB"/>
        </w:rPr>
        <w:t>Contact person:</w:t>
      </w:r>
      <w:r w:rsidRPr="00352869">
        <w:rPr>
          <w:lang w:val="en-GB"/>
        </w:rPr>
        <w:tab/>
        <w:t xml:space="preserve">Jan Benedikt, Head of the Quarterly Estimates Unit, </w:t>
      </w:r>
    </w:p>
    <w:p w14:paraId="0865AEAB" w14:textId="77777777" w:rsidR="00D136C8" w:rsidRPr="00352869" w:rsidRDefault="00D136C8" w:rsidP="00D136C8">
      <w:pPr>
        <w:pStyle w:val="Poznamkytexty"/>
        <w:ind w:left="3600"/>
        <w:rPr>
          <w:lang w:val="en-GB"/>
        </w:rPr>
      </w:pPr>
      <w:proofErr w:type="gramStart"/>
      <w:r w:rsidRPr="00352869">
        <w:rPr>
          <w:lang w:val="en-GB"/>
        </w:rPr>
        <w:t>phone</w:t>
      </w:r>
      <w:proofErr w:type="gramEnd"/>
      <w:r w:rsidRPr="00352869">
        <w:rPr>
          <w:lang w:val="en-GB"/>
        </w:rPr>
        <w:t xml:space="preserve"> number: (+420) 274 052 750, </w:t>
      </w:r>
    </w:p>
    <w:p w14:paraId="3FEA99EE" w14:textId="77777777" w:rsidR="00D136C8" w:rsidRPr="00352869" w:rsidRDefault="00D136C8" w:rsidP="00D136C8">
      <w:pPr>
        <w:pStyle w:val="Poznamkytexty"/>
        <w:ind w:left="3600"/>
        <w:rPr>
          <w:lang w:val="en-GB"/>
        </w:rPr>
      </w:pPr>
      <w:r w:rsidRPr="00352869">
        <w:t>e</w:t>
      </w:r>
      <w:r w:rsidRPr="00352869">
        <w:noBreakHyphen/>
        <w:t>mail: </w:t>
      </w:r>
      <w:hyperlink r:id="rId9" w:history="1">
        <w:r w:rsidRPr="00352869">
          <w:rPr>
            <w:rStyle w:val="Hypertextovodkaz"/>
          </w:rPr>
          <w:t>jan.benedikt@czso.cz</w:t>
        </w:r>
      </w:hyperlink>
    </w:p>
    <w:p w14:paraId="26202810" w14:textId="4EB29751" w:rsidR="00D136C8" w:rsidRPr="00352869" w:rsidRDefault="00D136C8" w:rsidP="00D136C8">
      <w:pPr>
        <w:pStyle w:val="Poznamkytexty"/>
        <w:ind w:left="3600" w:hanging="3600"/>
        <w:rPr>
          <w:lang w:val="en-GB"/>
        </w:rPr>
      </w:pPr>
      <w:r w:rsidRPr="00352869">
        <w:rPr>
          <w:lang w:val="en-GB"/>
        </w:rPr>
        <w:t>Used data sources updated as at:</w:t>
      </w:r>
      <w:r w:rsidRPr="00352869">
        <w:rPr>
          <w:lang w:val="en-GB"/>
        </w:rPr>
        <w:tab/>
      </w:r>
      <w:r w:rsidR="00070875" w:rsidRPr="00352869">
        <w:rPr>
          <w:lang w:val="en-GB"/>
        </w:rPr>
        <w:t>26</w:t>
      </w:r>
      <w:r w:rsidRPr="00352869">
        <w:rPr>
          <w:lang w:val="en-GB"/>
        </w:rPr>
        <w:t xml:space="preserve"> </w:t>
      </w:r>
      <w:r w:rsidR="00EC6F2E" w:rsidRPr="00352869">
        <w:rPr>
          <w:lang w:val="en-GB"/>
        </w:rPr>
        <w:t>July</w:t>
      </w:r>
      <w:r w:rsidRPr="00352869">
        <w:rPr>
          <w:lang w:val="en-GB"/>
        </w:rPr>
        <w:t xml:space="preserve"> 2022</w:t>
      </w:r>
    </w:p>
    <w:p w14:paraId="3AADB72B" w14:textId="77777777" w:rsidR="00D136C8" w:rsidRPr="00352869" w:rsidRDefault="00D136C8" w:rsidP="00D136C8">
      <w:pPr>
        <w:pStyle w:val="Poznamkytexty"/>
        <w:ind w:left="3600" w:hanging="3600"/>
        <w:rPr>
          <w:lang w:val="en-GB"/>
        </w:rPr>
      </w:pPr>
      <w:r w:rsidRPr="00352869">
        <w:rPr>
          <w:lang w:val="en-GB"/>
        </w:rPr>
        <w:t>Related CZSO web page:</w:t>
      </w:r>
      <w:r w:rsidRPr="00352869">
        <w:rPr>
          <w:lang w:val="en-GB"/>
        </w:rPr>
        <w:tab/>
      </w:r>
      <w:hyperlink r:id="rId10" w:history="1">
        <w:r w:rsidRPr="0035286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352869">
        <w:rPr>
          <w:color w:val="auto"/>
          <w:lang w:val="en-GB"/>
        </w:rPr>
        <w:t xml:space="preserve"> </w:t>
      </w:r>
    </w:p>
    <w:p w14:paraId="3558BFCB" w14:textId="6B2B21F4" w:rsidR="00D136C8" w:rsidRPr="00352869" w:rsidRDefault="00D136C8" w:rsidP="000D73A3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352869">
        <w:rPr>
          <w:i/>
          <w:sz w:val="18"/>
          <w:szCs w:val="18"/>
        </w:rPr>
        <w:t>Next News Release will be published on:</w:t>
      </w:r>
      <w:r w:rsidRPr="00352869">
        <w:rPr>
          <w:i/>
          <w:sz w:val="18"/>
          <w:szCs w:val="18"/>
        </w:rPr>
        <w:tab/>
      </w:r>
      <w:r w:rsidRPr="00352869">
        <w:rPr>
          <w:i/>
          <w:sz w:val="18"/>
          <w:szCs w:val="18"/>
        </w:rPr>
        <w:tab/>
      </w:r>
      <w:r w:rsidR="000D73A3" w:rsidRPr="00352869">
        <w:rPr>
          <w:i/>
          <w:sz w:val="18"/>
          <w:szCs w:val="18"/>
        </w:rPr>
        <w:t>30 August </w:t>
      </w:r>
      <w:r w:rsidRPr="00352869">
        <w:rPr>
          <w:i/>
          <w:sz w:val="18"/>
          <w:szCs w:val="18"/>
        </w:rPr>
        <w:t xml:space="preserve">2022 </w:t>
      </w:r>
    </w:p>
    <w:p w14:paraId="28C29A0D" w14:textId="3B7BFD4B" w:rsidR="00D209A7" w:rsidRPr="00D136C8" w:rsidRDefault="00D136C8" w:rsidP="00D136C8">
      <w:pPr>
        <w:tabs>
          <w:tab w:val="left" w:pos="3544"/>
        </w:tabs>
        <w:ind w:left="3544" w:hanging="3544"/>
      </w:pPr>
      <w:r w:rsidRPr="00352869">
        <w:rPr>
          <w:i/>
          <w:sz w:val="18"/>
          <w:szCs w:val="18"/>
        </w:rPr>
        <w:tab/>
      </w:r>
      <w:r w:rsidR="000D73A3" w:rsidRPr="00352869">
        <w:rPr>
          <w:i/>
          <w:sz w:val="18"/>
          <w:szCs w:val="18"/>
        </w:rPr>
        <w:tab/>
      </w:r>
      <w:r w:rsidRPr="00352869">
        <w:rPr>
          <w:i/>
          <w:sz w:val="18"/>
          <w:szCs w:val="18"/>
        </w:rPr>
        <w:t xml:space="preserve">(GDP resources and uses for the </w:t>
      </w:r>
      <w:r w:rsidR="000D73A3" w:rsidRPr="00352869">
        <w:rPr>
          <w:i/>
          <w:sz w:val="18"/>
          <w:szCs w:val="18"/>
        </w:rPr>
        <w:t>Q2</w:t>
      </w:r>
      <w:r w:rsidR="0058156C" w:rsidRPr="00352869">
        <w:rPr>
          <w:i/>
          <w:sz w:val="18"/>
          <w:szCs w:val="18"/>
        </w:rPr>
        <w:t xml:space="preserve"> 2022</w:t>
      </w:r>
      <w:r w:rsidRPr="00352869">
        <w:rPr>
          <w:i/>
          <w:sz w:val="18"/>
          <w:szCs w:val="18"/>
        </w:rPr>
        <w:t>)</w:t>
      </w:r>
    </w:p>
    <w:sectPr w:rsidR="00D209A7" w:rsidRPr="00D136C8" w:rsidSect="00050C21">
      <w:headerReference w:type="default" r:id="rId11"/>
      <w:footerReference w:type="default" r:id="rId12"/>
      <w:pgSz w:w="11907" w:h="16839" w:code="9"/>
      <w:pgMar w:top="2835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7622" w14:textId="77777777" w:rsidR="00DC0F3A" w:rsidRDefault="00DC0F3A" w:rsidP="00BA6370">
      <w:r>
        <w:separator/>
      </w:r>
    </w:p>
  </w:endnote>
  <w:endnote w:type="continuationSeparator" w:id="0">
    <w:p w14:paraId="6A292266" w14:textId="77777777" w:rsidR="00DC0F3A" w:rsidRDefault="00DC0F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3717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D54F" wp14:editId="448710B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9D0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C1C59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0C55C70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780BD4" w14:textId="2589D6EF" w:rsidR="00380178" w:rsidRPr="00D136C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D136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36C8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0C21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D5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6119D0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C1C59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0C55C70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780BD4" w14:textId="2589D6EF" w:rsidR="00380178" w:rsidRPr="00D136C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D136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36C8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0C21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990E3B" wp14:editId="66C3A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6086" w14:textId="77777777" w:rsidR="00DC0F3A" w:rsidRDefault="00DC0F3A" w:rsidP="00BA6370">
      <w:r>
        <w:separator/>
      </w:r>
    </w:p>
  </w:footnote>
  <w:footnote w:type="continuationSeparator" w:id="0">
    <w:p w14:paraId="7D7BD120" w14:textId="77777777" w:rsidR="00DC0F3A" w:rsidRDefault="00DC0F3A" w:rsidP="00BA6370">
      <w:r>
        <w:continuationSeparator/>
      </w:r>
    </w:p>
  </w:footnote>
  <w:footnote w:id="1">
    <w:p w14:paraId="7AFAF110" w14:textId="77777777" w:rsidR="00D136C8" w:rsidRDefault="00D136C8" w:rsidP="00D136C8">
      <w:pPr>
        <w:pStyle w:val="Textpoznpodarou"/>
        <w:rPr>
          <w:i/>
          <w:sz w:val="18"/>
          <w:szCs w:val="18"/>
        </w:rPr>
      </w:pPr>
      <w:r w:rsidRPr="00580FA4">
        <w:rPr>
          <w:rStyle w:val="Znakapoznpodarou"/>
          <w:rFonts w:ascii="Arial" w:hAnsi="Arial" w:cs="Arial"/>
          <w:sz w:val="18"/>
          <w:szCs w:val="18"/>
        </w:rPr>
        <w:footnoteRef/>
      </w:r>
      <w:r w:rsidRPr="00580FA4">
        <w:rPr>
          <w:rFonts w:ascii="Arial" w:hAnsi="Arial" w:cs="Arial"/>
          <w:sz w:val="18"/>
          <w:szCs w:val="18"/>
        </w:rPr>
        <w:t xml:space="preserve"> </w:t>
      </w:r>
      <w:r w:rsidRPr="00580FA4">
        <w:rPr>
          <w:rFonts w:ascii="Arial" w:hAnsi="Arial" w:cs="Arial"/>
          <w:i/>
          <w:sz w:val="18"/>
          <w:szCs w:val="18"/>
        </w:rPr>
        <w:t>All data presented in this News Release are adjusted for 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14:paraId="07FEE54F" w14:textId="77777777" w:rsidR="00D136C8" w:rsidRPr="00DD693C" w:rsidRDefault="00D136C8" w:rsidP="00D136C8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80FA4">
        <w:rPr>
          <w:rFonts w:ascii="Arial" w:hAnsi="Arial" w:cs="Arial"/>
          <w:sz w:val="18"/>
          <w:szCs w:val="18"/>
          <w:vertAlign w:val="superscript"/>
        </w:rPr>
        <w:footnoteRef/>
      </w:r>
      <w:r w:rsidRPr="00580FA4">
        <w:rPr>
          <w:rFonts w:ascii="Arial" w:hAnsi="Arial" w:cs="Arial"/>
          <w:i/>
          <w:sz w:val="18"/>
          <w:szCs w:val="18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858E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E122FA" wp14:editId="63077D5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508"/>
    <w:rsid w:val="00043BF4"/>
    <w:rsid w:val="00050C21"/>
    <w:rsid w:val="00067AA8"/>
    <w:rsid w:val="00070844"/>
    <w:rsid w:val="00070875"/>
    <w:rsid w:val="00075BDE"/>
    <w:rsid w:val="000843A5"/>
    <w:rsid w:val="00091722"/>
    <w:rsid w:val="00093BA9"/>
    <w:rsid w:val="000B6773"/>
    <w:rsid w:val="000B6F63"/>
    <w:rsid w:val="000D73A3"/>
    <w:rsid w:val="00116ED1"/>
    <w:rsid w:val="00123849"/>
    <w:rsid w:val="0013242C"/>
    <w:rsid w:val="0013629B"/>
    <w:rsid w:val="001404AB"/>
    <w:rsid w:val="00160587"/>
    <w:rsid w:val="0017231D"/>
    <w:rsid w:val="00176E26"/>
    <w:rsid w:val="0018061F"/>
    <w:rsid w:val="001810DC"/>
    <w:rsid w:val="0019402A"/>
    <w:rsid w:val="001B607F"/>
    <w:rsid w:val="001C71FD"/>
    <w:rsid w:val="001D369A"/>
    <w:rsid w:val="001F08B3"/>
    <w:rsid w:val="002070FB"/>
    <w:rsid w:val="00207BDA"/>
    <w:rsid w:val="00213729"/>
    <w:rsid w:val="002258D6"/>
    <w:rsid w:val="002406FA"/>
    <w:rsid w:val="00266E3A"/>
    <w:rsid w:val="002877CD"/>
    <w:rsid w:val="00297900"/>
    <w:rsid w:val="002A1988"/>
    <w:rsid w:val="002B2E47"/>
    <w:rsid w:val="002C1BCE"/>
    <w:rsid w:val="002D0C77"/>
    <w:rsid w:val="002D37F5"/>
    <w:rsid w:val="002D4620"/>
    <w:rsid w:val="002F2865"/>
    <w:rsid w:val="0032398D"/>
    <w:rsid w:val="003301A3"/>
    <w:rsid w:val="00352869"/>
    <w:rsid w:val="0036777B"/>
    <w:rsid w:val="00380178"/>
    <w:rsid w:val="0038282A"/>
    <w:rsid w:val="00396063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06E9E"/>
    <w:rsid w:val="00436D82"/>
    <w:rsid w:val="004436EE"/>
    <w:rsid w:val="0045547F"/>
    <w:rsid w:val="004920AD"/>
    <w:rsid w:val="004A7F9E"/>
    <w:rsid w:val="004B3CDD"/>
    <w:rsid w:val="004D05B3"/>
    <w:rsid w:val="004D4CCA"/>
    <w:rsid w:val="004E479E"/>
    <w:rsid w:val="004F78E6"/>
    <w:rsid w:val="005006E3"/>
    <w:rsid w:val="00512D99"/>
    <w:rsid w:val="00531DBB"/>
    <w:rsid w:val="005322C8"/>
    <w:rsid w:val="00564213"/>
    <w:rsid w:val="00580FA4"/>
    <w:rsid w:val="0058156C"/>
    <w:rsid w:val="005827B0"/>
    <w:rsid w:val="0058748D"/>
    <w:rsid w:val="005A3BA0"/>
    <w:rsid w:val="005C7DD3"/>
    <w:rsid w:val="005F79FB"/>
    <w:rsid w:val="00604406"/>
    <w:rsid w:val="00605F4A"/>
    <w:rsid w:val="00607822"/>
    <w:rsid w:val="006103AA"/>
    <w:rsid w:val="00611D7E"/>
    <w:rsid w:val="00613BBF"/>
    <w:rsid w:val="00622B80"/>
    <w:rsid w:val="00632F80"/>
    <w:rsid w:val="0064139A"/>
    <w:rsid w:val="006D5C60"/>
    <w:rsid w:val="006E024F"/>
    <w:rsid w:val="006E4E81"/>
    <w:rsid w:val="007015F1"/>
    <w:rsid w:val="00707F7D"/>
    <w:rsid w:val="00711C36"/>
    <w:rsid w:val="00717EC5"/>
    <w:rsid w:val="007525EC"/>
    <w:rsid w:val="00755D8B"/>
    <w:rsid w:val="00763787"/>
    <w:rsid w:val="00767908"/>
    <w:rsid w:val="007779EF"/>
    <w:rsid w:val="00784615"/>
    <w:rsid w:val="00793D5F"/>
    <w:rsid w:val="007A0CA5"/>
    <w:rsid w:val="007A57F2"/>
    <w:rsid w:val="007B1333"/>
    <w:rsid w:val="007E5E0C"/>
    <w:rsid w:val="007F4AEB"/>
    <w:rsid w:val="007F75B2"/>
    <w:rsid w:val="008043C4"/>
    <w:rsid w:val="00831B1B"/>
    <w:rsid w:val="0084324F"/>
    <w:rsid w:val="00855FB3"/>
    <w:rsid w:val="00861D0E"/>
    <w:rsid w:val="008638F0"/>
    <w:rsid w:val="00867569"/>
    <w:rsid w:val="00885C0D"/>
    <w:rsid w:val="008A750A"/>
    <w:rsid w:val="008B3970"/>
    <w:rsid w:val="008B5E6C"/>
    <w:rsid w:val="008C384C"/>
    <w:rsid w:val="008D0F11"/>
    <w:rsid w:val="008E0D55"/>
    <w:rsid w:val="008F73B4"/>
    <w:rsid w:val="009019FB"/>
    <w:rsid w:val="009035E8"/>
    <w:rsid w:val="00904E89"/>
    <w:rsid w:val="009330D6"/>
    <w:rsid w:val="00953416"/>
    <w:rsid w:val="00971374"/>
    <w:rsid w:val="00990C9C"/>
    <w:rsid w:val="009B55B1"/>
    <w:rsid w:val="009C4D55"/>
    <w:rsid w:val="009E39C5"/>
    <w:rsid w:val="009E4EFC"/>
    <w:rsid w:val="00A07BA7"/>
    <w:rsid w:val="00A17409"/>
    <w:rsid w:val="00A4343D"/>
    <w:rsid w:val="00A502F1"/>
    <w:rsid w:val="00A514CA"/>
    <w:rsid w:val="00A55ADF"/>
    <w:rsid w:val="00A607DA"/>
    <w:rsid w:val="00A70A83"/>
    <w:rsid w:val="00A81EB3"/>
    <w:rsid w:val="00A91EB8"/>
    <w:rsid w:val="00AB6196"/>
    <w:rsid w:val="00AC3140"/>
    <w:rsid w:val="00AD6B15"/>
    <w:rsid w:val="00AF0F63"/>
    <w:rsid w:val="00B00C1D"/>
    <w:rsid w:val="00B22CF5"/>
    <w:rsid w:val="00B25EDE"/>
    <w:rsid w:val="00B632CC"/>
    <w:rsid w:val="00B71526"/>
    <w:rsid w:val="00BA12F1"/>
    <w:rsid w:val="00BA439F"/>
    <w:rsid w:val="00BA6370"/>
    <w:rsid w:val="00BC59E4"/>
    <w:rsid w:val="00BF6412"/>
    <w:rsid w:val="00C269D4"/>
    <w:rsid w:val="00C4160D"/>
    <w:rsid w:val="00C8406E"/>
    <w:rsid w:val="00C86832"/>
    <w:rsid w:val="00CB2709"/>
    <w:rsid w:val="00CB6F89"/>
    <w:rsid w:val="00CD0EEE"/>
    <w:rsid w:val="00CD27FC"/>
    <w:rsid w:val="00CD4BA6"/>
    <w:rsid w:val="00CE228C"/>
    <w:rsid w:val="00CE4281"/>
    <w:rsid w:val="00CE47AA"/>
    <w:rsid w:val="00CE71D9"/>
    <w:rsid w:val="00CF545B"/>
    <w:rsid w:val="00CF7302"/>
    <w:rsid w:val="00D04869"/>
    <w:rsid w:val="00D136C8"/>
    <w:rsid w:val="00D14EC1"/>
    <w:rsid w:val="00D209A7"/>
    <w:rsid w:val="00D27D69"/>
    <w:rsid w:val="00D32465"/>
    <w:rsid w:val="00D448C2"/>
    <w:rsid w:val="00D666C3"/>
    <w:rsid w:val="00D811AB"/>
    <w:rsid w:val="00D92FD4"/>
    <w:rsid w:val="00DC0F3A"/>
    <w:rsid w:val="00DF47FE"/>
    <w:rsid w:val="00E0156A"/>
    <w:rsid w:val="00E1630A"/>
    <w:rsid w:val="00E26704"/>
    <w:rsid w:val="00E31980"/>
    <w:rsid w:val="00E6423C"/>
    <w:rsid w:val="00E71483"/>
    <w:rsid w:val="00E93830"/>
    <w:rsid w:val="00E93E0E"/>
    <w:rsid w:val="00EB1A25"/>
    <w:rsid w:val="00EB1ED3"/>
    <w:rsid w:val="00EC6F2E"/>
    <w:rsid w:val="00EE70B7"/>
    <w:rsid w:val="00F314B7"/>
    <w:rsid w:val="00F37EB6"/>
    <w:rsid w:val="00F45A75"/>
    <w:rsid w:val="00F83C49"/>
    <w:rsid w:val="00F87CBB"/>
    <w:rsid w:val="00F96BC2"/>
    <w:rsid w:val="00FB687C"/>
    <w:rsid w:val="00FE0CC5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332E2B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136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136C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6C8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D136C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136C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87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6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9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9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2Q\T30\Graf_RI_T30_2Q22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data!$G$4</c:f>
              <c:strCache>
                <c:ptCount val="1"/>
                <c:pt idx="0">
                  <c:v>Hrubý domácí produkt
Gross domestic product 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data!$G$75:$G$112</c:f>
              <c:numCache>
                <c:formatCode>#\ ##0.0</c:formatCode>
                <c:ptCount val="38"/>
                <c:pt idx="0">
                  <c:v>-1.4371188673953412</c:v>
                </c:pt>
                <c:pt idx="1">
                  <c:v>-0.54201759043044717</c:v>
                </c:pt>
                <c:pt idx="2">
                  <c:v>0.24722671302646404</c:v>
                </c:pt>
                <c:pt idx="3">
                  <c:v>1.5823624133539056</c:v>
                </c:pt>
                <c:pt idx="4">
                  <c:v>1.4569279637957351</c:v>
                </c:pt>
                <c:pt idx="5">
                  <c:v>2.0307271782242822</c:v>
                </c:pt>
                <c:pt idx="6">
                  <c:v>2.8019890527146316</c:v>
                </c:pt>
                <c:pt idx="7">
                  <c:v>2.7398907211888996</c:v>
                </c:pt>
                <c:pt idx="8">
                  <c:v>5.2625750083517033</c:v>
                </c:pt>
                <c:pt idx="9">
                  <c:v>5.7040489994861048</c:v>
                </c:pt>
                <c:pt idx="10">
                  <c:v>5.7265806487638855</c:v>
                </c:pt>
                <c:pt idx="11">
                  <c:v>5.1483356307124382</c:v>
                </c:pt>
                <c:pt idx="12">
                  <c:v>3.3561473070734138</c:v>
                </c:pt>
                <c:pt idx="13">
                  <c:v>2.3091959917000082</c:v>
                </c:pt>
                <c:pt idx="14">
                  <c:v>1.9918473659531628</c:v>
                </c:pt>
                <c:pt idx="15">
                  <c:v>2.1722730142149658</c:v>
                </c:pt>
                <c:pt idx="16">
                  <c:v>3.695024939296502</c:v>
                </c:pt>
                <c:pt idx="17">
                  <c:v>5.9154748938585584</c:v>
                </c:pt>
                <c:pt idx="18">
                  <c:v>5.8516412927584582</c:v>
                </c:pt>
                <c:pt idx="19">
                  <c:v>5.8958110920111153</c:v>
                </c:pt>
                <c:pt idx="20">
                  <c:v>4.7409332982438741</c:v>
                </c:pt>
                <c:pt idx="21">
                  <c:v>2.821338885097731</c:v>
                </c:pt>
                <c:pt idx="22">
                  <c:v>2.6959141687858903</c:v>
                </c:pt>
                <c:pt idx="23">
                  <c:v>2.6197437017841025</c:v>
                </c:pt>
                <c:pt idx="24">
                  <c:v>2.9978799448777949</c:v>
                </c:pt>
                <c:pt idx="25">
                  <c:v>3.0712313540949907</c:v>
                </c:pt>
                <c:pt idx="26">
                  <c:v>3.0292239015638387</c:v>
                </c:pt>
                <c:pt idx="27">
                  <c:v>2.7681270582493624</c:v>
                </c:pt>
                <c:pt idx="28">
                  <c:v>-1.4629386956710846</c:v>
                </c:pt>
                <c:pt idx="29">
                  <c:v>-10.78290466571336</c:v>
                </c:pt>
                <c:pt idx="30">
                  <c:v>-5.2159569739525011</c:v>
                </c:pt>
                <c:pt idx="31">
                  <c:v>-4.5960804470275178</c:v>
                </c:pt>
                <c:pt idx="32">
                  <c:v>-1.9073894441670518</c:v>
                </c:pt>
                <c:pt idx="33">
                  <c:v>9.1293353391871648</c:v>
                </c:pt>
                <c:pt idx="34">
                  <c:v>3.7680361202100983</c:v>
                </c:pt>
                <c:pt idx="35">
                  <c:v>3.4666809246014765</c:v>
                </c:pt>
                <c:pt idx="36">
                  <c:v>4.8187168843322468</c:v>
                </c:pt>
                <c:pt idx="37">
                  <c:v>3.5759213973581865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D-453B-BDDB-DF00B76E6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9682210806195898"/>
              <c:y val="0.9053330713699175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Gross domestic product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real change, year-on-year,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0.04651</cdr:x>
      <cdr:y>0.93868</cdr:y>
    </cdr:from>
    <cdr:to>
      <cdr:x>0.52372</cdr:x>
      <cdr:y>0.98993</cdr:y>
    </cdr:to>
    <cdr:sp macro="" textlink="">
      <cdr:nvSpPr>
        <cdr:cNvPr id="6" name="TextovéPole 3"/>
        <cdr:cNvSpPr txBox="1"/>
      </cdr:nvSpPr>
      <cdr:spPr>
        <a:xfrm xmlns:a="http://schemas.openxmlformats.org/drawingml/2006/main">
          <a:off x="251156" y="2578562"/>
          <a:ext cx="2576953" cy="140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>
              <a:latin typeface="Arial" panose="020B0604020202020204" pitchFamily="34" charset="0"/>
              <a:cs typeface="Arial" panose="020B0604020202020204" pitchFamily="34" charset="0"/>
            </a:rPr>
            <a:t>Note: data up to Q1 2022 valid as at 30 June 2022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E931-27B3-4F1E-B4EE-35EFCFBC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56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35</cp:revision>
  <dcterms:created xsi:type="dcterms:W3CDTF">2022-07-27T06:23:00Z</dcterms:created>
  <dcterms:modified xsi:type="dcterms:W3CDTF">2022-07-28T08:47:00Z</dcterms:modified>
</cp:coreProperties>
</file>