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1D5E7A" w:rsidRDefault="0078519D" w:rsidP="00065E35">
      <w:pPr>
        <w:pStyle w:val="datum0"/>
        <w:rPr>
          <w:lang w:val="en-GB"/>
        </w:rPr>
      </w:pPr>
      <w:r>
        <w:rPr>
          <w:lang w:val="en-GB"/>
        </w:rPr>
        <w:t>1</w:t>
      </w:r>
      <w:r w:rsidR="0027037E">
        <w:rPr>
          <w:lang w:val="en-GB"/>
        </w:rPr>
        <w:t>6</w:t>
      </w:r>
      <w:r w:rsidR="00065E35" w:rsidRPr="001D5E7A">
        <w:rPr>
          <w:lang w:val="en-GB"/>
        </w:rPr>
        <w:t xml:space="preserve"> </w:t>
      </w:r>
      <w:r w:rsidR="00AD49E0">
        <w:rPr>
          <w:lang w:val="en-GB"/>
        </w:rPr>
        <w:t>December</w:t>
      </w:r>
      <w:r w:rsidR="00575F49">
        <w:rPr>
          <w:lang w:val="en-GB"/>
        </w:rPr>
        <w:t xml:space="preserve"> </w:t>
      </w:r>
      <w:r w:rsidR="0032116E">
        <w:rPr>
          <w:lang w:val="en-GB"/>
        </w:rPr>
        <w:t>2022</w:t>
      </w:r>
    </w:p>
    <w:p w:rsidR="00992EA9" w:rsidRPr="00A31A92" w:rsidRDefault="00A70C63" w:rsidP="00A31A92">
      <w:pPr>
        <w:pStyle w:val="Nzev"/>
      </w:pPr>
      <w:r>
        <w:rPr>
          <w:rStyle w:val="alt-edited"/>
        </w:rPr>
        <w:t>Y-o-y growth of industrial producer prices slowed down</w:t>
      </w:r>
    </w:p>
    <w:p w:rsidR="00065E35" w:rsidRPr="009E7F18" w:rsidRDefault="00065E35" w:rsidP="00065E35">
      <w:pPr>
        <w:pStyle w:val="Podtitulek"/>
      </w:pPr>
      <w:r w:rsidRPr="001D5E7A">
        <w:t>Producer pric</w:t>
      </w:r>
      <w:r w:rsidRPr="009E7F18">
        <w:t xml:space="preserve">e indices – </w:t>
      </w:r>
      <w:r w:rsidR="00400750">
        <w:t>November</w:t>
      </w:r>
      <w:r w:rsidR="00977836">
        <w:t xml:space="preserve"> </w:t>
      </w:r>
      <w:r w:rsidR="001D7DB8">
        <w:t>2022</w:t>
      </w:r>
    </w:p>
    <w:p w:rsidR="009956AE" w:rsidRPr="000446BA" w:rsidRDefault="00771D3F" w:rsidP="00915A0A">
      <w:pPr>
        <w:pStyle w:val="Perex"/>
        <w:contextualSpacing/>
        <w:rPr>
          <w:lang w:eastAsia="cs-CZ"/>
        </w:rPr>
      </w:pPr>
      <w:r w:rsidRPr="00AF348D">
        <w:rPr>
          <w:lang w:eastAsia="cs-CZ"/>
        </w:rPr>
        <w:t>Agricultural pr</w:t>
      </w:r>
      <w:r w:rsidRPr="00E84780">
        <w:rPr>
          <w:lang w:eastAsia="cs-CZ"/>
        </w:rPr>
        <w:t>oducer prices</w:t>
      </w:r>
      <w:r w:rsidR="00632D10" w:rsidRPr="00E84780">
        <w:rPr>
          <w:lang w:eastAsia="cs-CZ"/>
        </w:rPr>
        <w:t xml:space="preserve"> </w:t>
      </w:r>
      <w:r w:rsidR="00AF348D" w:rsidRPr="00E84780">
        <w:rPr>
          <w:lang w:eastAsia="cs-CZ"/>
        </w:rPr>
        <w:t>grew</w:t>
      </w:r>
      <w:r w:rsidR="00CA4266" w:rsidRPr="00E84780">
        <w:rPr>
          <w:lang w:eastAsia="cs-CZ"/>
        </w:rPr>
        <w:t xml:space="preserve"> by </w:t>
      </w:r>
      <w:r w:rsidR="00AF348D" w:rsidRPr="00E84780">
        <w:rPr>
          <w:lang w:eastAsia="cs-CZ"/>
        </w:rPr>
        <w:t>2</w:t>
      </w:r>
      <w:r w:rsidR="00425D3C" w:rsidRPr="00E84780">
        <w:rPr>
          <w:lang w:eastAsia="cs-CZ"/>
        </w:rPr>
        <w:t>.</w:t>
      </w:r>
      <w:r w:rsidR="00AF348D" w:rsidRPr="00E84780">
        <w:rPr>
          <w:lang w:eastAsia="cs-CZ"/>
        </w:rPr>
        <w:t>8</w:t>
      </w:r>
      <w:r w:rsidR="00CA4266" w:rsidRPr="00E84780">
        <w:rPr>
          <w:lang w:eastAsia="cs-CZ"/>
        </w:rPr>
        <w:t>% month-on-</w:t>
      </w:r>
      <w:r w:rsidR="00CA4266" w:rsidRPr="005671A1">
        <w:rPr>
          <w:lang w:eastAsia="cs-CZ"/>
        </w:rPr>
        <w:t xml:space="preserve">month (m-o-m) </w:t>
      </w:r>
      <w:r w:rsidR="00425D3C" w:rsidRPr="005671A1">
        <w:rPr>
          <w:lang w:eastAsia="cs-CZ"/>
        </w:rPr>
        <w:t xml:space="preserve">and </w:t>
      </w:r>
      <w:r w:rsidR="00E84780" w:rsidRPr="005671A1">
        <w:rPr>
          <w:lang w:eastAsia="cs-CZ"/>
        </w:rPr>
        <w:t>rose</w:t>
      </w:r>
      <w:r w:rsidR="00C73728" w:rsidRPr="005671A1">
        <w:rPr>
          <w:lang w:eastAsia="cs-CZ"/>
        </w:rPr>
        <w:t xml:space="preserve"> by </w:t>
      </w:r>
      <w:r w:rsidR="002059B9" w:rsidRPr="005671A1">
        <w:rPr>
          <w:lang w:eastAsia="cs-CZ"/>
        </w:rPr>
        <w:t>2</w:t>
      </w:r>
      <w:r w:rsidR="00E84780" w:rsidRPr="005671A1">
        <w:rPr>
          <w:lang w:eastAsia="cs-CZ"/>
        </w:rPr>
        <w:t>9</w:t>
      </w:r>
      <w:r w:rsidR="002E19FE" w:rsidRPr="005671A1">
        <w:rPr>
          <w:lang w:eastAsia="cs-CZ"/>
        </w:rPr>
        <w:t>.</w:t>
      </w:r>
      <w:r w:rsidR="00E84780" w:rsidRPr="005671A1">
        <w:rPr>
          <w:lang w:eastAsia="cs-CZ"/>
        </w:rPr>
        <w:t>9</w:t>
      </w:r>
      <w:r w:rsidR="002E19FE" w:rsidRPr="005671A1">
        <w:rPr>
          <w:lang w:eastAsia="cs-CZ"/>
        </w:rPr>
        <w:t xml:space="preserve">% year-on-year (y-o-y). </w:t>
      </w:r>
      <w:r w:rsidR="00641599" w:rsidRPr="005671A1">
        <w:rPr>
          <w:lang w:eastAsia="cs-CZ"/>
        </w:rPr>
        <w:t xml:space="preserve">Industrial producer prices </w:t>
      </w:r>
      <w:r w:rsidR="00A82057" w:rsidRPr="005671A1">
        <w:rPr>
          <w:lang w:eastAsia="cs-CZ"/>
        </w:rPr>
        <w:t>fell</w:t>
      </w:r>
      <w:r w:rsidR="00367458" w:rsidRPr="005671A1">
        <w:rPr>
          <w:lang w:eastAsia="cs-CZ"/>
        </w:rPr>
        <w:t xml:space="preserve"> </w:t>
      </w:r>
      <w:r w:rsidR="006D3BA2" w:rsidRPr="005671A1">
        <w:rPr>
          <w:lang w:eastAsia="cs-CZ"/>
        </w:rPr>
        <w:t xml:space="preserve">m-o-m by </w:t>
      </w:r>
      <w:r w:rsidR="00A82057" w:rsidRPr="005671A1">
        <w:rPr>
          <w:lang w:eastAsia="cs-CZ"/>
        </w:rPr>
        <w:t>1</w:t>
      </w:r>
      <w:r w:rsidR="00EE3063" w:rsidRPr="005671A1">
        <w:rPr>
          <w:lang w:eastAsia="cs-CZ"/>
        </w:rPr>
        <w:t>.</w:t>
      </w:r>
      <w:r w:rsidR="00A82057" w:rsidRPr="005671A1">
        <w:rPr>
          <w:lang w:eastAsia="cs-CZ"/>
        </w:rPr>
        <w:t>0</w:t>
      </w:r>
      <w:r w:rsidR="006D3BA2" w:rsidRPr="005671A1">
        <w:rPr>
          <w:lang w:eastAsia="cs-CZ"/>
        </w:rPr>
        <w:t xml:space="preserve">% </w:t>
      </w:r>
      <w:r w:rsidR="00641599" w:rsidRPr="005671A1">
        <w:rPr>
          <w:lang w:eastAsia="cs-CZ"/>
        </w:rPr>
        <w:t>and</w:t>
      </w:r>
      <w:r w:rsidR="00EE3063" w:rsidRPr="005671A1">
        <w:rPr>
          <w:lang w:eastAsia="cs-CZ"/>
        </w:rPr>
        <w:t xml:space="preserve"> </w:t>
      </w:r>
      <w:r w:rsidR="00A82057" w:rsidRPr="005671A1">
        <w:rPr>
          <w:lang w:eastAsia="cs-CZ"/>
        </w:rPr>
        <w:t xml:space="preserve">went up </w:t>
      </w:r>
      <w:r w:rsidR="00641599" w:rsidRPr="005671A1">
        <w:rPr>
          <w:lang w:eastAsia="cs-CZ"/>
        </w:rPr>
        <w:t>y-o-y</w:t>
      </w:r>
      <w:r w:rsidR="006D3BA2" w:rsidRPr="005671A1">
        <w:rPr>
          <w:lang w:eastAsia="cs-CZ"/>
        </w:rPr>
        <w:t xml:space="preserve"> by </w:t>
      </w:r>
      <w:r w:rsidR="00FE1550" w:rsidRPr="005671A1">
        <w:rPr>
          <w:lang w:eastAsia="cs-CZ"/>
        </w:rPr>
        <w:t>2</w:t>
      </w:r>
      <w:r w:rsidR="00A82057" w:rsidRPr="005671A1">
        <w:rPr>
          <w:lang w:eastAsia="cs-CZ"/>
        </w:rPr>
        <w:t>1</w:t>
      </w:r>
      <w:r w:rsidR="00EE3063" w:rsidRPr="005671A1">
        <w:rPr>
          <w:lang w:eastAsia="cs-CZ"/>
        </w:rPr>
        <w:t>.</w:t>
      </w:r>
      <w:r w:rsidR="00A82057" w:rsidRPr="005671A1">
        <w:rPr>
          <w:lang w:eastAsia="cs-CZ"/>
        </w:rPr>
        <w:t>3</w:t>
      </w:r>
      <w:r w:rsidR="006D3BA2" w:rsidRPr="005671A1">
        <w:rPr>
          <w:lang w:eastAsia="cs-CZ"/>
        </w:rPr>
        <w:t>%</w:t>
      </w:r>
      <w:r w:rsidR="00641599" w:rsidRPr="005671A1">
        <w:rPr>
          <w:lang w:eastAsia="cs-CZ"/>
        </w:rPr>
        <w:t xml:space="preserve">. </w:t>
      </w:r>
      <w:r w:rsidR="00B319E5" w:rsidRPr="005671A1">
        <w:rPr>
          <w:lang w:eastAsia="cs-CZ"/>
        </w:rPr>
        <w:t>C</w:t>
      </w:r>
      <w:r w:rsidR="00915A0A" w:rsidRPr="005671A1">
        <w:rPr>
          <w:lang w:eastAsia="cs-CZ"/>
        </w:rPr>
        <w:t>onstruction work prices</w:t>
      </w:r>
      <w:r w:rsidR="001801EB" w:rsidRPr="005671A1">
        <w:rPr>
          <w:lang w:eastAsia="cs-CZ"/>
        </w:rPr>
        <w:t xml:space="preserve"> </w:t>
      </w:r>
      <w:r w:rsidR="00BC4FB7" w:rsidRPr="005671A1">
        <w:rPr>
          <w:lang w:eastAsia="cs-CZ"/>
        </w:rPr>
        <w:t>were higher</w:t>
      </w:r>
      <w:r w:rsidR="00B319E5" w:rsidRPr="005671A1">
        <w:rPr>
          <w:lang w:eastAsia="cs-CZ"/>
        </w:rPr>
        <w:t xml:space="preserve"> m-o-m </w:t>
      </w:r>
      <w:r w:rsidR="001801EB" w:rsidRPr="005671A1">
        <w:rPr>
          <w:lang w:eastAsia="cs-CZ"/>
        </w:rPr>
        <w:t>(+</w:t>
      </w:r>
      <w:r w:rsidR="005A54D7" w:rsidRPr="005671A1">
        <w:rPr>
          <w:lang w:eastAsia="cs-CZ"/>
        </w:rPr>
        <w:t>0</w:t>
      </w:r>
      <w:r w:rsidR="00327B65" w:rsidRPr="005671A1">
        <w:rPr>
          <w:lang w:eastAsia="cs-CZ"/>
        </w:rPr>
        <w:t>.</w:t>
      </w:r>
      <w:r w:rsidR="005D77D6" w:rsidRPr="005671A1">
        <w:rPr>
          <w:lang w:eastAsia="cs-CZ"/>
        </w:rPr>
        <w:t>3</w:t>
      </w:r>
      <w:r w:rsidR="00850554" w:rsidRPr="005671A1">
        <w:rPr>
          <w:lang w:eastAsia="cs-CZ"/>
        </w:rPr>
        <w:t>%)</w:t>
      </w:r>
      <w:r w:rsidR="00B23C47" w:rsidRPr="005671A1">
        <w:rPr>
          <w:lang w:eastAsia="cs-CZ"/>
        </w:rPr>
        <w:t xml:space="preserve"> and y-o-y (+1</w:t>
      </w:r>
      <w:r w:rsidR="00BC4FB7" w:rsidRPr="005671A1">
        <w:rPr>
          <w:lang w:eastAsia="cs-CZ"/>
        </w:rPr>
        <w:t>1</w:t>
      </w:r>
      <w:r w:rsidR="0025108A" w:rsidRPr="005671A1">
        <w:rPr>
          <w:lang w:eastAsia="cs-CZ"/>
        </w:rPr>
        <w:t>.</w:t>
      </w:r>
      <w:r w:rsidR="00BC4FB7" w:rsidRPr="005671A1">
        <w:rPr>
          <w:lang w:eastAsia="cs-CZ"/>
        </w:rPr>
        <w:t>9</w:t>
      </w:r>
      <w:r w:rsidR="00B319E5" w:rsidRPr="005671A1">
        <w:rPr>
          <w:lang w:eastAsia="cs-CZ"/>
        </w:rPr>
        <w:t>%).</w:t>
      </w:r>
      <w:r w:rsidR="00425D3C" w:rsidRPr="005671A1">
        <w:rPr>
          <w:lang w:eastAsia="cs-CZ"/>
        </w:rPr>
        <w:t xml:space="preserve"> </w:t>
      </w:r>
      <w:r w:rsidR="00671F87" w:rsidRPr="005671A1">
        <w:rPr>
          <w:lang w:eastAsia="cs-CZ"/>
        </w:rPr>
        <w:t>S</w:t>
      </w:r>
      <w:r w:rsidR="00425D3C" w:rsidRPr="005671A1">
        <w:rPr>
          <w:bCs/>
          <w:iCs/>
          <w:szCs w:val="20"/>
        </w:rPr>
        <w:t>ervice produc</w:t>
      </w:r>
      <w:r w:rsidR="00ED7D5F" w:rsidRPr="005671A1">
        <w:rPr>
          <w:bCs/>
          <w:iCs/>
          <w:szCs w:val="20"/>
        </w:rPr>
        <w:t>e</w:t>
      </w:r>
      <w:r w:rsidR="00671F87" w:rsidRPr="005671A1">
        <w:rPr>
          <w:bCs/>
          <w:iCs/>
          <w:szCs w:val="20"/>
        </w:rPr>
        <w:t xml:space="preserve">r prices in the business sphere </w:t>
      </w:r>
      <w:r w:rsidR="005671A1" w:rsidRPr="000446BA">
        <w:rPr>
          <w:bCs/>
          <w:iCs/>
          <w:szCs w:val="20"/>
        </w:rPr>
        <w:t>increased</w:t>
      </w:r>
      <w:r w:rsidR="007E2502" w:rsidRPr="000446BA">
        <w:rPr>
          <w:bCs/>
          <w:iCs/>
          <w:szCs w:val="20"/>
        </w:rPr>
        <w:t xml:space="preserve"> </w:t>
      </w:r>
      <w:r w:rsidR="00671F87" w:rsidRPr="000446BA">
        <w:rPr>
          <w:bCs/>
          <w:iCs/>
          <w:szCs w:val="20"/>
        </w:rPr>
        <w:t xml:space="preserve">m-o-m </w:t>
      </w:r>
      <w:r w:rsidR="00DC475C" w:rsidRPr="000446BA">
        <w:rPr>
          <w:bCs/>
          <w:iCs/>
          <w:szCs w:val="20"/>
        </w:rPr>
        <w:t>(+</w:t>
      </w:r>
      <w:r w:rsidR="007E2502" w:rsidRPr="000446BA">
        <w:rPr>
          <w:bCs/>
          <w:iCs/>
          <w:szCs w:val="20"/>
        </w:rPr>
        <w:t>0</w:t>
      </w:r>
      <w:r w:rsidR="00286218" w:rsidRPr="000446BA">
        <w:rPr>
          <w:bCs/>
          <w:iCs/>
          <w:szCs w:val="20"/>
        </w:rPr>
        <w:t>.</w:t>
      </w:r>
      <w:r w:rsidR="005671A1" w:rsidRPr="000446BA">
        <w:rPr>
          <w:bCs/>
          <w:iCs/>
          <w:szCs w:val="20"/>
        </w:rPr>
        <w:t>2</w:t>
      </w:r>
      <w:r w:rsidR="00286218" w:rsidRPr="000446BA">
        <w:rPr>
          <w:bCs/>
          <w:iCs/>
          <w:szCs w:val="20"/>
        </w:rPr>
        <w:t xml:space="preserve">%) </w:t>
      </w:r>
      <w:r w:rsidR="00671F87" w:rsidRPr="000446BA">
        <w:rPr>
          <w:bCs/>
          <w:iCs/>
          <w:szCs w:val="20"/>
        </w:rPr>
        <w:t>and</w:t>
      </w:r>
      <w:r w:rsidR="00F80340" w:rsidRPr="000446BA">
        <w:rPr>
          <w:bCs/>
          <w:iCs/>
          <w:szCs w:val="20"/>
        </w:rPr>
        <w:t xml:space="preserve"> </w:t>
      </w:r>
      <w:r w:rsidR="00DC475C" w:rsidRPr="000446BA">
        <w:rPr>
          <w:bCs/>
          <w:iCs/>
          <w:szCs w:val="20"/>
        </w:rPr>
        <w:t>rose</w:t>
      </w:r>
      <w:r w:rsidR="00671F87" w:rsidRPr="000446BA">
        <w:rPr>
          <w:bCs/>
          <w:iCs/>
          <w:szCs w:val="20"/>
        </w:rPr>
        <w:t xml:space="preserve"> y-o-y (+</w:t>
      </w:r>
      <w:r w:rsidR="00F80340" w:rsidRPr="000446BA">
        <w:rPr>
          <w:bCs/>
          <w:iCs/>
          <w:szCs w:val="20"/>
        </w:rPr>
        <w:t>6</w:t>
      </w:r>
      <w:r w:rsidR="00671F87" w:rsidRPr="000446BA">
        <w:rPr>
          <w:bCs/>
          <w:iCs/>
          <w:szCs w:val="20"/>
        </w:rPr>
        <w:t>.</w:t>
      </w:r>
      <w:r w:rsidR="005671A1" w:rsidRPr="000446BA">
        <w:rPr>
          <w:bCs/>
          <w:iCs/>
          <w:szCs w:val="20"/>
        </w:rPr>
        <w:t>5</w:t>
      </w:r>
      <w:r w:rsidR="00671F87" w:rsidRPr="000446BA">
        <w:rPr>
          <w:bCs/>
          <w:iCs/>
          <w:szCs w:val="20"/>
        </w:rPr>
        <w:t>%)</w:t>
      </w:r>
      <w:r w:rsidR="00314CDE" w:rsidRPr="000446BA">
        <w:rPr>
          <w:lang w:eastAsia="cs-CZ"/>
        </w:rPr>
        <w:t xml:space="preserve">. </w:t>
      </w:r>
    </w:p>
    <w:p w:rsidR="00A8474D" w:rsidRPr="00DD0946" w:rsidRDefault="00A8474D" w:rsidP="00A8474D">
      <w:pPr>
        <w:rPr>
          <w:lang w:val="en-GB"/>
        </w:rPr>
      </w:pPr>
      <w:r w:rsidRPr="00DD0946">
        <w:rPr>
          <w:i/>
          <w:szCs w:val="20"/>
          <w:lang w:val="en-GB"/>
        </w:rPr>
        <w:t>“</w:t>
      </w:r>
      <w:r>
        <w:rPr>
          <w:i/>
          <w:szCs w:val="20"/>
          <w:lang w:val="en-GB"/>
        </w:rPr>
        <w:t xml:space="preserve">A year-on-year increase of prices </w:t>
      </w:r>
      <w:r w:rsidRPr="00DD0946">
        <w:rPr>
          <w:i/>
          <w:szCs w:val="20"/>
          <w:lang w:val="en-GB"/>
        </w:rPr>
        <w:t xml:space="preserve">of </w:t>
      </w:r>
      <w:r>
        <w:rPr>
          <w:i/>
          <w:szCs w:val="20"/>
          <w:lang w:val="en-GB"/>
        </w:rPr>
        <w:t xml:space="preserve">all </w:t>
      </w:r>
      <w:r w:rsidRPr="00DD0946">
        <w:rPr>
          <w:i/>
          <w:szCs w:val="20"/>
          <w:lang w:val="en-GB"/>
        </w:rPr>
        <w:t xml:space="preserve">producers </w:t>
      </w:r>
      <w:r>
        <w:rPr>
          <w:i/>
          <w:szCs w:val="20"/>
          <w:lang w:val="en-GB"/>
        </w:rPr>
        <w:t>continued in November</w:t>
      </w:r>
      <w:r w:rsidRPr="00DD0946">
        <w:rPr>
          <w:i/>
          <w:szCs w:val="20"/>
          <w:lang w:val="en-GB"/>
        </w:rPr>
        <w:t>. Prices of agriculture producers</w:t>
      </w:r>
      <w:r>
        <w:rPr>
          <w:i/>
          <w:szCs w:val="20"/>
          <w:lang w:val="en-GB"/>
        </w:rPr>
        <w:t xml:space="preserve"> </w:t>
      </w:r>
      <w:r w:rsidRPr="00DD0946">
        <w:rPr>
          <w:i/>
          <w:szCs w:val="20"/>
          <w:lang w:val="en-GB"/>
        </w:rPr>
        <w:t xml:space="preserve">increased </w:t>
      </w:r>
      <w:r>
        <w:rPr>
          <w:i/>
          <w:szCs w:val="20"/>
          <w:lang w:val="en-GB"/>
        </w:rPr>
        <w:t xml:space="preserve">almost by 30%, </w:t>
      </w:r>
      <w:r w:rsidRPr="00DD0946">
        <w:rPr>
          <w:i/>
          <w:szCs w:val="20"/>
          <w:lang w:val="en-GB"/>
        </w:rPr>
        <w:t>year-on-year, and prices of industrial producers</w:t>
      </w:r>
      <w:r>
        <w:rPr>
          <w:i/>
          <w:szCs w:val="20"/>
          <w:lang w:val="en-GB"/>
        </w:rPr>
        <w:t xml:space="preserve">, despite the month-on-month decrease, </w:t>
      </w:r>
      <w:r w:rsidRPr="00DD0946">
        <w:rPr>
          <w:i/>
          <w:szCs w:val="20"/>
          <w:lang w:val="en-GB"/>
        </w:rPr>
        <w:t>more than by 2</w:t>
      </w:r>
      <w:r>
        <w:rPr>
          <w:i/>
          <w:szCs w:val="20"/>
          <w:lang w:val="en-GB"/>
        </w:rPr>
        <w:t>1</w:t>
      </w:r>
      <w:r w:rsidRPr="00DD0946">
        <w:rPr>
          <w:i/>
          <w:szCs w:val="20"/>
          <w:lang w:val="en-GB"/>
        </w:rPr>
        <w:t xml:space="preserve"> %. Construction work prices, according to an estimate, grew </w:t>
      </w:r>
      <w:r>
        <w:rPr>
          <w:i/>
          <w:szCs w:val="20"/>
          <w:lang w:val="en-GB"/>
        </w:rPr>
        <w:t xml:space="preserve">nearly by </w:t>
      </w:r>
      <w:r w:rsidRPr="00DD0946">
        <w:rPr>
          <w:i/>
          <w:szCs w:val="20"/>
          <w:lang w:val="en-GB"/>
        </w:rPr>
        <w:t>12%, year-on-year, and service producer prices in the business sphere were higher by 6.</w:t>
      </w:r>
      <w:r>
        <w:rPr>
          <w:i/>
          <w:szCs w:val="20"/>
          <w:lang w:val="en-GB"/>
        </w:rPr>
        <w:t>5</w:t>
      </w:r>
      <w:r w:rsidRPr="00DD0946">
        <w:rPr>
          <w:i/>
          <w:szCs w:val="20"/>
          <w:lang w:val="en-GB"/>
        </w:rPr>
        <w:t xml:space="preserve">%,” </w:t>
      </w:r>
      <w:r w:rsidRPr="00DD0946">
        <w:rPr>
          <w:szCs w:val="20"/>
          <w:lang w:val="en-GB"/>
        </w:rPr>
        <w:t xml:space="preserve">noted Vladimir </w:t>
      </w:r>
      <w:proofErr w:type="spellStart"/>
      <w:r w:rsidRPr="00DD0946">
        <w:rPr>
          <w:szCs w:val="20"/>
          <w:lang w:val="en-GB"/>
        </w:rPr>
        <w:t>Klimes</w:t>
      </w:r>
      <w:proofErr w:type="spellEnd"/>
      <w:r w:rsidRPr="00DD0946">
        <w:rPr>
          <w:szCs w:val="20"/>
          <w:lang w:val="en-GB"/>
        </w:rPr>
        <w:t>, head of Industrial and International Trade Prices Statistics Unit of CZSO.</w:t>
      </w:r>
    </w:p>
    <w:p w:rsidR="00A8474D" w:rsidRPr="007D2D7D" w:rsidRDefault="00A8474D" w:rsidP="00A8474D">
      <w:pPr>
        <w:rPr>
          <w:strike/>
          <w:szCs w:val="20"/>
        </w:rPr>
      </w:pPr>
    </w:p>
    <w:p w:rsidR="00212F3F" w:rsidRPr="00A42F69" w:rsidRDefault="006930BC" w:rsidP="00212F3F">
      <w:pPr>
        <w:rPr>
          <w:color w:val="FF0000"/>
          <w:szCs w:val="20"/>
          <w:lang w:val="en-GB"/>
        </w:rPr>
      </w:pPr>
      <w:r w:rsidRPr="00924F07">
        <w:rPr>
          <w:b/>
          <w:szCs w:val="20"/>
          <w:lang w:val="en-GB"/>
        </w:rPr>
        <w:t xml:space="preserve">Agricultural producer </w:t>
      </w:r>
      <w:r w:rsidRPr="00924F07">
        <w:rPr>
          <w:szCs w:val="20"/>
          <w:lang w:val="en-GB"/>
        </w:rPr>
        <w:t xml:space="preserve">prices </w:t>
      </w:r>
      <w:r w:rsidR="00796CEC" w:rsidRPr="00924F07">
        <w:rPr>
          <w:szCs w:val="20"/>
          <w:lang w:val="en-GB"/>
        </w:rPr>
        <w:t xml:space="preserve">were </w:t>
      </w:r>
      <w:r w:rsidR="000446BA" w:rsidRPr="002F5503">
        <w:rPr>
          <w:szCs w:val="20"/>
          <w:lang w:val="en-GB"/>
        </w:rPr>
        <w:t>higher</w:t>
      </w:r>
      <w:r w:rsidR="00371276" w:rsidRPr="002F5503">
        <w:rPr>
          <w:szCs w:val="20"/>
          <w:lang w:val="en-GB"/>
        </w:rPr>
        <w:t xml:space="preserve"> by </w:t>
      </w:r>
      <w:r w:rsidR="000446BA" w:rsidRPr="002F5503">
        <w:rPr>
          <w:szCs w:val="20"/>
          <w:lang w:val="en-GB"/>
        </w:rPr>
        <w:t>2</w:t>
      </w:r>
      <w:r w:rsidR="002435DF" w:rsidRPr="002F5503">
        <w:rPr>
          <w:szCs w:val="20"/>
          <w:lang w:val="en-GB"/>
        </w:rPr>
        <w:t>.</w:t>
      </w:r>
      <w:r w:rsidR="000446BA" w:rsidRPr="002F5503">
        <w:rPr>
          <w:szCs w:val="20"/>
          <w:lang w:val="en-GB"/>
        </w:rPr>
        <w:t>8</w:t>
      </w:r>
      <w:r w:rsidR="002435DF" w:rsidRPr="002F5503">
        <w:rPr>
          <w:szCs w:val="20"/>
          <w:lang w:val="en-GB"/>
        </w:rPr>
        <w:t>%</w:t>
      </w:r>
      <w:r w:rsidR="00212F3F" w:rsidRPr="002F5503">
        <w:rPr>
          <w:szCs w:val="20"/>
          <w:lang w:val="en-GB"/>
        </w:rPr>
        <w:t xml:space="preserve"> </w:t>
      </w:r>
      <w:r w:rsidR="00212F3F" w:rsidRPr="002F5503">
        <w:rPr>
          <w:b/>
          <w:szCs w:val="20"/>
          <w:lang w:val="en-GB"/>
        </w:rPr>
        <w:t>m-o-m</w:t>
      </w:r>
      <w:r w:rsidR="005907FE" w:rsidRPr="002F5503">
        <w:rPr>
          <w:szCs w:val="20"/>
          <w:lang w:val="en-GB"/>
        </w:rPr>
        <w:t>.</w:t>
      </w:r>
      <w:r w:rsidR="009867F6" w:rsidRPr="002F5503">
        <w:rPr>
          <w:szCs w:val="20"/>
          <w:lang w:val="en-GB"/>
        </w:rPr>
        <w:t xml:space="preserve"> </w:t>
      </w:r>
      <w:r w:rsidR="00615067" w:rsidRPr="002F5503">
        <w:rPr>
          <w:szCs w:val="20"/>
          <w:lang w:val="en-GB"/>
        </w:rPr>
        <w:t>In</w:t>
      </w:r>
      <w:r w:rsidR="009C1E4D" w:rsidRPr="002F5503">
        <w:rPr>
          <w:szCs w:val="20"/>
          <w:lang w:val="en-GB"/>
        </w:rPr>
        <w:t>c</w:t>
      </w:r>
      <w:r w:rsidRPr="002F5503">
        <w:rPr>
          <w:szCs w:val="20"/>
          <w:lang w:val="en-GB"/>
        </w:rPr>
        <w:t xml:space="preserve">reasing </w:t>
      </w:r>
      <w:r w:rsidR="00C617C7" w:rsidRPr="002F5503">
        <w:rPr>
          <w:szCs w:val="20"/>
          <w:lang w:val="en-GB"/>
        </w:rPr>
        <w:t xml:space="preserve">were </w:t>
      </w:r>
      <w:r w:rsidR="00302BF6" w:rsidRPr="002F5503">
        <w:rPr>
          <w:szCs w:val="20"/>
          <w:lang w:val="en-GB"/>
        </w:rPr>
        <w:t>prices of</w:t>
      </w:r>
      <w:r w:rsidR="0022780B" w:rsidRPr="002F5503">
        <w:rPr>
          <w:szCs w:val="20"/>
          <w:lang w:val="en-GB"/>
        </w:rPr>
        <w:t xml:space="preserve"> </w:t>
      </w:r>
      <w:r w:rsidR="00615067" w:rsidRPr="002F5503">
        <w:rPr>
          <w:szCs w:val="20"/>
          <w:lang w:val="en-GB"/>
        </w:rPr>
        <w:t xml:space="preserve">eggs (+15.2%), </w:t>
      </w:r>
      <w:r w:rsidR="00707F4C" w:rsidRPr="002F5503">
        <w:rPr>
          <w:szCs w:val="20"/>
          <w:lang w:val="en-GB"/>
        </w:rPr>
        <w:t>potatoes (+</w:t>
      </w:r>
      <w:r w:rsidR="00C3627F" w:rsidRPr="002F5503">
        <w:rPr>
          <w:szCs w:val="20"/>
          <w:lang w:val="en-GB"/>
        </w:rPr>
        <w:t>4.8</w:t>
      </w:r>
      <w:r w:rsidR="004D1BBA" w:rsidRPr="002F5503">
        <w:rPr>
          <w:szCs w:val="20"/>
          <w:lang w:val="en-GB"/>
        </w:rPr>
        <w:t>%),</w:t>
      </w:r>
      <w:r w:rsidR="00150009" w:rsidRPr="002F5503">
        <w:rPr>
          <w:szCs w:val="20"/>
          <w:lang w:val="en-GB"/>
        </w:rPr>
        <w:t xml:space="preserve"> milk (+3.6%),</w:t>
      </w:r>
      <w:r w:rsidR="004D1BBA" w:rsidRPr="002F5503">
        <w:rPr>
          <w:szCs w:val="20"/>
          <w:lang w:val="en-GB"/>
        </w:rPr>
        <w:t xml:space="preserve"> </w:t>
      </w:r>
      <w:r w:rsidR="006F26ED" w:rsidRPr="00FE1D26">
        <w:rPr>
          <w:szCs w:val="20"/>
          <w:lang w:val="en-GB"/>
        </w:rPr>
        <w:t>oleaginous crops (+2.5</w:t>
      </w:r>
      <w:r w:rsidR="00C92721" w:rsidRPr="00FE1D26">
        <w:rPr>
          <w:szCs w:val="20"/>
          <w:lang w:val="en-GB"/>
        </w:rPr>
        <w:t xml:space="preserve">%) and </w:t>
      </w:r>
      <w:r w:rsidR="008163DB" w:rsidRPr="00FE1D26">
        <w:rPr>
          <w:szCs w:val="20"/>
          <w:lang w:val="en-GB"/>
        </w:rPr>
        <w:t xml:space="preserve">cereals </w:t>
      </w:r>
      <w:r w:rsidR="00707F4C" w:rsidRPr="00FE1D26">
        <w:rPr>
          <w:szCs w:val="20"/>
          <w:lang w:val="en-GB"/>
        </w:rPr>
        <w:t>(+</w:t>
      </w:r>
      <w:r w:rsidR="008163DB" w:rsidRPr="00FE1D26">
        <w:rPr>
          <w:szCs w:val="20"/>
          <w:lang w:val="en-GB"/>
        </w:rPr>
        <w:t>1</w:t>
      </w:r>
      <w:r w:rsidR="004F0E33" w:rsidRPr="00FE1D26">
        <w:rPr>
          <w:szCs w:val="20"/>
          <w:lang w:val="en-GB"/>
        </w:rPr>
        <w:t>.</w:t>
      </w:r>
      <w:r w:rsidR="008163DB" w:rsidRPr="00FE1D26">
        <w:rPr>
          <w:szCs w:val="20"/>
          <w:lang w:val="en-GB"/>
        </w:rPr>
        <w:t>3</w:t>
      </w:r>
      <w:r w:rsidR="00C92721" w:rsidRPr="00FE1D26">
        <w:rPr>
          <w:szCs w:val="20"/>
          <w:lang w:val="en-GB"/>
        </w:rPr>
        <w:t>%).</w:t>
      </w:r>
      <w:r w:rsidR="00136630" w:rsidRPr="00FE1D26">
        <w:rPr>
          <w:szCs w:val="20"/>
          <w:lang w:val="en-GB"/>
        </w:rPr>
        <w:t xml:space="preserve"> </w:t>
      </w:r>
      <w:r w:rsidR="00FF506A" w:rsidRPr="00FE1D26">
        <w:rPr>
          <w:szCs w:val="20"/>
          <w:lang w:val="en-GB"/>
        </w:rPr>
        <w:t xml:space="preserve">Prices of </w:t>
      </w:r>
      <w:r w:rsidR="00EE21C7" w:rsidRPr="00FE1D26">
        <w:rPr>
          <w:szCs w:val="20"/>
          <w:lang w:val="en-GB"/>
        </w:rPr>
        <w:t>fresh vegetables</w:t>
      </w:r>
      <w:r w:rsidR="00136630" w:rsidRPr="00FE1D26">
        <w:rPr>
          <w:szCs w:val="20"/>
          <w:lang w:val="en-GB"/>
        </w:rPr>
        <w:t xml:space="preserve"> (-</w:t>
      </w:r>
      <w:r w:rsidR="00EE21C7" w:rsidRPr="00FE1D26">
        <w:rPr>
          <w:szCs w:val="20"/>
          <w:lang w:val="en-GB"/>
        </w:rPr>
        <w:t>12</w:t>
      </w:r>
      <w:r w:rsidR="003E774F" w:rsidRPr="00FE1D26">
        <w:rPr>
          <w:szCs w:val="20"/>
          <w:lang w:val="en-GB"/>
        </w:rPr>
        <w:t>.</w:t>
      </w:r>
      <w:r w:rsidR="00EE21C7" w:rsidRPr="00FE1D26">
        <w:rPr>
          <w:szCs w:val="20"/>
          <w:lang w:val="en-GB"/>
        </w:rPr>
        <w:t>4</w:t>
      </w:r>
      <w:r w:rsidR="003E774F" w:rsidRPr="00FE1D26">
        <w:rPr>
          <w:szCs w:val="20"/>
          <w:lang w:val="en-GB"/>
        </w:rPr>
        <w:t xml:space="preserve">%), </w:t>
      </w:r>
      <w:r w:rsidR="00FF506A" w:rsidRPr="00FE1D26">
        <w:rPr>
          <w:szCs w:val="20"/>
          <w:lang w:val="en-GB"/>
        </w:rPr>
        <w:t>pigs f</w:t>
      </w:r>
      <w:r w:rsidR="001F3C41" w:rsidRPr="00FE1D26">
        <w:rPr>
          <w:szCs w:val="20"/>
          <w:lang w:val="en-GB"/>
        </w:rPr>
        <w:t>or slaughter</w:t>
      </w:r>
      <w:r w:rsidR="00FF506A" w:rsidRPr="00FE1D26">
        <w:rPr>
          <w:szCs w:val="20"/>
          <w:lang w:val="en-GB"/>
        </w:rPr>
        <w:t xml:space="preserve"> </w:t>
      </w:r>
      <w:r w:rsidR="001F3C41" w:rsidRPr="00FE1D26">
        <w:rPr>
          <w:szCs w:val="20"/>
          <w:lang w:val="en-GB"/>
        </w:rPr>
        <w:t>(</w:t>
      </w:r>
      <w:r w:rsidR="00136630" w:rsidRPr="00FE1D26">
        <w:rPr>
          <w:szCs w:val="20"/>
          <w:lang w:val="en-GB"/>
        </w:rPr>
        <w:t>-</w:t>
      </w:r>
      <w:r w:rsidR="00EE21C7" w:rsidRPr="00FE1D26">
        <w:rPr>
          <w:szCs w:val="20"/>
          <w:lang w:val="en-GB"/>
        </w:rPr>
        <w:t>2</w:t>
      </w:r>
      <w:r w:rsidR="00802EDC" w:rsidRPr="00FE1D26">
        <w:rPr>
          <w:szCs w:val="20"/>
          <w:lang w:val="en-GB"/>
        </w:rPr>
        <w:t>.</w:t>
      </w:r>
      <w:r w:rsidR="00EE21C7" w:rsidRPr="00FE1D26">
        <w:rPr>
          <w:szCs w:val="20"/>
          <w:lang w:val="en-GB"/>
        </w:rPr>
        <w:t>9</w:t>
      </w:r>
      <w:r w:rsidR="00802EDC" w:rsidRPr="00FE1D26">
        <w:rPr>
          <w:szCs w:val="20"/>
          <w:lang w:val="en-GB"/>
        </w:rPr>
        <w:t>%)</w:t>
      </w:r>
      <w:r w:rsidR="004503B2" w:rsidRPr="00FE1D26">
        <w:rPr>
          <w:szCs w:val="20"/>
          <w:lang w:val="en-GB"/>
        </w:rPr>
        <w:t>,</w:t>
      </w:r>
      <w:r w:rsidR="003E774F" w:rsidRPr="00FE1D26">
        <w:rPr>
          <w:szCs w:val="20"/>
          <w:lang w:val="en-GB"/>
        </w:rPr>
        <w:t xml:space="preserve"> </w:t>
      </w:r>
      <w:r w:rsidR="00EE21C7" w:rsidRPr="00FE1D26">
        <w:rPr>
          <w:szCs w:val="20"/>
          <w:lang w:val="en-GB"/>
        </w:rPr>
        <w:t xml:space="preserve">fruit (-0.9%) </w:t>
      </w:r>
      <w:r w:rsidR="004503B2" w:rsidRPr="00FE1D26">
        <w:rPr>
          <w:szCs w:val="20"/>
          <w:lang w:val="en-GB"/>
        </w:rPr>
        <w:t xml:space="preserve">and </w:t>
      </w:r>
      <w:r w:rsidR="00EE21C7" w:rsidRPr="00FE1D26">
        <w:rPr>
          <w:szCs w:val="20"/>
          <w:lang w:val="en-GB"/>
        </w:rPr>
        <w:t>cattle for slaughter</w:t>
      </w:r>
      <w:r w:rsidR="00136630" w:rsidRPr="00FE1D26">
        <w:rPr>
          <w:szCs w:val="20"/>
          <w:lang w:val="en-GB"/>
        </w:rPr>
        <w:t xml:space="preserve"> </w:t>
      </w:r>
      <w:r w:rsidR="00EE21C7" w:rsidRPr="00FE1D26">
        <w:rPr>
          <w:szCs w:val="20"/>
          <w:lang w:val="en-GB"/>
        </w:rPr>
        <w:br/>
      </w:r>
      <w:r w:rsidR="00136630" w:rsidRPr="00FE1D26">
        <w:rPr>
          <w:szCs w:val="20"/>
          <w:lang w:val="en-GB"/>
        </w:rPr>
        <w:t>(-</w:t>
      </w:r>
      <w:r w:rsidR="00EE21C7" w:rsidRPr="00FE1D26">
        <w:rPr>
          <w:szCs w:val="20"/>
          <w:lang w:val="en-GB"/>
        </w:rPr>
        <w:t>0</w:t>
      </w:r>
      <w:r w:rsidR="004612A3" w:rsidRPr="00FE1D26">
        <w:rPr>
          <w:szCs w:val="20"/>
          <w:lang w:val="en-GB"/>
        </w:rPr>
        <w:t>.</w:t>
      </w:r>
      <w:r w:rsidR="003E774F" w:rsidRPr="00FE1D26">
        <w:rPr>
          <w:szCs w:val="20"/>
          <w:lang w:val="en-GB"/>
        </w:rPr>
        <w:t>4</w:t>
      </w:r>
      <w:r w:rsidR="004612A3" w:rsidRPr="00FE1D26">
        <w:rPr>
          <w:szCs w:val="20"/>
          <w:lang w:val="en-GB"/>
        </w:rPr>
        <w:t xml:space="preserve">%) </w:t>
      </w:r>
      <w:r w:rsidR="00136630" w:rsidRPr="00FE1D26">
        <w:rPr>
          <w:szCs w:val="20"/>
          <w:lang w:val="en-GB"/>
        </w:rPr>
        <w:t>de</w:t>
      </w:r>
      <w:r w:rsidR="00FF506A" w:rsidRPr="00FE1D26">
        <w:rPr>
          <w:szCs w:val="20"/>
          <w:lang w:val="en-GB"/>
        </w:rPr>
        <w:t>creased</w:t>
      </w:r>
      <w:r w:rsidR="000E5D41" w:rsidRPr="00FE1D26">
        <w:rPr>
          <w:szCs w:val="20"/>
          <w:lang w:val="en-GB"/>
        </w:rPr>
        <w:t xml:space="preserve">. </w:t>
      </w:r>
      <w:r w:rsidR="00D41FD4" w:rsidRPr="00FE1D26">
        <w:rPr>
          <w:b/>
          <w:szCs w:val="20"/>
          <w:lang w:val="en-GB"/>
        </w:rPr>
        <w:t>Y-o-y</w:t>
      </w:r>
      <w:r w:rsidR="00C75FB0" w:rsidRPr="00FE1D26">
        <w:rPr>
          <w:b/>
          <w:szCs w:val="20"/>
          <w:lang w:val="en-GB"/>
        </w:rPr>
        <w:t xml:space="preserve"> </w:t>
      </w:r>
      <w:r w:rsidR="00D41FD4" w:rsidRPr="00FE1D26">
        <w:rPr>
          <w:b/>
          <w:szCs w:val="20"/>
          <w:lang w:val="en-GB"/>
        </w:rPr>
        <w:t>a</w:t>
      </w:r>
      <w:r w:rsidR="00212F3F" w:rsidRPr="00FE1D26">
        <w:rPr>
          <w:b/>
          <w:bCs/>
          <w:szCs w:val="20"/>
          <w:lang w:val="en-GB"/>
        </w:rPr>
        <w:t xml:space="preserve">gricultural producer </w:t>
      </w:r>
      <w:r w:rsidR="00212F3F" w:rsidRPr="00FE1D26">
        <w:rPr>
          <w:bCs/>
          <w:szCs w:val="20"/>
          <w:lang w:val="en-GB"/>
        </w:rPr>
        <w:t xml:space="preserve">prices went up by </w:t>
      </w:r>
      <w:r w:rsidR="00422A8A" w:rsidRPr="00FE1D26">
        <w:rPr>
          <w:bCs/>
          <w:szCs w:val="20"/>
          <w:lang w:val="en-GB"/>
        </w:rPr>
        <w:t>2</w:t>
      </w:r>
      <w:r w:rsidR="002F5503" w:rsidRPr="00FE1D26">
        <w:rPr>
          <w:bCs/>
          <w:szCs w:val="20"/>
          <w:lang w:val="en-GB"/>
        </w:rPr>
        <w:t>9</w:t>
      </w:r>
      <w:r w:rsidR="00212F3F" w:rsidRPr="00FE1D26">
        <w:rPr>
          <w:bCs/>
          <w:szCs w:val="20"/>
          <w:lang w:val="en-GB"/>
        </w:rPr>
        <w:t>.</w:t>
      </w:r>
      <w:r w:rsidR="002F5503" w:rsidRPr="00FE1D26">
        <w:rPr>
          <w:bCs/>
          <w:szCs w:val="20"/>
          <w:lang w:val="en-GB"/>
        </w:rPr>
        <w:t>9</w:t>
      </w:r>
      <w:r w:rsidR="00212F3F" w:rsidRPr="00FE1D26">
        <w:rPr>
          <w:bCs/>
          <w:szCs w:val="20"/>
          <w:lang w:val="en-GB"/>
        </w:rPr>
        <w:t xml:space="preserve">% (in </w:t>
      </w:r>
      <w:r w:rsidR="00C369CB" w:rsidRPr="00FE1D26">
        <w:rPr>
          <w:bCs/>
          <w:szCs w:val="20"/>
          <w:lang w:val="en-GB"/>
        </w:rPr>
        <w:t>October</w:t>
      </w:r>
      <w:r w:rsidR="00B13358" w:rsidRPr="00FE1D26">
        <w:rPr>
          <w:bCs/>
          <w:szCs w:val="20"/>
          <w:lang w:val="en-GB"/>
        </w:rPr>
        <w:t xml:space="preserve"> </w:t>
      </w:r>
      <w:r w:rsidR="00212F3F" w:rsidRPr="00FE1D26">
        <w:rPr>
          <w:bCs/>
          <w:szCs w:val="20"/>
          <w:lang w:val="en-GB"/>
        </w:rPr>
        <w:t xml:space="preserve">they rose by </w:t>
      </w:r>
      <w:r w:rsidR="00C369CB" w:rsidRPr="00FE1D26">
        <w:rPr>
          <w:bCs/>
          <w:szCs w:val="20"/>
          <w:lang w:val="en-GB"/>
        </w:rPr>
        <w:t>27</w:t>
      </w:r>
      <w:r w:rsidR="00212F3F" w:rsidRPr="00FE1D26">
        <w:rPr>
          <w:bCs/>
          <w:szCs w:val="20"/>
          <w:lang w:val="en-GB"/>
        </w:rPr>
        <w:t>.</w:t>
      </w:r>
      <w:r w:rsidR="00C369CB" w:rsidRPr="00FE1D26">
        <w:rPr>
          <w:bCs/>
          <w:szCs w:val="20"/>
          <w:lang w:val="en-GB"/>
        </w:rPr>
        <w:t>1</w:t>
      </w:r>
      <w:r w:rsidR="00212F3F" w:rsidRPr="00FE1D26">
        <w:rPr>
          <w:bCs/>
          <w:szCs w:val="20"/>
          <w:lang w:val="en-GB"/>
        </w:rPr>
        <w:t>%).</w:t>
      </w:r>
      <w:r w:rsidR="00C61099" w:rsidRPr="00FE1D26">
        <w:rPr>
          <w:rStyle w:val="hps"/>
          <w:szCs w:val="20"/>
          <w:lang w:val="en-GB"/>
        </w:rPr>
        <w:t xml:space="preserve"> </w:t>
      </w:r>
      <w:r w:rsidR="00212F3F" w:rsidRPr="00FE1D26">
        <w:rPr>
          <w:rStyle w:val="hps"/>
          <w:szCs w:val="20"/>
          <w:lang w:val="en-GB"/>
        </w:rPr>
        <w:t>P</w:t>
      </w:r>
      <w:r w:rsidR="00212F3F" w:rsidRPr="00FE1D26">
        <w:rPr>
          <w:szCs w:val="20"/>
          <w:lang w:val="en-GB"/>
        </w:rPr>
        <w:t>rices in </w:t>
      </w:r>
      <w:r w:rsidR="00212F3F" w:rsidRPr="00355781">
        <w:rPr>
          <w:szCs w:val="20"/>
          <w:lang w:val="en-GB"/>
        </w:rPr>
        <w:t xml:space="preserve">the crop production grew by </w:t>
      </w:r>
      <w:r w:rsidR="002E1FF4" w:rsidRPr="00355781">
        <w:rPr>
          <w:szCs w:val="20"/>
          <w:lang w:val="en-GB"/>
        </w:rPr>
        <w:t>26</w:t>
      </w:r>
      <w:r w:rsidR="00212F3F" w:rsidRPr="00355781">
        <w:rPr>
          <w:szCs w:val="20"/>
          <w:lang w:val="en-GB"/>
        </w:rPr>
        <w:t>.</w:t>
      </w:r>
      <w:r w:rsidR="002E1FF4" w:rsidRPr="00355781">
        <w:rPr>
          <w:szCs w:val="20"/>
          <w:lang w:val="en-GB"/>
        </w:rPr>
        <w:t>0</w:t>
      </w:r>
      <w:r w:rsidR="00212F3F" w:rsidRPr="00355781">
        <w:rPr>
          <w:szCs w:val="20"/>
          <w:lang w:val="en-GB"/>
        </w:rPr>
        <w:t>%. On the increase were prices of cereals (+</w:t>
      </w:r>
      <w:r w:rsidR="0001254E" w:rsidRPr="00355781">
        <w:rPr>
          <w:szCs w:val="20"/>
          <w:lang w:val="en-GB"/>
        </w:rPr>
        <w:t>42</w:t>
      </w:r>
      <w:r w:rsidR="00212F3F" w:rsidRPr="00355781">
        <w:rPr>
          <w:szCs w:val="20"/>
          <w:lang w:val="en-GB"/>
        </w:rPr>
        <w:t>.</w:t>
      </w:r>
      <w:r w:rsidR="0001254E" w:rsidRPr="00355781">
        <w:rPr>
          <w:szCs w:val="20"/>
          <w:lang w:val="en-GB"/>
        </w:rPr>
        <w:t>4</w:t>
      </w:r>
      <w:r w:rsidR="00212F3F" w:rsidRPr="00355781">
        <w:rPr>
          <w:szCs w:val="20"/>
          <w:lang w:val="en-GB"/>
        </w:rPr>
        <w:t>%)</w:t>
      </w:r>
      <w:r w:rsidR="00EC1C49" w:rsidRPr="00355781">
        <w:rPr>
          <w:szCs w:val="20"/>
          <w:lang w:val="en-GB"/>
        </w:rPr>
        <w:t>,</w:t>
      </w:r>
      <w:r w:rsidR="00B70F9B" w:rsidRPr="00355781">
        <w:rPr>
          <w:szCs w:val="20"/>
          <w:lang w:val="en-GB"/>
        </w:rPr>
        <w:t xml:space="preserve"> </w:t>
      </w:r>
      <w:r w:rsidR="00DD078C" w:rsidRPr="00355781">
        <w:rPr>
          <w:szCs w:val="20"/>
          <w:lang w:val="en-GB"/>
        </w:rPr>
        <w:t xml:space="preserve">fresh </w:t>
      </w:r>
      <w:r w:rsidR="00246D73" w:rsidRPr="00355781">
        <w:rPr>
          <w:szCs w:val="20"/>
          <w:lang w:val="en-GB"/>
        </w:rPr>
        <w:t>vegetables (+33</w:t>
      </w:r>
      <w:r w:rsidR="00414950" w:rsidRPr="00355781">
        <w:rPr>
          <w:szCs w:val="20"/>
          <w:lang w:val="en-GB"/>
        </w:rPr>
        <w:t>.</w:t>
      </w:r>
      <w:r w:rsidR="00246D73" w:rsidRPr="00355781">
        <w:rPr>
          <w:szCs w:val="20"/>
          <w:lang w:val="en-GB"/>
        </w:rPr>
        <w:t>5</w:t>
      </w:r>
      <w:r w:rsidR="0066154B" w:rsidRPr="00355781">
        <w:rPr>
          <w:szCs w:val="20"/>
          <w:lang w:val="en-GB"/>
        </w:rPr>
        <w:t>%)</w:t>
      </w:r>
      <w:r w:rsidR="00246D73" w:rsidRPr="00355781">
        <w:rPr>
          <w:szCs w:val="20"/>
          <w:lang w:val="en-GB"/>
        </w:rPr>
        <w:t xml:space="preserve">, </w:t>
      </w:r>
      <w:r w:rsidR="00DB05BE" w:rsidRPr="00355781">
        <w:rPr>
          <w:szCs w:val="20"/>
          <w:lang w:val="en-GB"/>
        </w:rPr>
        <w:t>potatoes (+25</w:t>
      </w:r>
      <w:r w:rsidR="00246D73" w:rsidRPr="00355781">
        <w:rPr>
          <w:szCs w:val="20"/>
          <w:lang w:val="en-GB"/>
        </w:rPr>
        <w:t>.</w:t>
      </w:r>
      <w:r w:rsidR="00DB05BE" w:rsidRPr="00355781">
        <w:rPr>
          <w:szCs w:val="20"/>
          <w:lang w:val="en-GB"/>
        </w:rPr>
        <w:t>4</w:t>
      </w:r>
      <w:r w:rsidR="00246D73" w:rsidRPr="00355781">
        <w:rPr>
          <w:szCs w:val="20"/>
          <w:lang w:val="en-GB"/>
        </w:rPr>
        <w:t>%) and oleaginous crops (+</w:t>
      </w:r>
      <w:r w:rsidR="00FE1D26" w:rsidRPr="00355781">
        <w:rPr>
          <w:szCs w:val="20"/>
          <w:lang w:val="en-GB"/>
        </w:rPr>
        <w:t>21</w:t>
      </w:r>
      <w:r w:rsidR="00246D73" w:rsidRPr="00355781">
        <w:rPr>
          <w:szCs w:val="20"/>
          <w:lang w:val="en-GB"/>
        </w:rPr>
        <w:t>.</w:t>
      </w:r>
      <w:r w:rsidR="00FE1D26" w:rsidRPr="00355781">
        <w:rPr>
          <w:szCs w:val="20"/>
          <w:lang w:val="en-GB"/>
        </w:rPr>
        <w:t>8</w:t>
      </w:r>
      <w:r w:rsidR="00246D73" w:rsidRPr="00355781">
        <w:rPr>
          <w:szCs w:val="20"/>
          <w:lang w:val="en-GB"/>
        </w:rPr>
        <w:t>%)</w:t>
      </w:r>
      <w:r w:rsidR="00B52434" w:rsidRPr="00355781">
        <w:rPr>
          <w:szCs w:val="20"/>
          <w:lang w:val="en-GB"/>
        </w:rPr>
        <w:t>.</w:t>
      </w:r>
      <w:r w:rsidR="00786648" w:rsidRPr="00355781">
        <w:rPr>
          <w:szCs w:val="20"/>
          <w:lang w:val="en-GB"/>
        </w:rPr>
        <w:t xml:space="preserve"> </w:t>
      </w:r>
      <w:r w:rsidR="00FE1D26" w:rsidRPr="00355781">
        <w:rPr>
          <w:szCs w:val="20"/>
          <w:lang w:val="en-GB"/>
        </w:rPr>
        <w:t>Prices of fruit went down by 13</w:t>
      </w:r>
      <w:r w:rsidR="00F90771" w:rsidRPr="00355781">
        <w:rPr>
          <w:szCs w:val="20"/>
          <w:lang w:val="en-GB"/>
        </w:rPr>
        <w:t>.</w:t>
      </w:r>
      <w:r w:rsidR="00FE1D26" w:rsidRPr="00355781">
        <w:rPr>
          <w:szCs w:val="20"/>
          <w:lang w:val="en-GB"/>
        </w:rPr>
        <w:t>5</w:t>
      </w:r>
      <w:r w:rsidR="00F90771" w:rsidRPr="00355781">
        <w:rPr>
          <w:szCs w:val="20"/>
          <w:lang w:val="en-GB"/>
        </w:rPr>
        <w:t xml:space="preserve">%. </w:t>
      </w:r>
      <w:r w:rsidR="00212F3F" w:rsidRPr="00355781">
        <w:rPr>
          <w:rStyle w:val="hps"/>
          <w:szCs w:val="20"/>
          <w:lang w:val="en-GB"/>
        </w:rPr>
        <w:t>P</w:t>
      </w:r>
      <w:r w:rsidR="00212F3F" w:rsidRPr="00355781">
        <w:rPr>
          <w:szCs w:val="20"/>
          <w:lang w:val="en-GB"/>
        </w:rPr>
        <w:t>rice</w:t>
      </w:r>
      <w:r w:rsidR="00963F4A" w:rsidRPr="00355781">
        <w:rPr>
          <w:szCs w:val="20"/>
          <w:lang w:val="en-GB"/>
        </w:rPr>
        <w:t>s in animal products soared</w:t>
      </w:r>
      <w:r w:rsidR="00FE1D26" w:rsidRPr="00355781">
        <w:rPr>
          <w:szCs w:val="20"/>
          <w:lang w:val="en-GB"/>
        </w:rPr>
        <w:t xml:space="preserve"> by 36</w:t>
      </w:r>
      <w:r w:rsidR="00212F3F" w:rsidRPr="00355781">
        <w:rPr>
          <w:szCs w:val="20"/>
          <w:lang w:val="en-GB"/>
        </w:rPr>
        <w:t>.</w:t>
      </w:r>
      <w:r w:rsidR="00FE1D26" w:rsidRPr="00355781">
        <w:rPr>
          <w:szCs w:val="20"/>
          <w:lang w:val="en-GB"/>
        </w:rPr>
        <w:t>7</w:t>
      </w:r>
      <w:r w:rsidR="00212F3F" w:rsidRPr="00355781">
        <w:rPr>
          <w:szCs w:val="20"/>
          <w:lang w:val="en-GB"/>
        </w:rPr>
        <w:t>%. On the increase were prices of</w:t>
      </w:r>
      <w:r w:rsidR="00AD6358" w:rsidRPr="00355781">
        <w:rPr>
          <w:szCs w:val="20"/>
          <w:lang w:val="en-GB"/>
        </w:rPr>
        <w:t xml:space="preserve"> </w:t>
      </w:r>
      <w:r w:rsidR="000D3C10" w:rsidRPr="00355781">
        <w:rPr>
          <w:szCs w:val="20"/>
          <w:lang w:val="en-GB"/>
        </w:rPr>
        <w:t>eggs (+58</w:t>
      </w:r>
      <w:r w:rsidR="007D1704" w:rsidRPr="00355781">
        <w:rPr>
          <w:szCs w:val="20"/>
          <w:lang w:val="en-GB"/>
        </w:rPr>
        <w:t>.</w:t>
      </w:r>
      <w:r w:rsidR="000D3C10" w:rsidRPr="00355781">
        <w:rPr>
          <w:szCs w:val="20"/>
          <w:lang w:val="en-GB"/>
        </w:rPr>
        <w:t>4</w:t>
      </w:r>
      <w:r w:rsidR="007D1704" w:rsidRPr="00355781">
        <w:rPr>
          <w:szCs w:val="20"/>
          <w:lang w:val="en-GB"/>
        </w:rPr>
        <w:t xml:space="preserve">%), </w:t>
      </w:r>
      <w:r w:rsidR="000D3C10" w:rsidRPr="00355781">
        <w:rPr>
          <w:szCs w:val="20"/>
          <w:lang w:val="en-GB"/>
        </w:rPr>
        <w:t>pigs for slaughter (+49</w:t>
      </w:r>
      <w:r w:rsidR="00FE1D26" w:rsidRPr="00355781">
        <w:rPr>
          <w:szCs w:val="20"/>
          <w:lang w:val="en-GB"/>
        </w:rPr>
        <w:t>.</w:t>
      </w:r>
      <w:r w:rsidR="000D3C10" w:rsidRPr="00355781">
        <w:rPr>
          <w:szCs w:val="20"/>
          <w:lang w:val="en-GB"/>
        </w:rPr>
        <w:t>7</w:t>
      </w:r>
      <w:r w:rsidR="00FE1D26" w:rsidRPr="00355781">
        <w:rPr>
          <w:szCs w:val="20"/>
          <w:lang w:val="en-GB"/>
        </w:rPr>
        <w:t xml:space="preserve">%), </w:t>
      </w:r>
      <w:r w:rsidR="00212F3F" w:rsidRPr="00355781">
        <w:rPr>
          <w:szCs w:val="20"/>
          <w:lang w:val="en-GB"/>
        </w:rPr>
        <w:t>milk (+</w:t>
      </w:r>
      <w:r w:rsidR="00371AA0" w:rsidRPr="00355781">
        <w:rPr>
          <w:szCs w:val="20"/>
          <w:lang w:val="en-GB"/>
        </w:rPr>
        <w:t>3</w:t>
      </w:r>
      <w:r w:rsidR="000D3C10" w:rsidRPr="00355781">
        <w:rPr>
          <w:szCs w:val="20"/>
          <w:lang w:val="en-GB"/>
        </w:rPr>
        <w:t>5</w:t>
      </w:r>
      <w:r w:rsidR="00212F3F" w:rsidRPr="00355781">
        <w:rPr>
          <w:szCs w:val="20"/>
          <w:lang w:val="en-GB"/>
        </w:rPr>
        <w:t>.</w:t>
      </w:r>
      <w:r w:rsidR="000D3C10" w:rsidRPr="00355781">
        <w:rPr>
          <w:szCs w:val="20"/>
          <w:lang w:val="en-GB"/>
        </w:rPr>
        <w:t>4</w:t>
      </w:r>
      <w:r w:rsidR="00212F3F" w:rsidRPr="00355781">
        <w:rPr>
          <w:szCs w:val="20"/>
          <w:lang w:val="en-GB"/>
        </w:rPr>
        <w:t>%)</w:t>
      </w:r>
      <w:r w:rsidR="00371AA0" w:rsidRPr="00355781">
        <w:rPr>
          <w:szCs w:val="20"/>
          <w:lang w:val="en-GB"/>
        </w:rPr>
        <w:t xml:space="preserve">, </w:t>
      </w:r>
      <w:r w:rsidR="00355781" w:rsidRPr="00355781">
        <w:rPr>
          <w:szCs w:val="20"/>
          <w:lang w:val="en-GB"/>
        </w:rPr>
        <w:t>poultry (+34</w:t>
      </w:r>
      <w:r w:rsidR="0054226D" w:rsidRPr="00355781">
        <w:rPr>
          <w:szCs w:val="20"/>
          <w:lang w:val="en-GB"/>
        </w:rPr>
        <w:t>.</w:t>
      </w:r>
      <w:r w:rsidR="00355781" w:rsidRPr="00355781">
        <w:rPr>
          <w:szCs w:val="20"/>
          <w:lang w:val="en-GB"/>
        </w:rPr>
        <w:t>9</w:t>
      </w:r>
      <w:r w:rsidR="0054226D" w:rsidRPr="00355781">
        <w:rPr>
          <w:szCs w:val="20"/>
          <w:lang w:val="en-GB"/>
        </w:rPr>
        <w:t xml:space="preserve">%) and </w:t>
      </w:r>
      <w:r w:rsidR="00371AA0" w:rsidRPr="00355781">
        <w:rPr>
          <w:szCs w:val="20"/>
          <w:lang w:val="en-GB"/>
        </w:rPr>
        <w:t>cattle for slaughter (+</w:t>
      </w:r>
      <w:r w:rsidR="00355781" w:rsidRPr="00355781">
        <w:rPr>
          <w:szCs w:val="20"/>
          <w:lang w:val="en-GB"/>
        </w:rPr>
        <w:t>21</w:t>
      </w:r>
      <w:r w:rsidR="00371AA0" w:rsidRPr="00355781">
        <w:rPr>
          <w:szCs w:val="20"/>
          <w:lang w:val="en-GB"/>
        </w:rPr>
        <w:t>.</w:t>
      </w:r>
      <w:r w:rsidR="00355781" w:rsidRPr="00355781">
        <w:rPr>
          <w:szCs w:val="20"/>
          <w:lang w:val="en-GB"/>
        </w:rPr>
        <w:t>3</w:t>
      </w:r>
      <w:r w:rsidR="0054226D" w:rsidRPr="00355781">
        <w:rPr>
          <w:szCs w:val="20"/>
          <w:lang w:val="en-GB"/>
        </w:rPr>
        <w:t>%).</w:t>
      </w:r>
    </w:p>
    <w:p w:rsidR="00252778" w:rsidRDefault="00252778" w:rsidP="00252778">
      <w:pPr>
        <w:rPr>
          <w:color w:val="FF0000"/>
          <w:szCs w:val="20"/>
          <w:lang w:val="en-GB"/>
        </w:rPr>
      </w:pPr>
    </w:p>
    <w:p w:rsidR="00E238ED" w:rsidRPr="002148A8" w:rsidRDefault="00E238ED" w:rsidP="00E238ED">
      <w:pPr>
        <w:rPr>
          <w:szCs w:val="20"/>
          <w:lang w:val="en-GB"/>
        </w:rPr>
      </w:pPr>
      <w:r w:rsidRPr="002148A8">
        <w:rPr>
          <w:szCs w:val="20"/>
          <w:lang w:val="en-GB"/>
        </w:rPr>
        <w:t xml:space="preserve">Prices of </w:t>
      </w:r>
      <w:r w:rsidRPr="002148A8">
        <w:rPr>
          <w:b/>
          <w:szCs w:val="20"/>
          <w:lang w:val="en-GB"/>
        </w:rPr>
        <w:t xml:space="preserve">industrial producers </w:t>
      </w:r>
      <w:r w:rsidRPr="002148A8">
        <w:rPr>
          <w:szCs w:val="20"/>
          <w:lang w:val="en-GB"/>
        </w:rPr>
        <w:t xml:space="preserve">decreased by 1.0% </w:t>
      </w:r>
      <w:r w:rsidRPr="002148A8">
        <w:rPr>
          <w:b/>
          <w:szCs w:val="20"/>
          <w:lang w:val="en-GB"/>
        </w:rPr>
        <w:t xml:space="preserve">m-o-m. </w:t>
      </w:r>
      <w:r w:rsidRPr="002148A8">
        <w:rPr>
          <w:szCs w:val="20"/>
          <w:lang w:val="en-GB"/>
        </w:rPr>
        <w:t xml:space="preserve">Prices went down particularly in ‘coke, refined petroleum products’. Prices fell in ‘chemicals and chemical products’ (-2.7%) and ‘basic metals, fabricated metal products’ (-1.8%). Prices went up in ‘food products, beverages, tobacco’ (+1.1%), thereof ‘other food products’ (+3.5%).  On the increase were also prices in ‘transport equipment’ (+0.8%). Prices of </w:t>
      </w:r>
      <w:r w:rsidRPr="002148A8">
        <w:rPr>
          <w:b/>
          <w:szCs w:val="20"/>
          <w:lang w:val="en-GB"/>
        </w:rPr>
        <w:t>industrial producers</w:t>
      </w:r>
      <w:r w:rsidRPr="002148A8">
        <w:rPr>
          <w:szCs w:val="20"/>
          <w:lang w:val="en-GB"/>
        </w:rPr>
        <w:t xml:space="preserve"> increased by 21.3% (in October they grew by 24.1%), </w:t>
      </w:r>
      <w:r w:rsidRPr="002148A8">
        <w:rPr>
          <w:b/>
          <w:szCs w:val="20"/>
          <w:lang w:val="en-GB"/>
        </w:rPr>
        <w:t>y-o-y</w:t>
      </w:r>
      <w:r w:rsidRPr="002148A8">
        <w:rPr>
          <w:szCs w:val="20"/>
          <w:lang w:val="en-GB"/>
        </w:rPr>
        <w:t>. Prices rose in ‘electricity, gas, steam and air conditioning’ (+52.6%) and in ‘coke, refined, petroleum products’, too. Higher were prices in ‘rubber and plastic products, other non-metallic mineral products’ (+19.9%). Prices grew in ‘food products, beverages, tobacco’ (+25.8%), thereof ‘grain mill products, starches and starch products’ (+52.8%).</w:t>
      </w:r>
    </w:p>
    <w:p w:rsidR="00E238ED" w:rsidRPr="002148A8" w:rsidRDefault="00E238ED" w:rsidP="00E238ED">
      <w:pPr>
        <w:rPr>
          <w:szCs w:val="20"/>
          <w:lang w:val="en-GB"/>
        </w:rPr>
      </w:pPr>
      <w:r w:rsidRPr="002148A8">
        <w:rPr>
          <w:szCs w:val="20"/>
          <w:lang w:val="en-GB"/>
        </w:rPr>
        <w:t xml:space="preserve">Among </w:t>
      </w:r>
      <w:r w:rsidRPr="002148A8">
        <w:rPr>
          <w:b/>
          <w:szCs w:val="20"/>
          <w:lang w:val="en-GB"/>
        </w:rPr>
        <w:t>the</w:t>
      </w:r>
      <w:r w:rsidRPr="002148A8">
        <w:rPr>
          <w:szCs w:val="20"/>
          <w:lang w:val="en-GB"/>
        </w:rPr>
        <w:t xml:space="preserve"> </w:t>
      </w:r>
      <w:r w:rsidRPr="002148A8">
        <w:rPr>
          <w:b/>
          <w:szCs w:val="20"/>
          <w:lang w:val="en-GB"/>
        </w:rPr>
        <w:t>main industrial groupings</w:t>
      </w:r>
      <w:r w:rsidRPr="002148A8">
        <w:rPr>
          <w:szCs w:val="20"/>
          <w:lang w:val="en-GB"/>
        </w:rPr>
        <w:t xml:space="preserve">, higher were primarily prices of ‘energy’ (+41.5%) and ‘non-durable consumer goods’ (+23.1%), </w:t>
      </w:r>
      <w:r w:rsidRPr="002148A8">
        <w:rPr>
          <w:b/>
          <w:szCs w:val="20"/>
          <w:lang w:val="en-GB"/>
        </w:rPr>
        <w:t>y-o-y</w:t>
      </w:r>
      <w:r w:rsidRPr="002148A8">
        <w:rPr>
          <w:szCs w:val="20"/>
          <w:lang w:val="en-GB"/>
        </w:rPr>
        <w:t>.</w:t>
      </w:r>
      <w:r w:rsidRPr="002148A8">
        <w:rPr>
          <w:b/>
          <w:szCs w:val="20"/>
          <w:lang w:val="en-GB"/>
        </w:rPr>
        <w:t xml:space="preserve"> </w:t>
      </w:r>
      <w:r w:rsidRPr="002148A8">
        <w:rPr>
          <w:szCs w:val="20"/>
          <w:lang w:val="en-GB"/>
        </w:rPr>
        <w:t xml:space="preserve">Prices of </w:t>
      </w:r>
      <w:r w:rsidRPr="002148A8">
        <w:rPr>
          <w:b/>
          <w:szCs w:val="20"/>
          <w:lang w:val="en-GB"/>
        </w:rPr>
        <w:t>industrial producers excluding energy</w:t>
      </w:r>
      <w:r w:rsidRPr="002148A8">
        <w:rPr>
          <w:szCs w:val="20"/>
          <w:lang w:val="en-GB"/>
        </w:rPr>
        <w:t xml:space="preserve"> rose by 14.6% (in </w:t>
      </w:r>
      <w:r w:rsidR="00EB0D2F">
        <w:rPr>
          <w:szCs w:val="20"/>
          <w:lang w:val="en-GB"/>
        </w:rPr>
        <w:t>October</w:t>
      </w:r>
      <w:r w:rsidRPr="002148A8">
        <w:rPr>
          <w:szCs w:val="20"/>
          <w:lang w:val="en-GB"/>
        </w:rPr>
        <w:t xml:space="preserve"> they soared by 15.7%).</w:t>
      </w:r>
    </w:p>
    <w:p w:rsidR="007162E3" w:rsidRPr="00E343E5" w:rsidRDefault="007162E3" w:rsidP="00252778">
      <w:pPr>
        <w:rPr>
          <w:szCs w:val="20"/>
          <w:lang w:val="en-GB"/>
        </w:rPr>
      </w:pPr>
    </w:p>
    <w:p w:rsidR="007459DA" w:rsidRPr="00A42F69" w:rsidRDefault="00065E35" w:rsidP="007459DA">
      <w:pPr>
        <w:rPr>
          <w:rFonts w:cs="Arial"/>
          <w:color w:val="FF0000"/>
          <w:szCs w:val="20"/>
          <w:lang w:val="en-GB"/>
        </w:rPr>
      </w:pPr>
      <w:r w:rsidRPr="00E343E5">
        <w:rPr>
          <w:bCs/>
          <w:szCs w:val="20"/>
          <w:lang w:val="en-GB"/>
        </w:rPr>
        <w:t>According to an estimate,</w:t>
      </w:r>
      <w:r w:rsidRPr="00E343E5">
        <w:rPr>
          <w:b/>
          <w:bCs/>
          <w:szCs w:val="20"/>
          <w:lang w:val="en-GB"/>
        </w:rPr>
        <w:t xml:space="preserve"> construction work</w:t>
      </w:r>
      <w:r w:rsidRPr="00E343E5">
        <w:rPr>
          <w:b/>
          <w:szCs w:val="20"/>
          <w:lang w:val="en-GB"/>
        </w:rPr>
        <w:t xml:space="preserve"> </w:t>
      </w:r>
      <w:r w:rsidR="000D349D" w:rsidRPr="00E343E5">
        <w:rPr>
          <w:szCs w:val="20"/>
          <w:lang w:val="en-GB"/>
        </w:rPr>
        <w:t xml:space="preserve">prices </w:t>
      </w:r>
      <w:r w:rsidR="004E24DD" w:rsidRPr="00E343E5">
        <w:rPr>
          <w:szCs w:val="20"/>
          <w:lang w:val="en-GB"/>
        </w:rPr>
        <w:t xml:space="preserve">rose by </w:t>
      </w:r>
      <w:r w:rsidR="007C1596" w:rsidRPr="00E343E5">
        <w:rPr>
          <w:szCs w:val="20"/>
          <w:lang w:val="en-GB"/>
        </w:rPr>
        <w:t>0</w:t>
      </w:r>
      <w:r w:rsidR="00532B0E" w:rsidRPr="00E343E5">
        <w:rPr>
          <w:szCs w:val="20"/>
          <w:lang w:val="en-GB"/>
        </w:rPr>
        <w:t>.</w:t>
      </w:r>
      <w:r w:rsidR="00C146AC" w:rsidRPr="00E343E5">
        <w:rPr>
          <w:szCs w:val="20"/>
          <w:lang w:val="en-GB"/>
        </w:rPr>
        <w:t>3</w:t>
      </w:r>
      <w:r w:rsidR="00532B0E" w:rsidRPr="00E343E5">
        <w:rPr>
          <w:szCs w:val="20"/>
          <w:lang w:val="en-GB"/>
        </w:rPr>
        <w:t xml:space="preserve">% </w:t>
      </w:r>
      <w:r w:rsidRPr="00E343E5">
        <w:rPr>
          <w:szCs w:val="20"/>
          <w:lang w:val="en-GB"/>
        </w:rPr>
        <w:t>and prices of construction materi</w:t>
      </w:r>
      <w:r w:rsidR="004F4C8B" w:rsidRPr="00E343E5">
        <w:rPr>
          <w:szCs w:val="20"/>
          <w:lang w:val="en-GB"/>
        </w:rPr>
        <w:t>al and</w:t>
      </w:r>
      <w:r w:rsidR="00B340E0" w:rsidRPr="00E343E5">
        <w:rPr>
          <w:szCs w:val="20"/>
          <w:lang w:val="en-GB"/>
        </w:rPr>
        <w:t xml:space="preserve"> products input went </w:t>
      </w:r>
      <w:r w:rsidR="00E343E5" w:rsidRPr="0020367F">
        <w:rPr>
          <w:szCs w:val="20"/>
          <w:lang w:val="en-GB"/>
        </w:rPr>
        <w:t xml:space="preserve">down </w:t>
      </w:r>
      <w:r w:rsidR="00D0559D" w:rsidRPr="0020367F">
        <w:rPr>
          <w:szCs w:val="20"/>
          <w:lang w:val="en-GB"/>
        </w:rPr>
        <w:t xml:space="preserve">by </w:t>
      </w:r>
      <w:r w:rsidR="00B8722F" w:rsidRPr="0020367F">
        <w:rPr>
          <w:szCs w:val="20"/>
          <w:lang w:val="en-GB"/>
        </w:rPr>
        <w:t>0</w:t>
      </w:r>
      <w:r w:rsidR="004F4C8B" w:rsidRPr="0020367F">
        <w:rPr>
          <w:szCs w:val="20"/>
          <w:lang w:val="en-GB"/>
        </w:rPr>
        <w:t>.</w:t>
      </w:r>
      <w:r w:rsidR="00E343E5" w:rsidRPr="0020367F">
        <w:rPr>
          <w:szCs w:val="20"/>
          <w:lang w:val="en-GB"/>
        </w:rPr>
        <w:t>3</w:t>
      </w:r>
      <w:r w:rsidRPr="0020367F">
        <w:rPr>
          <w:szCs w:val="20"/>
          <w:lang w:val="en-GB"/>
        </w:rPr>
        <w:t>%</w:t>
      </w:r>
      <w:r w:rsidR="00E13867" w:rsidRPr="0020367F">
        <w:rPr>
          <w:szCs w:val="20"/>
          <w:lang w:val="en-GB"/>
        </w:rPr>
        <w:t xml:space="preserve"> </w:t>
      </w:r>
      <w:r w:rsidR="00E13867" w:rsidRPr="0020367F">
        <w:rPr>
          <w:b/>
          <w:szCs w:val="20"/>
          <w:lang w:val="en-GB"/>
        </w:rPr>
        <w:t>m</w:t>
      </w:r>
      <w:r w:rsidR="00E13867" w:rsidRPr="00D410B4">
        <w:rPr>
          <w:b/>
          <w:szCs w:val="20"/>
          <w:lang w:val="en-GB"/>
        </w:rPr>
        <w:t>-o-m</w:t>
      </w:r>
      <w:r w:rsidRPr="00D410B4">
        <w:rPr>
          <w:szCs w:val="20"/>
          <w:lang w:val="en-GB"/>
        </w:rPr>
        <w:t>.</w:t>
      </w:r>
      <w:r w:rsidR="007459DA" w:rsidRPr="00D410B4">
        <w:rPr>
          <w:szCs w:val="20"/>
          <w:lang w:val="en-GB"/>
        </w:rPr>
        <w:t xml:space="preserve"> </w:t>
      </w:r>
      <w:r w:rsidR="007459DA" w:rsidRPr="00D410B4">
        <w:rPr>
          <w:bCs/>
          <w:szCs w:val="20"/>
          <w:lang w:val="en-GB"/>
        </w:rPr>
        <w:t>According to an estimate,</w:t>
      </w:r>
      <w:r w:rsidR="007459DA" w:rsidRPr="00D410B4">
        <w:rPr>
          <w:b/>
          <w:bCs/>
          <w:szCs w:val="20"/>
          <w:lang w:val="en-GB"/>
        </w:rPr>
        <w:t xml:space="preserve"> </w:t>
      </w:r>
      <w:r w:rsidR="004434E9" w:rsidRPr="00D410B4">
        <w:rPr>
          <w:b/>
          <w:bCs/>
          <w:szCs w:val="20"/>
          <w:lang w:val="en-GB"/>
        </w:rPr>
        <w:t xml:space="preserve">y-o-y </w:t>
      </w:r>
      <w:r w:rsidR="007459DA" w:rsidRPr="00D410B4">
        <w:rPr>
          <w:b/>
          <w:bCs/>
          <w:szCs w:val="20"/>
          <w:lang w:val="en-GB"/>
        </w:rPr>
        <w:lastRenderedPageBreak/>
        <w:t>construction work</w:t>
      </w:r>
      <w:r w:rsidR="007459DA" w:rsidRPr="00D410B4">
        <w:rPr>
          <w:b/>
          <w:szCs w:val="20"/>
          <w:lang w:val="en-GB"/>
        </w:rPr>
        <w:t xml:space="preserve"> </w:t>
      </w:r>
      <w:r w:rsidR="007459DA" w:rsidRPr="00D410B4">
        <w:rPr>
          <w:szCs w:val="20"/>
          <w:lang w:val="en-GB"/>
        </w:rPr>
        <w:t xml:space="preserve">prices </w:t>
      </w:r>
      <w:r w:rsidR="00FD3C51" w:rsidRPr="00D410B4">
        <w:rPr>
          <w:rStyle w:val="hps"/>
          <w:szCs w:val="20"/>
          <w:lang w:val="en-GB"/>
        </w:rPr>
        <w:t>soared</w:t>
      </w:r>
      <w:r w:rsidR="007459DA" w:rsidRPr="00D410B4">
        <w:rPr>
          <w:rStyle w:val="hps"/>
          <w:szCs w:val="20"/>
          <w:lang w:val="en-GB"/>
        </w:rPr>
        <w:t xml:space="preserve"> </w:t>
      </w:r>
      <w:r w:rsidR="00EF0489" w:rsidRPr="00D410B4">
        <w:rPr>
          <w:rFonts w:cs="Arial"/>
          <w:bCs/>
          <w:szCs w:val="20"/>
          <w:lang w:val="en-GB"/>
        </w:rPr>
        <w:t>by 1</w:t>
      </w:r>
      <w:r w:rsidR="0020367F" w:rsidRPr="00D410B4">
        <w:rPr>
          <w:rFonts w:cs="Arial"/>
          <w:bCs/>
          <w:szCs w:val="20"/>
          <w:lang w:val="en-GB"/>
        </w:rPr>
        <w:t>1</w:t>
      </w:r>
      <w:r w:rsidR="001E6D3E" w:rsidRPr="00D410B4">
        <w:rPr>
          <w:rFonts w:cs="Arial"/>
          <w:bCs/>
          <w:szCs w:val="20"/>
          <w:lang w:val="en-GB"/>
        </w:rPr>
        <w:t>.</w:t>
      </w:r>
      <w:r w:rsidR="0020367F" w:rsidRPr="00D410B4">
        <w:rPr>
          <w:rFonts w:cs="Arial"/>
          <w:bCs/>
          <w:szCs w:val="20"/>
          <w:lang w:val="en-GB"/>
        </w:rPr>
        <w:t>9</w:t>
      </w:r>
      <w:r w:rsidR="007459DA" w:rsidRPr="00D410B4">
        <w:rPr>
          <w:rFonts w:cs="Arial"/>
          <w:bCs/>
          <w:szCs w:val="20"/>
          <w:lang w:val="en-GB"/>
        </w:rPr>
        <w:t>% (</w:t>
      </w:r>
      <w:r w:rsidR="006342ED" w:rsidRPr="00D410B4">
        <w:rPr>
          <w:bCs/>
          <w:szCs w:val="20"/>
          <w:lang w:val="en-GB"/>
        </w:rPr>
        <w:t xml:space="preserve">in </w:t>
      </w:r>
      <w:r w:rsidR="00D410B4" w:rsidRPr="00342BFF">
        <w:rPr>
          <w:bCs/>
          <w:szCs w:val="20"/>
          <w:lang w:val="en-GB"/>
        </w:rPr>
        <w:t>October</w:t>
      </w:r>
      <w:r w:rsidR="006342ED" w:rsidRPr="00342BFF">
        <w:rPr>
          <w:bCs/>
          <w:szCs w:val="20"/>
          <w:lang w:val="en-GB"/>
        </w:rPr>
        <w:t xml:space="preserve"> </w:t>
      </w:r>
      <w:r w:rsidR="007459DA" w:rsidRPr="00342BFF">
        <w:rPr>
          <w:rFonts w:cs="Arial"/>
          <w:bCs/>
          <w:szCs w:val="20"/>
          <w:lang w:val="en-GB"/>
        </w:rPr>
        <w:t xml:space="preserve">they </w:t>
      </w:r>
      <w:r w:rsidR="00556390" w:rsidRPr="00342BFF">
        <w:rPr>
          <w:rFonts w:cs="Arial"/>
          <w:bCs/>
          <w:szCs w:val="20"/>
          <w:lang w:val="en-GB"/>
        </w:rPr>
        <w:t xml:space="preserve">increased </w:t>
      </w:r>
      <w:r w:rsidR="007459DA" w:rsidRPr="00342BFF">
        <w:rPr>
          <w:rFonts w:cs="Arial"/>
          <w:bCs/>
          <w:szCs w:val="20"/>
          <w:lang w:val="en-GB"/>
        </w:rPr>
        <w:t xml:space="preserve">by </w:t>
      </w:r>
      <w:r w:rsidR="007F6D21" w:rsidRPr="00342BFF">
        <w:rPr>
          <w:rFonts w:cs="Arial"/>
          <w:bCs/>
          <w:szCs w:val="20"/>
          <w:lang w:val="en-GB"/>
        </w:rPr>
        <w:t>1</w:t>
      </w:r>
      <w:r w:rsidR="00CE7773" w:rsidRPr="00342BFF">
        <w:rPr>
          <w:rFonts w:cs="Arial"/>
          <w:bCs/>
          <w:szCs w:val="20"/>
          <w:lang w:val="en-GB"/>
        </w:rPr>
        <w:t>2</w:t>
      </w:r>
      <w:r w:rsidR="007459DA" w:rsidRPr="00342BFF">
        <w:rPr>
          <w:rFonts w:cs="Arial"/>
          <w:bCs/>
          <w:szCs w:val="20"/>
          <w:lang w:val="en-GB"/>
        </w:rPr>
        <w:t>.</w:t>
      </w:r>
      <w:r w:rsidR="00D410B4" w:rsidRPr="00342BFF">
        <w:rPr>
          <w:rFonts w:cs="Arial"/>
          <w:bCs/>
          <w:szCs w:val="20"/>
          <w:lang w:val="en-GB"/>
        </w:rPr>
        <w:t>0</w:t>
      </w:r>
      <w:r w:rsidR="007459DA" w:rsidRPr="00342BFF">
        <w:rPr>
          <w:rFonts w:cs="Arial"/>
          <w:bCs/>
          <w:szCs w:val="20"/>
          <w:lang w:val="en-GB"/>
        </w:rPr>
        <w:t>%)</w:t>
      </w:r>
      <w:r w:rsidR="00420A2C" w:rsidRPr="00342BFF">
        <w:rPr>
          <w:rFonts w:cs="Arial"/>
          <w:bCs/>
          <w:szCs w:val="20"/>
          <w:lang w:val="en-GB"/>
        </w:rPr>
        <w:t xml:space="preserve"> </w:t>
      </w:r>
      <w:r w:rsidR="007459DA" w:rsidRPr="00342BFF">
        <w:rPr>
          <w:rFonts w:cs="Arial"/>
          <w:bCs/>
          <w:szCs w:val="20"/>
          <w:lang w:val="en-GB"/>
        </w:rPr>
        <w:t>and</w:t>
      </w:r>
      <w:r w:rsidR="001564BA" w:rsidRPr="00342BFF">
        <w:rPr>
          <w:rFonts w:cs="Arial"/>
          <w:bCs/>
          <w:szCs w:val="20"/>
          <w:lang w:val="en-GB"/>
        </w:rPr>
        <w:t xml:space="preserve"> </w:t>
      </w:r>
      <w:r w:rsidR="007459DA" w:rsidRPr="00342BFF">
        <w:rPr>
          <w:szCs w:val="20"/>
          <w:lang w:val="en-GB"/>
        </w:rPr>
        <w:t>prices</w:t>
      </w:r>
      <w:r w:rsidR="007459DA" w:rsidRPr="00342BFF">
        <w:rPr>
          <w:rFonts w:cs="Arial"/>
          <w:szCs w:val="20"/>
          <w:lang w:val="en-GB"/>
        </w:rPr>
        <w:t xml:space="preserve"> for </w:t>
      </w:r>
      <w:r w:rsidR="007459DA" w:rsidRPr="00342BFF">
        <w:rPr>
          <w:rFonts w:cs="Arial"/>
          <w:bCs/>
          <w:szCs w:val="20"/>
          <w:lang w:val="en-GB"/>
        </w:rPr>
        <w:t>c</w:t>
      </w:r>
      <w:r w:rsidR="007459DA" w:rsidRPr="00342BFF">
        <w:rPr>
          <w:szCs w:val="20"/>
          <w:lang w:val="en-GB"/>
        </w:rPr>
        <w:t xml:space="preserve">onstruction material and products input </w:t>
      </w:r>
      <w:r w:rsidR="00CE7773" w:rsidRPr="00342BFF">
        <w:rPr>
          <w:rFonts w:cs="Arial"/>
          <w:szCs w:val="20"/>
          <w:lang w:val="en-GB"/>
        </w:rPr>
        <w:t>grew by 1</w:t>
      </w:r>
      <w:r w:rsidR="00342BFF" w:rsidRPr="00342BFF">
        <w:rPr>
          <w:rFonts w:cs="Arial"/>
          <w:szCs w:val="20"/>
          <w:lang w:val="en-GB"/>
        </w:rPr>
        <w:t>6</w:t>
      </w:r>
      <w:r w:rsidR="007459DA" w:rsidRPr="00342BFF">
        <w:rPr>
          <w:rFonts w:cs="Arial"/>
          <w:szCs w:val="20"/>
          <w:lang w:val="en-GB"/>
        </w:rPr>
        <w:t>.</w:t>
      </w:r>
      <w:r w:rsidR="00342BFF" w:rsidRPr="00342BFF">
        <w:rPr>
          <w:rFonts w:cs="Arial"/>
          <w:szCs w:val="20"/>
          <w:lang w:val="en-GB"/>
        </w:rPr>
        <w:t>9</w:t>
      </w:r>
      <w:r w:rsidR="007459DA" w:rsidRPr="00342BFF">
        <w:rPr>
          <w:rFonts w:cs="Arial"/>
          <w:szCs w:val="20"/>
          <w:lang w:val="en-GB"/>
        </w:rPr>
        <w:t xml:space="preserve">% </w:t>
      </w:r>
      <w:r w:rsidR="007459DA" w:rsidRPr="00342BFF">
        <w:rPr>
          <w:rFonts w:cs="Arial"/>
          <w:bCs/>
          <w:szCs w:val="20"/>
          <w:lang w:val="en-GB"/>
        </w:rPr>
        <w:t>(</w:t>
      </w:r>
      <w:r w:rsidR="007459DA" w:rsidRPr="00342BFF">
        <w:rPr>
          <w:bCs/>
          <w:szCs w:val="20"/>
          <w:lang w:val="en-GB"/>
        </w:rPr>
        <w:t xml:space="preserve">in </w:t>
      </w:r>
      <w:r w:rsidR="00342BFF" w:rsidRPr="00342BFF">
        <w:rPr>
          <w:bCs/>
          <w:szCs w:val="20"/>
          <w:lang w:val="en-GB"/>
        </w:rPr>
        <w:t xml:space="preserve">October </w:t>
      </w:r>
      <w:r w:rsidR="0098653B" w:rsidRPr="00342BFF">
        <w:rPr>
          <w:bCs/>
          <w:szCs w:val="20"/>
          <w:lang w:val="en-GB"/>
        </w:rPr>
        <w:t xml:space="preserve">they </w:t>
      </w:r>
      <w:r w:rsidR="00202F61" w:rsidRPr="00342BFF">
        <w:rPr>
          <w:bCs/>
          <w:szCs w:val="20"/>
          <w:lang w:val="en-GB"/>
        </w:rPr>
        <w:t xml:space="preserve">were higher </w:t>
      </w:r>
      <w:r w:rsidR="00CE7773" w:rsidRPr="00342BFF">
        <w:rPr>
          <w:bCs/>
          <w:szCs w:val="20"/>
          <w:lang w:val="en-GB"/>
        </w:rPr>
        <w:t>by 1</w:t>
      </w:r>
      <w:r w:rsidR="00342BFF" w:rsidRPr="00342BFF">
        <w:rPr>
          <w:bCs/>
          <w:szCs w:val="20"/>
          <w:lang w:val="en-GB"/>
        </w:rPr>
        <w:t>7</w:t>
      </w:r>
      <w:r w:rsidR="007459DA" w:rsidRPr="00342BFF">
        <w:rPr>
          <w:bCs/>
          <w:szCs w:val="20"/>
          <w:lang w:val="en-GB"/>
        </w:rPr>
        <w:t>.</w:t>
      </w:r>
      <w:r w:rsidR="00342BFF" w:rsidRPr="00342BFF">
        <w:rPr>
          <w:bCs/>
          <w:szCs w:val="20"/>
          <w:lang w:val="en-GB"/>
        </w:rPr>
        <w:t>6</w:t>
      </w:r>
      <w:r w:rsidR="007459DA" w:rsidRPr="00342BFF">
        <w:rPr>
          <w:bCs/>
          <w:szCs w:val="20"/>
          <w:lang w:val="en-GB"/>
        </w:rPr>
        <w:t>%)</w:t>
      </w:r>
      <w:r w:rsidR="007459DA" w:rsidRPr="00342BFF">
        <w:rPr>
          <w:rFonts w:cs="Arial"/>
          <w:szCs w:val="20"/>
          <w:lang w:val="en-GB"/>
        </w:rPr>
        <w:t xml:space="preserve">. </w:t>
      </w:r>
    </w:p>
    <w:p w:rsidR="00065E35" w:rsidRPr="00A42F69" w:rsidRDefault="00065E35" w:rsidP="00065E35">
      <w:pPr>
        <w:rPr>
          <w:b/>
          <w:color w:val="FF0000"/>
          <w:szCs w:val="20"/>
          <w:lang w:val="en-GB"/>
        </w:rPr>
      </w:pPr>
    </w:p>
    <w:p w:rsidR="004F5555" w:rsidRDefault="001F40B6" w:rsidP="00F645C3">
      <w:pPr>
        <w:rPr>
          <w:szCs w:val="20"/>
          <w:lang w:val="en-GB"/>
        </w:rPr>
      </w:pPr>
      <w:r w:rsidRPr="007D59BE">
        <w:rPr>
          <w:rFonts w:cs="Arial"/>
          <w:b/>
          <w:bCs/>
          <w:iCs/>
          <w:szCs w:val="20"/>
          <w:lang w:val="en-GB"/>
        </w:rPr>
        <w:t xml:space="preserve">Service producer prices in </w:t>
      </w:r>
      <w:r w:rsidRPr="00C17920">
        <w:rPr>
          <w:rFonts w:cs="Arial"/>
          <w:b/>
          <w:bCs/>
          <w:iCs/>
          <w:szCs w:val="20"/>
          <w:lang w:val="en-GB"/>
        </w:rPr>
        <w:t>the business sphere</w:t>
      </w:r>
      <w:r w:rsidRPr="00C17920">
        <w:rPr>
          <w:szCs w:val="20"/>
          <w:lang w:val="en-GB"/>
        </w:rPr>
        <w:t xml:space="preserve"> </w:t>
      </w:r>
      <w:r w:rsidR="00E1717D" w:rsidRPr="00C17920">
        <w:rPr>
          <w:szCs w:val="20"/>
          <w:lang w:val="en-GB"/>
        </w:rPr>
        <w:t>rose</w:t>
      </w:r>
      <w:r w:rsidR="00DA1ECF" w:rsidRPr="00C17920">
        <w:rPr>
          <w:szCs w:val="20"/>
          <w:lang w:val="en-GB"/>
        </w:rPr>
        <w:t xml:space="preserve"> by 0</w:t>
      </w:r>
      <w:r w:rsidR="00235EC8" w:rsidRPr="00C17920">
        <w:rPr>
          <w:szCs w:val="20"/>
          <w:lang w:val="en-GB"/>
        </w:rPr>
        <w:t>.</w:t>
      </w:r>
      <w:r w:rsidR="007D59BE" w:rsidRPr="00C17920">
        <w:rPr>
          <w:szCs w:val="20"/>
          <w:lang w:val="en-GB"/>
        </w:rPr>
        <w:t>2</w:t>
      </w:r>
      <w:r w:rsidR="00235EC8" w:rsidRPr="00C17920">
        <w:rPr>
          <w:szCs w:val="20"/>
          <w:lang w:val="en-GB"/>
        </w:rPr>
        <w:t>%</w:t>
      </w:r>
      <w:r w:rsidR="003D54FF" w:rsidRPr="00C17920">
        <w:rPr>
          <w:szCs w:val="20"/>
          <w:lang w:val="en-GB"/>
        </w:rPr>
        <w:t xml:space="preserve"> </w:t>
      </w:r>
      <w:r w:rsidR="003D54FF" w:rsidRPr="00C17920">
        <w:rPr>
          <w:b/>
          <w:szCs w:val="20"/>
          <w:lang w:val="en-GB"/>
        </w:rPr>
        <w:t>m-o-m</w:t>
      </w:r>
      <w:r w:rsidR="009C696F" w:rsidRPr="00C17920">
        <w:rPr>
          <w:b/>
          <w:szCs w:val="20"/>
          <w:lang w:val="en-GB"/>
        </w:rPr>
        <w:t xml:space="preserve"> </w:t>
      </w:r>
      <w:r w:rsidR="009C696F" w:rsidRPr="00C17920">
        <w:rPr>
          <w:szCs w:val="20"/>
          <w:lang w:val="en-GB"/>
        </w:rPr>
        <w:t>due to price increases in</w:t>
      </w:r>
      <w:r w:rsidR="00C17920" w:rsidRPr="00C17920">
        <w:t xml:space="preserve"> </w:t>
      </w:r>
      <w:r w:rsidR="00C17920" w:rsidRPr="00C17920">
        <w:rPr>
          <w:szCs w:val="20"/>
          <w:lang w:val="en-GB"/>
        </w:rPr>
        <w:t>‘postal and courier services’ (+2.</w:t>
      </w:r>
      <w:r w:rsidR="00C17920" w:rsidRPr="009928E7">
        <w:rPr>
          <w:szCs w:val="20"/>
          <w:lang w:val="en-GB"/>
        </w:rPr>
        <w:t>0%),</w:t>
      </w:r>
      <w:r w:rsidR="00284D45" w:rsidRPr="009928E7">
        <w:rPr>
          <w:szCs w:val="20"/>
          <w:lang w:val="en-GB"/>
        </w:rPr>
        <w:t xml:space="preserve"> ‘advertising and market research services’ (+0.8%),</w:t>
      </w:r>
      <w:r w:rsidR="009928E7" w:rsidRPr="009928E7">
        <w:rPr>
          <w:szCs w:val="20"/>
          <w:lang w:val="en-GB"/>
        </w:rPr>
        <w:t xml:space="preserve"> ‘</w:t>
      </w:r>
      <w:proofErr w:type="spellStart"/>
      <w:r w:rsidR="009928E7" w:rsidRPr="009928E7">
        <w:t>architectural</w:t>
      </w:r>
      <w:proofErr w:type="spellEnd"/>
      <w:r w:rsidR="009928E7" w:rsidRPr="009928E7">
        <w:t xml:space="preserve"> </w:t>
      </w:r>
      <w:r w:rsidR="009928E7" w:rsidRPr="009928E7">
        <w:rPr>
          <w:szCs w:val="20"/>
          <w:lang w:val="en-GB"/>
        </w:rPr>
        <w:t>and engineering services’ (+</w:t>
      </w:r>
      <w:r w:rsidR="00F07502">
        <w:rPr>
          <w:szCs w:val="20"/>
          <w:lang w:val="en-GB"/>
        </w:rPr>
        <w:t>0.6%) and</w:t>
      </w:r>
      <w:r w:rsidR="005963EC" w:rsidRPr="005963EC">
        <w:rPr>
          <w:szCs w:val="20"/>
          <w:lang w:val="en-GB"/>
        </w:rPr>
        <w:t xml:space="preserve"> ‘land transport services’ and ‘computer programming, consultancy </w:t>
      </w:r>
      <w:r w:rsidR="005963EC" w:rsidRPr="00F07502">
        <w:rPr>
          <w:szCs w:val="20"/>
          <w:lang w:val="en-GB"/>
        </w:rPr>
        <w:t>and related services’ (+0.3%</w:t>
      </w:r>
      <w:r w:rsidR="00F07502" w:rsidRPr="00F07502">
        <w:rPr>
          <w:szCs w:val="20"/>
          <w:lang w:val="en-GB"/>
        </w:rPr>
        <w:t xml:space="preserve"> both). </w:t>
      </w:r>
      <w:r w:rsidR="00F07502" w:rsidRPr="00A717D6">
        <w:rPr>
          <w:szCs w:val="20"/>
          <w:lang w:val="en-GB"/>
        </w:rPr>
        <w:t>Decreasing were prices in</w:t>
      </w:r>
      <w:r w:rsidR="009928E7" w:rsidRPr="00A717D6">
        <w:rPr>
          <w:szCs w:val="20"/>
          <w:lang w:val="en-GB"/>
        </w:rPr>
        <w:t xml:space="preserve"> </w:t>
      </w:r>
      <w:r w:rsidR="00F07502" w:rsidRPr="00A717D6">
        <w:rPr>
          <w:szCs w:val="20"/>
          <w:lang w:val="en-GB"/>
        </w:rPr>
        <w:t>‘employment services’ (-</w:t>
      </w:r>
      <w:r w:rsidR="004C6A19" w:rsidRPr="00A717D6">
        <w:rPr>
          <w:szCs w:val="20"/>
          <w:lang w:val="en-GB"/>
        </w:rPr>
        <w:t>1.</w:t>
      </w:r>
      <w:r w:rsidR="00F07502" w:rsidRPr="00A717D6">
        <w:rPr>
          <w:szCs w:val="20"/>
          <w:lang w:val="en-GB"/>
        </w:rPr>
        <w:t>5</w:t>
      </w:r>
      <w:r w:rsidR="00A073AD" w:rsidRPr="00A717D6">
        <w:rPr>
          <w:szCs w:val="20"/>
          <w:lang w:val="en-GB"/>
        </w:rPr>
        <w:t xml:space="preserve">%) </w:t>
      </w:r>
      <w:r w:rsidR="004C6A19" w:rsidRPr="00A717D6">
        <w:rPr>
          <w:szCs w:val="20"/>
          <w:lang w:val="en-GB"/>
        </w:rPr>
        <w:t>and</w:t>
      </w:r>
      <w:r w:rsidR="00A073AD" w:rsidRPr="00A717D6">
        <w:rPr>
          <w:szCs w:val="20"/>
          <w:lang w:val="en-GB"/>
        </w:rPr>
        <w:t xml:space="preserve"> ‘warehousing and support </w:t>
      </w:r>
      <w:r w:rsidR="00A073AD" w:rsidRPr="008C26DF">
        <w:rPr>
          <w:szCs w:val="20"/>
          <w:lang w:val="en-GB"/>
        </w:rPr>
        <w:t>services for transportation’ (-0.3%).</w:t>
      </w:r>
      <w:r w:rsidR="00A717D6" w:rsidRPr="008C26DF">
        <w:rPr>
          <w:szCs w:val="20"/>
          <w:lang w:val="en-GB"/>
        </w:rPr>
        <w:t xml:space="preserve"> </w:t>
      </w:r>
    </w:p>
    <w:p w:rsidR="002D58DA" w:rsidRDefault="001F40B6" w:rsidP="00F645C3">
      <w:pPr>
        <w:rPr>
          <w:szCs w:val="20"/>
          <w:lang w:val="en-GB"/>
        </w:rPr>
      </w:pPr>
      <w:r w:rsidRPr="008C26DF">
        <w:rPr>
          <w:rFonts w:cs="Arial"/>
          <w:bCs/>
          <w:iCs/>
          <w:szCs w:val="20"/>
          <w:lang w:val="en-GB"/>
        </w:rPr>
        <w:t>Service producer prices in the business sphere</w:t>
      </w:r>
      <w:r w:rsidRPr="008C26DF">
        <w:rPr>
          <w:szCs w:val="20"/>
          <w:lang w:val="en-GB"/>
        </w:rPr>
        <w:t xml:space="preserve">, excluding </w:t>
      </w:r>
      <w:r w:rsidR="008B5865" w:rsidRPr="008C26DF">
        <w:rPr>
          <w:szCs w:val="20"/>
          <w:lang w:val="en-GB"/>
        </w:rPr>
        <w:t xml:space="preserve">advertising services </w:t>
      </w:r>
      <w:r w:rsidR="007B1756" w:rsidRPr="008C26DF">
        <w:rPr>
          <w:szCs w:val="20"/>
          <w:lang w:val="en-GB"/>
        </w:rPr>
        <w:t>soared</w:t>
      </w:r>
      <w:r w:rsidR="00275D28" w:rsidRPr="008C26DF">
        <w:rPr>
          <w:szCs w:val="20"/>
          <w:lang w:val="en-GB"/>
        </w:rPr>
        <w:t xml:space="preserve"> </w:t>
      </w:r>
      <w:r w:rsidR="001954F5" w:rsidRPr="008C26DF">
        <w:rPr>
          <w:szCs w:val="20"/>
          <w:lang w:val="en-GB"/>
        </w:rPr>
        <w:t xml:space="preserve">by </w:t>
      </w:r>
      <w:r w:rsidR="00B10CCC" w:rsidRPr="008C26DF">
        <w:rPr>
          <w:szCs w:val="20"/>
          <w:lang w:val="en-GB"/>
        </w:rPr>
        <w:t>0</w:t>
      </w:r>
      <w:r w:rsidR="001954F5" w:rsidRPr="008C26DF">
        <w:rPr>
          <w:szCs w:val="20"/>
          <w:lang w:val="en-GB"/>
        </w:rPr>
        <w:t>.</w:t>
      </w:r>
      <w:r w:rsidR="00275D28" w:rsidRPr="008C26DF">
        <w:rPr>
          <w:szCs w:val="20"/>
          <w:lang w:val="en-GB"/>
        </w:rPr>
        <w:t>2</w:t>
      </w:r>
      <w:r w:rsidR="001954F5" w:rsidRPr="008C26DF">
        <w:rPr>
          <w:szCs w:val="20"/>
          <w:lang w:val="en-GB"/>
        </w:rPr>
        <w:t>%</w:t>
      </w:r>
      <w:r w:rsidR="00BD04C3" w:rsidRPr="008C26DF">
        <w:rPr>
          <w:szCs w:val="20"/>
          <w:lang w:val="en-GB"/>
        </w:rPr>
        <w:t xml:space="preserve">. </w:t>
      </w:r>
      <w:r w:rsidR="00DE7B01" w:rsidRPr="008C26DF">
        <w:rPr>
          <w:rFonts w:cs="Arial"/>
          <w:b/>
          <w:bCs/>
          <w:iCs/>
          <w:szCs w:val="20"/>
          <w:lang w:val="en-GB"/>
        </w:rPr>
        <w:t xml:space="preserve">Service producer prices in the </w:t>
      </w:r>
      <w:r w:rsidR="00DE7B01" w:rsidRPr="00F810AF">
        <w:rPr>
          <w:rFonts w:cs="Arial"/>
          <w:b/>
          <w:bCs/>
          <w:iCs/>
          <w:szCs w:val="20"/>
          <w:lang w:val="en-GB"/>
        </w:rPr>
        <w:t>business sphere</w:t>
      </w:r>
      <w:r w:rsidR="00DE7B01" w:rsidRPr="00F810AF">
        <w:rPr>
          <w:rFonts w:cs="Arial"/>
          <w:b/>
          <w:bCs/>
          <w:i/>
          <w:iCs/>
          <w:szCs w:val="20"/>
          <w:lang w:val="en-GB"/>
        </w:rPr>
        <w:t xml:space="preserve"> </w:t>
      </w:r>
      <w:r w:rsidR="00B41783" w:rsidRPr="00F810AF">
        <w:rPr>
          <w:rFonts w:cs="Arial"/>
          <w:szCs w:val="20"/>
          <w:lang w:val="en-GB"/>
        </w:rPr>
        <w:t>went up</w:t>
      </w:r>
      <w:r w:rsidR="00782BA3" w:rsidRPr="00F810AF">
        <w:rPr>
          <w:rFonts w:cs="Arial"/>
          <w:szCs w:val="20"/>
          <w:lang w:val="en-GB"/>
        </w:rPr>
        <w:t xml:space="preserve"> by 6</w:t>
      </w:r>
      <w:r w:rsidR="00267F53" w:rsidRPr="00F810AF">
        <w:rPr>
          <w:rFonts w:cs="Arial"/>
          <w:szCs w:val="20"/>
          <w:lang w:val="en-GB"/>
        </w:rPr>
        <w:t>.</w:t>
      </w:r>
      <w:r w:rsidR="008C26DF" w:rsidRPr="00F810AF">
        <w:rPr>
          <w:rFonts w:cs="Arial"/>
          <w:szCs w:val="20"/>
          <w:lang w:val="en-GB"/>
        </w:rPr>
        <w:t>5</w:t>
      </w:r>
      <w:r w:rsidR="00267F53" w:rsidRPr="00F810AF">
        <w:rPr>
          <w:rFonts w:cs="Arial"/>
          <w:szCs w:val="20"/>
          <w:lang w:val="en-GB"/>
        </w:rPr>
        <w:t>%</w:t>
      </w:r>
      <w:r w:rsidR="00275D28" w:rsidRPr="00F810AF">
        <w:rPr>
          <w:rFonts w:cs="Arial"/>
          <w:szCs w:val="20"/>
          <w:lang w:val="en-GB"/>
        </w:rPr>
        <w:t xml:space="preserve"> </w:t>
      </w:r>
      <w:r w:rsidR="002C68BC" w:rsidRPr="00F810AF">
        <w:rPr>
          <w:rFonts w:cs="Arial"/>
          <w:b/>
          <w:szCs w:val="20"/>
          <w:lang w:val="en-GB"/>
        </w:rPr>
        <w:t>y-o-y</w:t>
      </w:r>
      <w:r w:rsidR="00267F53" w:rsidRPr="00F810AF">
        <w:rPr>
          <w:rFonts w:cs="Arial"/>
          <w:szCs w:val="20"/>
          <w:lang w:val="en-GB"/>
        </w:rPr>
        <w:t xml:space="preserve"> </w:t>
      </w:r>
      <w:r w:rsidR="00341DAD" w:rsidRPr="00F810AF">
        <w:rPr>
          <w:rFonts w:cs="Arial"/>
          <w:szCs w:val="20"/>
          <w:lang w:val="en-GB"/>
        </w:rPr>
        <w:t>(</w:t>
      </w:r>
      <w:r w:rsidR="009B6F0D" w:rsidRPr="00F810AF">
        <w:rPr>
          <w:bCs/>
          <w:szCs w:val="20"/>
          <w:lang w:val="en-GB"/>
        </w:rPr>
        <w:t xml:space="preserve">in </w:t>
      </w:r>
      <w:r w:rsidR="00671D0F" w:rsidRPr="00F810AF">
        <w:rPr>
          <w:bCs/>
          <w:szCs w:val="20"/>
          <w:lang w:val="en-GB"/>
        </w:rPr>
        <w:t>October</w:t>
      </w:r>
      <w:r w:rsidR="004B6383" w:rsidRPr="00F810AF">
        <w:rPr>
          <w:bCs/>
          <w:szCs w:val="20"/>
          <w:lang w:val="en-GB"/>
        </w:rPr>
        <w:t xml:space="preserve"> </w:t>
      </w:r>
      <w:r w:rsidR="008106FC" w:rsidRPr="00F810AF">
        <w:rPr>
          <w:rFonts w:cs="Arial"/>
          <w:szCs w:val="20"/>
          <w:lang w:val="en-GB"/>
        </w:rPr>
        <w:t xml:space="preserve">they </w:t>
      </w:r>
      <w:r w:rsidR="00B51644" w:rsidRPr="00F810AF">
        <w:rPr>
          <w:rFonts w:cs="Arial"/>
          <w:szCs w:val="20"/>
          <w:lang w:val="en-GB"/>
        </w:rPr>
        <w:t>rose</w:t>
      </w:r>
      <w:r w:rsidR="004F0551" w:rsidRPr="00F810AF">
        <w:rPr>
          <w:rFonts w:cs="Arial"/>
          <w:szCs w:val="20"/>
          <w:lang w:val="en-GB"/>
        </w:rPr>
        <w:t xml:space="preserve"> by </w:t>
      </w:r>
      <w:r w:rsidR="004B6383" w:rsidRPr="00F810AF">
        <w:rPr>
          <w:rFonts w:cs="Arial"/>
          <w:szCs w:val="20"/>
          <w:lang w:val="en-GB"/>
        </w:rPr>
        <w:t>6</w:t>
      </w:r>
      <w:r w:rsidR="00DE7B01" w:rsidRPr="00F810AF">
        <w:rPr>
          <w:rFonts w:cs="Arial"/>
          <w:szCs w:val="20"/>
          <w:lang w:val="en-GB"/>
        </w:rPr>
        <w:t>.</w:t>
      </w:r>
      <w:r w:rsidR="00671D0F" w:rsidRPr="00F810AF">
        <w:rPr>
          <w:rFonts w:cs="Arial"/>
          <w:szCs w:val="20"/>
          <w:lang w:val="en-GB"/>
        </w:rPr>
        <w:t>3</w:t>
      </w:r>
      <w:r w:rsidR="00DE7B01" w:rsidRPr="00F810AF">
        <w:rPr>
          <w:rFonts w:cs="Arial"/>
          <w:szCs w:val="20"/>
          <w:lang w:val="en-GB"/>
        </w:rPr>
        <w:t>%</w:t>
      </w:r>
      <w:r w:rsidR="00DE7B01" w:rsidRPr="00F810AF">
        <w:rPr>
          <w:rFonts w:cs="Arial"/>
          <w:bCs/>
          <w:szCs w:val="20"/>
          <w:lang w:val="en-GB"/>
        </w:rPr>
        <w:t>)</w:t>
      </w:r>
      <w:r w:rsidR="00DE7B01" w:rsidRPr="00F810AF">
        <w:rPr>
          <w:rFonts w:cs="Arial"/>
          <w:szCs w:val="20"/>
          <w:lang w:val="en-GB"/>
        </w:rPr>
        <w:t>. P</w:t>
      </w:r>
      <w:r w:rsidR="00F94EFB" w:rsidRPr="00F810AF">
        <w:rPr>
          <w:szCs w:val="20"/>
          <w:lang w:val="en-GB"/>
        </w:rPr>
        <w:t>rices for</w:t>
      </w:r>
      <w:r w:rsidR="00862C45" w:rsidRPr="00F810AF">
        <w:rPr>
          <w:szCs w:val="20"/>
          <w:lang w:val="en-GB"/>
        </w:rPr>
        <w:t xml:space="preserve"> ‘</w:t>
      </w:r>
      <w:r w:rsidR="00862C45" w:rsidRPr="009E1F67">
        <w:rPr>
          <w:szCs w:val="20"/>
          <w:lang w:val="en-GB"/>
        </w:rPr>
        <w:t>warehousing and support services for transportation’ (+15.</w:t>
      </w:r>
      <w:r w:rsidR="00F810AF" w:rsidRPr="009E1F67">
        <w:rPr>
          <w:szCs w:val="20"/>
          <w:lang w:val="en-GB"/>
        </w:rPr>
        <w:t>2</w:t>
      </w:r>
      <w:r w:rsidR="00862C45" w:rsidRPr="009E1F67">
        <w:rPr>
          <w:szCs w:val="20"/>
          <w:lang w:val="en-GB"/>
        </w:rPr>
        <w:t xml:space="preserve">%), </w:t>
      </w:r>
      <w:r w:rsidR="00281544" w:rsidRPr="009E1F67">
        <w:rPr>
          <w:szCs w:val="20"/>
          <w:lang w:val="en-GB"/>
        </w:rPr>
        <w:t>‘advertising and market research services’ (</w:t>
      </w:r>
      <w:r w:rsidR="00753641" w:rsidRPr="009E1F67">
        <w:rPr>
          <w:szCs w:val="20"/>
          <w:lang w:val="en-GB"/>
        </w:rPr>
        <w:t>+</w:t>
      </w:r>
      <w:r w:rsidR="00862C45" w:rsidRPr="009E1F67">
        <w:rPr>
          <w:szCs w:val="20"/>
          <w:lang w:val="en-GB"/>
        </w:rPr>
        <w:t>15</w:t>
      </w:r>
      <w:r w:rsidR="00281544" w:rsidRPr="009E1F67">
        <w:rPr>
          <w:szCs w:val="20"/>
          <w:lang w:val="en-GB"/>
        </w:rPr>
        <w:t>.</w:t>
      </w:r>
      <w:r w:rsidR="00A6441B" w:rsidRPr="009E1F67">
        <w:rPr>
          <w:szCs w:val="20"/>
          <w:lang w:val="en-GB"/>
        </w:rPr>
        <w:t>0</w:t>
      </w:r>
      <w:r w:rsidR="00281544" w:rsidRPr="009E1F67">
        <w:rPr>
          <w:szCs w:val="20"/>
          <w:lang w:val="en-GB"/>
        </w:rPr>
        <w:t>%)</w:t>
      </w:r>
      <w:r w:rsidR="00862C45" w:rsidRPr="009E1F67">
        <w:rPr>
          <w:szCs w:val="20"/>
          <w:lang w:val="en-GB"/>
        </w:rPr>
        <w:t xml:space="preserve"> and </w:t>
      </w:r>
      <w:r w:rsidR="001D568B" w:rsidRPr="009E1F67">
        <w:rPr>
          <w:szCs w:val="20"/>
          <w:lang w:val="en-GB"/>
        </w:rPr>
        <w:t>‘employment services’ (+1</w:t>
      </w:r>
      <w:r w:rsidR="00F810AF" w:rsidRPr="009E1F67">
        <w:rPr>
          <w:szCs w:val="20"/>
          <w:lang w:val="en-GB"/>
        </w:rPr>
        <w:t>3</w:t>
      </w:r>
      <w:r w:rsidR="001D568B" w:rsidRPr="009E1F67">
        <w:rPr>
          <w:szCs w:val="20"/>
          <w:lang w:val="en-GB"/>
        </w:rPr>
        <w:t>.</w:t>
      </w:r>
      <w:r w:rsidR="00F810AF" w:rsidRPr="009E1F67">
        <w:rPr>
          <w:szCs w:val="20"/>
          <w:lang w:val="en-GB"/>
        </w:rPr>
        <w:t>8</w:t>
      </w:r>
      <w:r w:rsidR="00142B6F" w:rsidRPr="009E1F67">
        <w:rPr>
          <w:szCs w:val="20"/>
          <w:lang w:val="en-GB"/>
        </w:rPr>
        <w:t>%)</w:t>
      </w:r>
      <w:r w:rsidR="00862C45" w:rsidRPr="009E1F67">
        <w:rPr>
          <w:szCs w:val="20"/>
          <w:lang w:val="en-GB"/>
        </w:rPr>
        <w:t xml:space="preserve"> </w:t>
      </w:r>
      <w:r w:rsidR="001E7600" w:rsidRPr="009E1F67">
        <w:rPr>
          <w:szCs w:val="20"/>
          <w:lang w:val="en-GB"/>
        </w:rPr>
        <w:t>grew</w:t>
      </w:r>
      <w:r w:rsidR="002A3848" w:rsidRPr="009E1F67">
        <w:rPr>
          <w:szCs w:val="20"/>
          <w:lang w:val="en-GB"/>
        </w:rPr>
        <w:t xml:space="preserve">. </w:t>
      </w:r>
      <w:r w:rsidR="00DE7B01" w:rsidRPr="009E1F67">
        <w:rPr>
          <w:rFonts w:cs="Arial"/>
          <w:bCs/>
          <w:iCs/>
          <w:szCs w:val="20"/>
          <w:lang w:val="en-GB"/>
        </w:rPr>
        <w:t xml:space="preserve">Service producer prices in the business sphere, </w:t>
      </w:r>
      <w:r w:rsidR="00DE7B01" w:rsidRPr="009E1F67">
        <w:rPr>
          <w:szCs w:val="20"/>
          <w:lang w:val="en-GB"/>
        </w:rPr>
        <w:t>excluding advertisi</w:t>
      </w:r>
      <w:r w:rsidR="00CD7478" w:rsidRPr="009E1F67">
        <w:rPr>
          <w:szCs w:val="20"/>
          <w:lang w:val="en-GB"/>
        </w:rPr>
        <w:t xml:space="preserve">ng services, </w:t>
      </w:r>
      <w:r w:rsidR="00656C2E" w:rsidRPr="009E1F67">
        <w:rPr>
          <w:szCs w:val="20"/>
          <w:lang w:val="en-GB"/>
        </w:rPr>
        <w:t>were higher</w:t>
      </w:r>
      <w:r w:rsidR="00CD7478" w:rsidRPr="009E1F67">
        <w:rPr>
          <w:szCs w:val="20"/>
          <w:lang w:val="en-GB"/>
        </w:rPr>
        <w:t xml:space="preserve"> by </w:t>
      </w:r>
      <w:r w:rsidR="009E1F67" w:rsidRPr="009E1F67">
        <w:rPr>
          <w:szCs w:val="20"/>
          <w:lang w:val="en-GB"/>
        </w:rPr>
        <w:t>6</w:t>
      </w:r>
      <w:r w:rsidR="006C43FA" w:rsidRPr="009E1F67">
        <w:rPr>
          <w:szCs w:val="20"/>
          <w:lang w:val="en-GB"/>
        </w:rPr>
        <w:t>.</w:t>
      </w:r>
      <w:r w:rsidR="009E1F67" w:rsidRPr="009E1F67">
        <w:rPr>
          <w:szCs w:val="20"/>
          <w:lang w:val="en-GB"/>
        </w:rPr>
        <w:t>0</w:t>
      </w:r>
      <w:r w:rsidR="00D43009" w:rsidRPr="009E1F67">
        <w:rPr>
          <w:szCs w:val="20"/>
          <w:lang w:val="en-GB"/>
        </w:rPr>
        <w:t xml:space="preserve">% </w:t>
      </w:r>
      <w:r w:rsidR="00A20A00" w:rsidRPr="009E1F67">
        <w:rPr>
          <w:szCs w:val="20"/>
          <w:lang w:val="en-GB"/>
        </w:rPr>
        <w:t>(</w:t>
      </w:r>
      <w:r w:rsidR="00254A75" w:rsidRPr="009E1F67">
        <w:rPr>
          <w:rFonts w:cs="Arial"/>
          <w:bCs/>
          <w:szCs w:val="20"/>
          <w:lang w:val="en-GB"/>
        </w:rPr>
        <w:t xml:space="preserve">in </w:t>
      </w:r>
      <w:r w:rsidR="009E1F67" w:rsidRPr="009E1F67">
        <w:rPr>
          <w:rFonts w:cs="Arial"/>
          <w:bCs/>
          <w:szCs w:val="20"/>
          <w:lang w:val="en-GB"/>
        </w:rPr>
        <w:t>Octobe</w:t>
      </w:r>
      <w:r w:rsidR="00CD40D9" w:rsidRPr="009E1F67">
        <w:rPr>
          <w:rFonts w:cs="Arial"/>
          <w:bCs/>
          <w:szCs w:val="20"/>
          <w:lang w:val="en-GB"/>
        </w:rPr>
        <w:t>r</w:t>
      </w:r>
      <w:r w:rsidR="000267AC" w:rsidRPr="009E1F67">
        <w:rPr>
          <w:bCs/>
          <w:szCs w:val="20"/>
          <w:lang w:val="en-GB"/>
        </w:rPr>
        <w:t xml:space="preserve"> </w:t>
      </w:r>
      <w:r w:rsidR="00CB5013" w:rsidRPr="009E1F67">
        <w:rPr>
          <w:rFonts w:cs="Arial"/>
          <w:bCs/>
          <w:szCs w:val="20"/>
          <w:lang w:val="en-GB"/>
        </w:rPr>
        <w:t xml:space="preserve">they </w:t>
      </w:r>
      <w:r w:rsidR="00E36762" w:rsidRPr="009E1F67">
        <w:rPr>
          <w:rFonts w:cs="Arial"/>
          <w:bCs/>
          <w:szCs w:val="20"/>
          <w:lang w:val="en-GB"/>
        </w:rPr>
        <w:t xml:space="preserve">increased </w:t>
      </w:r>
      <w:r w:rsidR="007F25B9" w:rsidRPr="009E1F67">
        <w:rPr>
          <w:rFonts w:cs="Arial"/>
          <w:bCs/>
          <w:szCs w:val="20"/>
          <w:lang w:val="en-GB"/>
        </w:rPr>
        <w:t xml:space="preserve">by </w:t>
      </w:r>
      <w:r w:rsidR="00886478" w:rsidRPr="009E1F67">
        <w:rPr>
          <w:rFonts w:cs="Arial"/>
          <w:bCs/>
          <w:szCs w:val="20"/>
          <w:lang w:val="en-GB"/>
        </w:rPr>
        <w:t>5</w:t>
      </w:r>
      <w:r w:rsidR="00CB5013" w:rsidRPr="009E1F67">
        <w:rPr>
          <w:rFonts w:cs="Arial"/>
          <w:bCs/>
          <w:szCs w:val="20"/>
          <w:lang w:val="en-GB"/>
        </w:rPr>
        <w:t>.</w:t>
      </w:r>
      <w:r w:rsidR="009E1F67" w:rsidRPr="009E1F67">
        <w:rPr>
          <w:rFonts w:cs="Arial"/>
          <w:bCs/>
          <w:szCs w:val="20"/>
          <w:lang w:val="en-GB"/>
        </w:rPr>
        <w:t>8</w:t>
      </w:r>
      <w:r w:rsidR="009B2084" w:rsidRPr="009E1F67">
        <w:rPr>
          <w:rFonts w:cs="Arial"/>
          <w:bCs/>
          <w:szCs w:val="20"/>
          <w:lang w:val="en-GB"/>
        </w:rPr>
        <w:t>%</w:t>
      </w:r>
      <w:r w:rsidR="00441E17" w:rsidRPr="009E1F67">
        <w:rPr>
          <w:bCs/>
          <w:szCs w:val="20"/>
          <w:lang w:val="en-GB"/>
        </w:rPr>
        <w:t>)</w:t>
      </w:r>
      <w:r w:rsidR="00DE7B01" w:rsidRPr="009E1F67">
        <w:rPr>
          <w:szCs w:val="20"/>
          <w:lang w:val="en-GB"/>
        </w:rPr>
        <w:t>.</w:t>
      </w:r>
    </w:p>
    <w:p w:rsidR="00853C75" w:rsidRDefault="00853C75" w:rsidP="00F645C3">
      <w:pPr>
        <w:rPr>
          <w:szCs w:val="20"/>
          <w:lang w:val="en-GB"/>
        </w:rPr>
      </w:pPr>
    </w:p>
    <w:p w:rsidR="00853C75" w:rsidRPr="002148A8" w:rsidRDefault="00853C75" w:rsidP="00853C75">
      <w:pPr>
        <w:rPr>
          <w:b/>
          <w:szCs w:val="20"/>
          <w:lang w:val="en-GB"/>
        </w:rPr>
      </w:pPr>
      <w:r w:rsidRPr="002148A8">
        <w:rPr>
          <w:b/>
          <w:lang w:val="en-GB"/>
        </w:rPr>
        <w:t>Industrial producer prices in the EU – October 2022 (preliminary data)</w:t>
      </w:r>
    </w:p>
    <w:p w:rsidR="00853C75" w:rsidRPr="002148A8" w:rsidRDefault="00853C75" w:rsidP="00853C75">
      <w:pPr>
        <w:rPr>
          <w:lang w:val="en-GB"/>
        </w:rPr>
      </w:pPr>
    </w:p>
    <w:p w:rsidR="00853C75" w:rsidRPr="002148A8" w:rsidRDefault="00853C75" w:rsidP="00853C75">
      <w:pPr>
        <w:rPr>
          <w:lang w:val="en-GB"/>
        </w:rPr>
      </w:pPr>
      <w:r w:rsidRPr="002148A8">
        <w:rPr>
          <w:lang w:val="en-GB"/>
        </w:rPr>
        <w:t xml:space="preserve">According to the Eurostat News Releases, industrial producer prices decreased in October by 2.5% (in September they rose by 1.4%) in EU27, </w:t>
      </w:r>
      <w:r w:rsidRPr="002148A8">
        <w:rPr>
          <w:b/>
          <w:lang w:val="en-GB"/>
        </w:rPr>
        <w:t xml:space="preserve">m-o-m. </w:t>
      </w:r>
      <w:r w:rsidRPr="002148A8">
        <w:rPr>
          <w:lang w:val="en-GB"/>
        </w:rPr>
        <w:t xml:space="preserve">The largest monthly decreases were recorded in Ireland (-32.5%) and Bulgaria (-8.8%). Prices were lower in Germany (-4.2%) and higher in </w:t>
      </w:r>
      <w:r w:rsidRPr="002148A8">
        <w:rPr>
          <w:szCs w:val="20"/>
          <w:lang w:val="en-GB"/>
        </w:rPr>
        <w:t xml:space="preserve">Poland (+0.9%), Slovakia (+0.7%), </w:t>
      </w:r>
      <w:proofErr w:type="spellStart"/>
      <w:r w:rsidRPr="002148A8">
        <w:rPr>
          <w:szCs w:val="20"/>
          <w:lang w:val="en-GB"/>
        </w:rPr>
        <w:t>Czechia</w:t>
      </w:r>
      <w:proofErr w:type="spellEnd"/>
      <w:r w:rsidRPr="002148A8">
        <w:rPr>
          <w:szCs w:val="20"/>
          <w:lang w:val="en-GB"/>
        </w:rPr>
        <w:t xml:space="preserve"> (+0.6%) and </w:t>
      </w:r>
      <w:r w:rsidRPr="002148A8">
        <w:rPr>
          <w:lang w:val="en-GB"/>
        </w:rPr>
        <w:t>Austria (+0.3%). Prices increased particularly in Greece (+9.6%).</w:t>
      </w:r>
    </w:p>
    <w:p w:rsidR="00853C75" w:rsidRPr="002148A8" w:rsidRDefault="00853C75" w:rsidP="00853C75">
      <w:pPr>
        <w:rPr>
          <w:lang w:val="en-GB"/>
        </w:rPr>
      </w:pPr>
    </w:p>
    <w:p w:rsidR="00853C75" w:rsidRPr="002148A8" w:rsidRDefault="00853C75" w:rsidP="00853C75">
      <w:pPr>
        <w:rPr>
          <w:lang w:val="en-GB"/>
        </w:rPr>
      </w:pPr>
      <w:r w:rsidRPr="002148A8">
        <w:rPr>
          <w:lang w:val="en-GB"/>
        </w:rPr>
        <w:t xml:space="preserve">Industrial producer prices rose in October by 31.2% (in September they grew by 41.4%) in EU27, </w:t>
      </w:r>
      <w:r w:rsidRPr="002148A8">
        <w:rPr>
          <w:b/>
          <w:lang w:val="en-GB"/>
        </w:rPr>
        <w:t>y-o-y</w:t>
      </w:r>
      <w:r w:rsidRPr="002148A8">
        <w:rPr>
          <w:lang w:val="en-GB"/>
        </w:rPr>
        <w:t xml:space="preserve">. The highest increases were recorded in Hungary (+68.0%), Slovakia (+59.3%) and Latvia (+57.9%). </w:t>
      </w:r>
      <w:r w:rsidRPr="002148A8">
        <w:rPr>
          <w:bCs/>
          <w:lang w:val="en-GB"/>
        </w:rPr>
        <w:t>Prices were higher i</w:t>
      </w:r>
      <w:r w:rsidRPr="002148A8">
        <w:rPr>
          <w:lang w:val="en-GB"/>
        </w:rPr>
        <w:t xml:space="preserve">n Germany (+35.5%), Poland (+30.5%), Austria (+26.4%) and </w:t>
      </w:r>
      <w:proofErr w:type="spellStart"/>
      <w:r w:rsidRPr="002148A8">
        <w:rPr>
          <w:szCs w:val="20"/>
          <w:lang w:val="en-GB"/>
        </w:rPr>
        <w:t>Czechia</w:t>
      </w:r>
      <w:proofErr w:type="spellEnd"/>
      <w:r w:rsidRPr="002148A8">
        <w:rPr>
          <w:szCs w:val="20"/>
          <w:lang w:val="en-GB"/>
        </w:rPr>
        <w:t xml:space="preserve"> (+24.1%). </w:t>
      </w:r>
      <w:r w:rsidRPr="002148A8">
        <w:rPr>
          <w:lang w:val="en-GB"/>
        </w:rPr>
        <w:t>The only decrease was observed in Ireland (-17.2%).</w:t>
      </w:r>
    </w:p>
    <w:p w:rsidR="00853C75" w:rsidRDefault="00853C75" w:rsidP="00F645C3">
      <w:pPr>
        <w:rPr>
          <w:color w:val="FF0000"/>
          <w:szCs w:val="20"/>
          <w:lang w:val="en-GB"/>
        </w:rPr>
      </w:pPr>
    </w:p>
    <w:p w:rsidR="00C67311" w:rsidRPr="00C67311" w:rsidRDefault="00C67311" w:rsidP="00C67311">
      <w:pPr>
        <w:pStyle w:val="Odstavecseseznamem"/>
        <w:jc w:val="center"/>
        <w:rPr>
          <w:b/>
          <w:color w:val="000000" w:themeColor="text1"/>
          <w:szCs w:val="20"/>
          <w:lang w:val="en-GB"/>
        </w:rPr>
      </w:pPr>
      <w:r w:rsidRPr="00C67311">
        <w:rPr>
          <w:b/>
          <w:color w:val="000000" w:themeColor="text1"/>
          <w:szCs w:val="20"/>
          <w:lang w:val="en-GB"/>
        </w:rPr>
        <w:t>* * *</w:t>
      </w:r>
    </w:p>
    <w:p w:rsidR="00726118" w:rsidRDefault="00726118" w:rsidP="00C87AF0">
      <w:pPr>
        <w:rPr>
          <w:rFonts w:cs="Arial"/>
          <w:b/>
          <w:szCs w:val="20"/>
          <w:lang w:val="en-US"/>
        </w:rPr>
      </w:pPr>
    </w:p>
    <w:p w:rsidR="00726118" w:rsidRDefault="00726118" w:rsidP="00726118">
      <w:pPr>
        <w:rPr>
          <w:rFonts w:cs="Arial"/>
          <w:b/>
          <w:szCs w:val="20"/>
          <w:lang w:val="en-US"/>
        </w:rPr>
      </w:pPr>
      <w:r w:rsidRPr="002148A8">
        <w:rPr>
          <w:rFonts w:cs="Arial"/>
          <w:b/>
          <w:szCs w:val="20"/>
          <w:lang w:val="en-US"/>
        </w:rPr>
        <w:t xml:space="preserve">Information on the revision of the </w:t>
      </w:r>
      <w:r>
        <w:rPr>
          <w:rFonts w:cs="Arial"/>
          <w:b/>
          <w:szCs w:val="20"/>
          <w:lang w:val="en-US"/>
        </w:rPr>
        <w:t>agricultural producer price index 2020</w:t>
      </w:r>
    </w:p>
    <w:p w:rsidR="00E029D7" w:rsidRDefault="00E029D7" w:rsidP="00726118">
      <w:pPr>
        <w:rPr>
          <w:rFonts w:cs="Arial"/>
          <w:b/>
          <w:szCs w:val="20"/>
          <w:lang w:val="en-US"/>
        </w:rPr>
      </w:pPr>
    </w:p>
    <w:p w:rsidR="00113D87" w:rsidRPr="003F78AA" w:rsidRDefault="00113D87" w:rsidP="00E029D7">
      <w:pPr>
        <w:rPr>
          <w:rFonts w:cs="Arial"/>
          <w:szCs w:val="20"/>
          <w:lang w:val="en-GB"/>
        </w:rPr>
      </w:pPr>
      <w:r w:rsidRPr="003F78AA">
        <w:rPr>
          <w:rFonts w:cs="Arial"/>
          <w:szCs w:val="20"/>
          <w:lang w:val="en-GB"/>
        </w:rPr>
        <w:t xml:space="preserve">During year 2022, a standard comprehensive </w:t>
      </w:r>
      <w:r w:rsidRPr="00F06B7C">
        <w:rPr>
          <w:rFonts w:cs="Arial"/>
          <w:b/>
          <w:szCs w:val="20"/>
          <w:lang w:val="en-GB"/>
        </w:rPr>
        <w:t>revision of the calculation of</w:t>
      </w:r>
      <w:r w:rsidRPr="003F78AA">
        <w:rPr>
          <w:rFonts w:cs="Arial"/>
          <w:szCs w:val="20"/>
          <w:lang w:val="en-GB"/>
        </w:rPr>
        <w:t xml:space="preserve"> </w:t>
      </w:r>
      <w:r w:rsidRPr="003F78AA">
        <w:rPr>
          <w:rFonts w:cs="Arial"/>
          <w:b/>
          <w:szCs w:val="20"/>
          <w:lang w:val="en-GB"/>
        </w:rPr>
        <w:t>agricultural producer price indices</w:t>
      </w:r>
      <w:r w:rsidR="003D0C9E" w:rsidRPr="003F78AA">
        <w:rPr>
          <w:rFonts w:cs="Arial"/>
          <w:szCs w:val="20"/>
          <w:lang w:val="en-GB"/>
        </w:rPr>
        <w:t xml:space="preserve"> is underway. </w:t>
      </w:r>
    </w:p>
    <w:p w:rsidR="00E029D7" w:rsidRPr="003F78AA" w:rsidRDefault="003D0C9E" w:rsidP="00E029D7">
      <w:pPr>
        <w:rPr>
          <w:rFonts w:cs="Arial"/>
          <w:color w:val="FF0000"/>
          <w:szCs w:val="20"/>
          <w:lang w:val="en-GB"/>
        </w:rPr>
      </w:pPr>
      <w:r w:rsidRPr="003F78AA">
        <w:rPr>
          <w:rFonts w:cs="Arial"/>
          <w:szCs w:val="20"/>
          <w:lang w:val="en-GB"/>
        </w:rPr>
        <w:t>From January 2023, the price indices of agricultural producers will be calculated</w:t>
      </w:r>
      <w:r w:rsidR="00F45721" w:rsidRPr="003F78AA">
        <w:rPr>
          <w:rFonts w:cs="Arial"/>
          <w:szCs w:val="20"/>
          <w:lang w:val="en-GB"/>
        </w:rPr>
        <w:t xml:space="preserve"> on the new weighting schemes</w:t>
      </w:r>
      <w:r w:rsidR="00DC777E" w:rsidRPr="003F78AA">
        <w:rPr>
          <w:rFonts w:cs="Arial"/>
          <w:szCs w:val="20"/>
          <w:lang w:val="en-GB"/>
        </w:rPr>
        <w:t xml:space="preserve"> </w:t>
      </w:r>
      <w:r w:rsidR="00DC777E" w:rsidRPr="003F78AA">
        <w:rPr>
          <w:lang w:val="en-GB"/>
        </w:rPr>
        <w:t>based on the structure of the average sales for the years 2019, 2020 and 2021. Indices will be calculated for a new</w:t>
      </w:r>
      <w:r w:rsidR="00A70C63">
        <w:rPr>
          <w:lang w:val="en-GB"/>
        </w:rPr>
        <w:t xml:space="preserve"> price and index </w:t>
      </w:r>
      <w:r w:rsidR="00DC777E" w:rsidRPr="003F78AA">
        <w:rPr>
          <w:lang w:val="en-GB"/>
        </w:rPr>
        <w:t>base 2020 a</w:t>
      </w:r>
      <w:bookmarkStart w:id="0" w:name="_GoBack"/>
      <w:bookmarkEnd w:id="0"/>
      <w:r w:rsidR="00DC777E" w:rsidRPr="003F78AA">
        <w:rPr>
          <w:lang w:val="en-GB"/>
        </w:rPr>
        <w:t>verage = 100. The published aggregate base indices for the years 2020, 2021 and 2022 will be revised.</w:t>
      </w:r>
      <w:r w:rsidR="001D330A" w:rsidRPr="003F78AA">
        <w:rPr>
          <w:rFonts w:cs="Arial"/>
          <w:color w:val="FF0000"/>
          <w:szCs w:val="20"/>
          <w:lang w:val="en-GB"/>
        </w:rPr>
        <w:t xml:space="preserve"> </w:t>
      </w:r>
      <w:r w:rsidR="001D330A" w:rsidRPr="003F78AA">
        <w:rPr>
          <w:rFonts w:cs="Arial"/>
          <w:szCs w:val="20"/>
          <w:lang w:val="en-GB"/>
        </w:rPr>
        <w:t>Time series with the index base 2015 average = 100 will be ended.</w:t>
      </w:r>
      <w:r w:rsidR="001D330A" w:rsidRPr="003F78AA">
        <w:rPr>
          <w:rFonts w:cs="Arial"/>
          <w:color w:val="FF0000"/>
          <w:szCs w:val="20"/>
          <w:lang w:val="en-GB"/>
        </w:rPr>
        <w:t xml:space="preserve"> </w:t>
      </w:r>
    </w:p>
    <w:p w:rsidR="00726118" w:rsidRDefault="00726118" w:rsidP="00C87AF0">
      <w:pPr>
        <w:rPr>
          <w:rFonts w:cs="Arial"/>
          <w:b/>
          <w:szCs w:val="20"/>
          <w:lang w:val="en-US"/>
        </w:rPr>
      </w:pPr>
    </w:p>
    <w:p w:rsidR="00916716" w:rsidRPr="002148A8" w:rsidRDefault="00916716" w:rsidP="00916716">
      <w:pPr>
        <w:rPr>
          <w:rFonts w:cs="Arial"/>
          <w:b/>
          <w:szCs w:val="20"/>
          <w:lang w:val="en-US"/>
        </w:rPr>
      </w:pPr>
      <w:r w:rsidRPr="002148A8">
        <w:rPr>
          <w:rFonts w:cs="Arial"/>
          <w:b/>
          <w:szCs w:val="20"/>
          <w:lang w:val="en-US"/>
        </w:rPr>
        <w:t>Information on the revision of the industrial producer price index 2021</w:t>
      </w:r>
    </w:p>
    <w:p w:rsidR="00916716" w:rsidRPr="002148A8" w:rsidRDefault="00916716" w:rsidP="00916716">
      <w:pPr>
        <w:pStyle w:val="Normlnweb"/>
        <w:spacing w:before="0" w:beforeAutospacing="0" w:after="0" w:afterAutospacing="0" w:line="276" w:lineRule="auto"/>
        <w:jc w:val="both"/>
        <w:rPr>
          <w:rFonts w:ascii="Arial" w:hAnsi="Arial" w:cs="Arial"/>
          <w:sz w:val="20"/>
          <w:szCs w:val="20"/>
        </w:rPr>
      </w:pPr>
    </w:p>
    <w:p w:rsidR="00916716" w:rsidRPr="002148A8" w:rsidRDefault="00916716" w:rsidP="00916716">
      <w:pPr>
        <w:rPr>
          <w:rFonts w:cs="Arial"/>
          <w:szCs w:val="20"/>
          <w:lang w:val="en-US"/>
        </w:rPr>
      </w:pPr>
      <w:r w:rsidRPr="002148A8">
        <w:rPr>
          <w:rFonts w:cs="Arial"/>
          <w:szCs w:val="20"/>
          <w:lang w:val="en-US"/>
        </w:rPr>
        <w:t xml:space="preserve">Currently we are preparing a </w:t>
      </w:r>
      <w:r w:rsidRPr="00F06B7C">
        <w:rPr>
          <w:rFonts w:cs="Arial"/>
          <w:b/>
          <w:szCs w:val="20"/>
          <w:lang w:val="en-US"/>
        </w:rPr>
        <w:t>revision of the calculation of industrial producer price index</w:t>
      </w:r>
      <w:r w:rsidRPr="002148A8">
        <w:rPr>
          <w:rFonts w:cs="Arial"/>
          <w:szCs w:val="20"/>
          <w:lang w:val="en-US"/>
        </w:rPr>
        <w:t xml:space="preserve">, which is a change from the original weighting structure for 2015 (domestic sales) on the new weighting structure of the year 2021 (domestic sales). There will be a slight variation of weights </w:t>
      </w:r>
      <w:r w:rsidRPr="002148A8">
        <w:rPr>
          <w:rFonts w:cs="Arial"/>
          <w:szCs w:val="20"/>
          <w:lang w:val="en-US"/>
        </w:rPr>
        <w:lastRenderedPageBreak/>
        <w:t xml:space="preserve">on the level of some aggregation of CZ-CPA on the three-digit and four-digit levels and a number of changes in the selection of reporting units and representatives. </w:t>
      </w:r>
    </w:p>
    <w:p w:rsidR="00916716" w:rsidRPr="002148A8" w:rsidRDefault="00916716" w:rsidP="00916716">
      <w:pPr>
        <w:rPr>
          <w:rFonts w:cs="Arial"/>
          <w:szCs w:val="20"/>
          <w:lang w:val="en-US"/>
        </w:rPr>
      </w:pPr>
    </w:p>
    <w:p w:rsidR="00916716" w:rsidRDefault="00916716" w:rsidP="00916716">
      <w:pPr>
        <w:rPr>
          <w:rFonts w:cs="Arial"/>
          <w:szCs w:val="20"/>
          <w:lang w:val="en-US"/>
        </w:rPr>
      </w:pPr>
      <w:r w:rsidRPr="002148A8">
        <w:rPr>
          <w:rFonts w:cs="Arial"/>
          <w:szCs w:val="20"/>
          <w:lang w:val="en-US"/>
        </w:rPr>
        <w:t xml:space="preserve">Basic time series of basic indices </w:t>
      </w:r>
      <w:r w:rsidR="00A70C63">
        <w:rPr>
          <w:rFonts w:cs="Arial"/>
          <w:szCs w:val="20"/>
          <w:lang w:val="en-US"/>
        </w:rPr>
        <w:t xml:space="preserve">with the base </w:t>
      </w:r>
      <w:r w:rsidRPr="002148A8">
        <w:rPr>
          <w:rFonts w:cs="Arial"/>
          <w:szCs w:val="20"/>
          <w:lang w:val="en-US"/>
        </w:rPr>
        <w:t>2015 average = 100 will be continued. Price indices with the base December 2015 = 100 will be replaced with new price base December 2021 = 100. Thus calculated indices will be from the four-digit level of CZ-CPA (and up) of the weighting scheme chained to the indices with the index base 2015 average = 100. This will ensure the continuation of the existing time series. From the time series with the base 2015 average = 100 will be calculated time series with the base 2021 average = 100</w:t>
      </w:r>
      <w:r>
        <w:rPr>
          <w:rFonts w:cs="Arial"/>
          <w:szCs w:val="20"/>
          <w:lang w:val="en-US"/>
        </w:rPr>
        <w:t xml:space="preserve">. </w:t>
      </w:r>
      <w:r w:rsidRPr="002148A8">
        <w:rPr>
          <w:rFonts w:cs="Arial"/>
          <w:szCs w:val="20"/>
          <w:lang w:val="en-US"/>
        </w:rPr>
        <w:t xml:space="preserve"> </w:t>
      </w:r>
      <w:r w:rsidR="00A70C63">
        <w:rPr>
          <w:rFonts w:cs="Arial"/>
          <w:szCs w:val="20"/>
          <w:lang w:val="en-US"/>
        </w:rPr>
        <w:t>Calculation of the t</w:t>
      </w:r>
      <w:r w:rsidRPr="002148A8">
        <w:rPr>
          <w:rFonts w:cs="Arial"/>
          <w:szCs w:val="20"/>
          <w:lang w:val="en-US"/>
        </w:rPr>
        <w:t>ime series with the base</w:t>
      </w:r>
      <w:r w:rsidR="00A70C63">
        <w:rPr>
          <w:rFonts w:cs="Arial"/>
          <w:szCs w:val="20"/>
          <w:lang w:val="en-US"/>
        </w:rPr>
        <w:t>s</w:t>
      </w:r>
      <w:r w:rsidRPr="002148A8">
        <w:rPr>
          <w:rFonts w:cs="Arial"/>
          <w:szCs w:val="20"/>
          <w:lang w:val="en-US"/>
        </w:rPr>
        <w:t xml:space="preserve"> 2005 average =100 and 2010 average = 100 will be ended by December 2022. </w:t>
      </w:r>
    </w:p>
    <w:p w:rsidR="00916716" w:rsidRPr="002148A8" w:rsidRDefault="00916716" w:rsidP="00916716">
      <w:pPr>
        <w:rPr>
          <w:rFonts w:cs="Arial"/>
          <w:szCs w:val="20"/>
          <w:lang w:val="en-US"/>
        </w:rPr>
      </w:pPr>
    </w:p>
    <w:p w:rsidR="00916716" w:rsidRPr="002148A8" w:rsidRDefault="00916716" w:rsidP="00916716">
      <w:pPr>
        <w:pStyle w:val="Normlnweb"/>
        <w:spacing w:before="0" w:beforeAutospacing="0" w:after="0" w:afterAutospacing="0" w:line="276" w:lineRule="auto"/>
        <w:jc w:val="both"/>
        <w:rPr>
          <w:rFonts w:ascii="Arial" w:hAnsi="Arial" w:cs="Arial"/>
          <w:sz w:val="20"/>
          <w:szCs w:val="20"/>
          <w:lang w:val="en-US"/>
        </w:rPr>
      </w:pPr>
      <w:r w:rsidRPr="002148A8">
        <w:rPr>
          <w:rFonts w:ascii="Arial" w:hAnsi="Arial" w:cs="Arial"/>
          <w:sz w:val="20"/>
          <w:szCs w:val="20"/>
          <w:lang w:val="en-US"/>
        </w:rPr>
        <w:t>These aggregations will be excluded from the observation and publication:</w:t>
      </w:r>
    </w:p>
    <w:p w:rsidR="00916716" w:rsidRPr="002148A8" w:rsidRDefault="00916716" w:rsidP="00916716">
      <w:pPr>
        <w:pStyle w:val="Normlnweb"/>
        <w:spacing w:before="0" w:beforeAutospacing="0" w:after="0" w:afterAutospacing="0" w:line="276" w:lineRule="auto"/>
        <w:jc w:val="both"/>
        <w:rPr>
          <w:rFonts w:ascii="Arial" w:hAnsi="Arial" w:cs="Arial"/>
          <w:sz w:val="20"/>
          <w:szCs w:val="20"/>
          <w:lang w:val="en-US"/>
        </w:rPr>
      </w:pPr>
      <w:r w:rsidRPr="002148A8">
        <w:rPr>
          <w:rFonts w:ascii="Arial" w:hAnsi="Arial" w:cs="Arial"/>
          <w:sz w:val="20"/>
          <w:szCs w:val="20"/>
          <w:lang w:val="en-US"/>
        </w:rPr>
        <w:t xml:space="preserve">CA120 - Tobacco products </w:t>
      </w:r>
    </w:p>
    <w:p w:rsidR="00916716" w:rsidRPr="002148A8" w:rsidRDefault="00916716" w:rsidP="00916716">
      <w:pPr>
        <w:pStyle w:val="Normlnweb"/>
        <w:spacing w:before="0" w:beforeAutospacing="0" w:after="0" w:afterAutospacing="0" w:line="276" w:lineRule="auto"/>
        <w:jc w:val="both"/>
        <w:rPr>
          <w:rFonts w:ascii="Arial" w:hAnsi="Arial" w:cs="Arial"/>
          <w:sz w:val="20"/>
          <w:szCs w:val="20"/>
          <w:lang w:val="en-US"/>
        </w:rPr>
      </w:pPr>
      <w:r w:rsidRPr="002148A8">
        <w:rPr>
          <w:rFonts w:ascii="Arial" w:hAnsi="Arial" w:cs="Arial"/>
          <w:sz w:val="20"/>
          <w:szCs w:val="20"/>
          <w:lang w:val="en-US"/>
        </w:rPr>
        <w:t>C</w:t>
      </w:r>
      <w:r>
        <w:rPr>
          <w:rFonts w:ascii="Arial" w:hAnsi="Arial" w:cs="Arial"/>
          <w:sz w:val="20"/>
          <w:szCs w:val="20"/>
          <w:lang w:val="en-US"/>
        </w:rPr>
        <w:t>B</w:t>
      </w:r>
      <w:r w:rsidRPr="002148A8">
        <w:rPr>
          <w:rFonts w:ascii="Arial" w:hAnsi="Arial" w:cs="Arial"/>
          <w:sz w:val="20"/>
          <w:szCs w:val="20"/>
          <w:lang w:val="en-US"/>
        </w:rPr>
        <w:t>151 - Tanned and dressed leather; luggage, handbags, saddlery and harness</w:t>
      </w:r>
    </w:p>
    <w:p w:rsidR="00916716" w:rsidRPr="002148A8" w:rsidRDefault="00916716" w:rsidP="00916716">
      <w:pPr>
        <w:pStyle w:val="Normlnweb"/>
        <w:spacing w:before="0" w:beforeAutospacing="0" w:after="0" w:afterAutospacing="0" w:line="276" w:lineRule="auto"/>
        <w:jc w:val="both"/>
        <w:rPr>
          <w:rFonts w:ascii="Arial" w:hAnsi="Arial" w:cs="Arial"/>
          <w:sz w:val="20"/>
          <w:szCs w:val="20"/>
          <w:lang w:val="en-US"/>
        </w:rPr>
      </w:pPr>
      <w:r w:rsidRPr="002148A8">
        <w:rPr>
          <w:rFonts w:ascii="Arial" w:hAnsi="Arial" w:cs="Arial"/>
          <w:sz w:val="20"/>
          <w:szCs w:val="20"/>
          <w:lang w:val="en-US"/>
        </w:rPr>
        <w:t>CH253 - Steam generators, except central heating hot water boilers</w:t>
      </w:r>
    </w:p>
    <w:p w:rsidR="00916716" w:rsidRDefault="00916716" w:rsidP="00916716">
      <w:pPr>
        <w:pStyle w:val="Normlnweb"/>
        <w:spacing w:before="0" w:beforeAutospacing="0" w:after="0" w:afterAutospacing="0" w:line="276" w:lineRule="auto"/>
        <w:rPr>
          <w:rFonts w:ascii="Arial" w:hAnsi="Arial" w:cs="Arial"/>
          <w:sz w:val="20"/>
          <w:szCs w:val="20"/>
          <w:lang w:val="en-US"/>
        </w:rPr>
      </w:pPr>
      <w:r>
        <w:rPr>
          <w:rFonts w:ascii="Arial" w:hAnsi="Arial" w:cs="Arial"/>
          <w:sz w:val="20"/>
          <w:szCs w:val="20"/>
          <w:lang w:val="en-US"/>
        </w:rPr>
        <w:t>All subsections from CA to CM will be excluded, because they are not a part of classification already.</w:t>
      </w:r>
    </w:p>
    <w:p w:rsidR="00916716" w:rsidRPr="002148A8" w:rsidRDefault="00916716" w:rsidP="00916716">
      <w:pPr>
        <w:pStyle w:val="Normlnweb"/>
        <w:spacing w:before="0" w:beforeAutospacing="0" w:after="0" w:afterAutospacing="0" w:line="276" w:lineRule="auto"/>
        <w:jc w:val="both"/>
        <w:rPr>
          <w:rFonts w:ascii="Arial" w:hAnsi="Arial" w:cs="Arial"/>
          <w:sz w:val="20"/>
          <w:szCs w:val="20"/>
          <w:lang w:val="en-US"/>
        </w:rPr>
      </w:pPr>
    </w:p>
    <w:p w:rsidR="00916716" w:rsidRPr="00916716" w:rsidRDefault="00916716" w:rsidP="00916716">
      <w:pPr>
        <w:rPr>
          <w:rFonts w:cs="Arial"/>
          <w:b/>
          <w:szCs w:val="20"/>
          <w:lang w:val="en-US"/>
        </w:rPr>
      </w:pPr>
      <w:r w:rsidRPr="00916716">
        <w:rPr>
          <w:rFonts w:cs="Arial"/>
          <w:b/>
          <w:szCs w:val="20"/>
          <w:lang w:val="en-US"/>
        </w:rPr>
        <w:t>Publication of price indices for January 2023 will be postponed in accordance with ‘Catalogue of Products 2023’ to February 28, 2023.</w:t>
      </w:r>
    </w:p>
    <w:p w:rsidR="00065E35" w:rsidRPr="00612AAD" w:rsidRDefault="00065E35" w:rsidP="00065E35">
      <w:pPr>
        <w:pStyle w:val="Poznmky"/>
        <w:rPr>
          <w:color w:val="auto"/>
          <w:lang w:val="en-GB"/>
        </w:rPr>
      </w:pPr>
      <w:r w:rsidRPr="00612AAD">
        <w:rPr>
          <w:color w:val="auto"/>
          <w:lang w:val="en-GB"/>
        </w:rPr>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t xml:space="preserve">Jiří Mrázek,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8"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t>Jiří Šulc, Head of Agricultural, Construction, and Services Prices Statistics Unit, phone (+420) 274 052 148</w:t>
      </w:r>
      <w:proofErr w:type="gramStart"/>
      <w:r w:rsidRPr="0033589F">
        <w:rPr>
          <w:i/>
          <w:sz w:val="18"/>
          <w:szCs w:val="18"/>
          <w:lang w:val="en-GB"/>
        </w:rPr>
        <w:t>,</w:t>
      </w:r>
      <w:proofErr w:type="gramEnd"/>
      <w:r w:rsidRPr="0033589F">
        <w:rPr>
          <w:i/>
          <w:sz w:val="18"/>
          <w:szCs w:val="18"/>
          <w:lang w:val="en-GB"/>
        </w:rPr>
        <w:br/>
        <w:t xml:space="preserve">e-mail: </w:t>
      </w:r>
      <w:hyperlink r:id="rId9"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r w:rsidRPr="0033589F">
        <w:rPr>
          <w:i/>
          <w:sz w:val="18"/>
          <w:szCs w:val="18"/>
          <w:lang w:val="en-GB"/>
        </w:rPr>
        <w:t xml:space="preserve">Miloslav </w:t>
      </w:r>
      <w:r w:rsidRPr="000C1318">
        <w:rPr>
          <w:i/>
          <w:sz w:val="18"/>
          <w:szCs w:val="18"/>
          <w:lang w:val="en-GB"/>
        </w:rPr>
        <w:t xml:space="preserve">Beránek,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10"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w:t>
      </w:r>
      <w:r w:rsidR="00EB02AD">
        <w:rPr>
          <w:i/>
          <w:sz w:val="18"/>
          <w:szCs w:val="18"/>
          <w:lang w:val="en-GB"/>
        </w:rPr>
        <w:t>2</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EB02AD">
        <w:rPr>
          <w:i/>
          <w:sz w:val="18"/>
          <w:szCs w:val="18"/>
          <w:lang w:val="en-GB"/>
        </w:rPr>
        <w:t>22</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A30AA3">
        <w:rPr>
          <w:i/>
          <w:sz w:val="18"/>
          <w:szCs w:val="18"/>
          <w:lang w:val="en-GB"/>
        </w:rPr>
        <w:t>22</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A30AA3">
        <w:rPr>
          <w:i/>
          <w:sz w:val="18"/>
          <w:szCs w:val="18"/>
          <w:lang w:val="en-GB"/>
        </w:rPr>
        <w:t>22</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1"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46273D">
        <w:rPr>
          <w:i/>
          <w:sz w:val="18"/>
          <w:szCs w:val="18"/>
          <w:lang w:val="en-GB"/>
        </w:rPr>
        <w:t>1</w:t>
      </w:r>
      <w:r w:rsidR="0026469E">
        <w:rPr>
          <w:i/>
          <w:sz w:val="18"/>
          <w:szCs w:val="18"/>
          <w:lang w:val="en-GB"/>
        </w:rPr>
        <w:t>6</w:t>
      </w:r>
      <w:r w:rsidR="00A945E9">
        <w:rPr>
          <w:i/>
          <w:sz w:val="18"/>
          <w:szCs w:val="18"/>
          <w:lang w:val="en-GB"/>
        </w:rPr>
        <w:t xml:space="preserve"> </w:t>
      </w:r>
      <w:r w:rsidR="00FA63C5">
        <w:rPr>
          <w:i/>
          <w:sz w:val="18"/>
          <w:szCs w:val="18"/>
          <w:lang w:val="en-GB"/>
        </w:rPr>
        <w:t>January</w:t>
      </w:r>
      <w:r>
        <w:rPr>
          <w:i/>
          <w:sz w:val="18"/>
          <w:szCs w:val="18"/>
          <w:lang w:val="en-GB"/>
        </w:rPr>
        <w:t xml:space="preserve"> </w:t>
      </w:r>
      <w:r w:rsidRPr="00FD4669">
        <w:rPr>
          <w:i/>
          <w:sz w:val="18"/>
          <w:szCs w:val="18"/>
          <w:lang w:val="en-GB"/>
        </w:rPr>
        <w:t>20</w:t>
      </w:r>
      <w:r w:rsidR="002B2539">
        <w:rPr>
          <w:i/>
          <w:sz w:val="18"/>
          <w:szCs w:val="18"/>
          <w:lang w:val="en-GB"/>
        </w:rPr>
        <w:t>2</w:t>
      </w:r>
      <w:r w:rsidR="00FA63C5">
        <w:rPr>
          <w:i/>
          <w:sz w:val="18"/>
          <w:szCs w:val="18"/>
          <w:lang w:val="en-GB"/>
        </w:rPr>
        <w:t>3</w:t>
      </w:r>
    </w:p>
    <w:p w:rsidR="00065E35" w:rsidRPr="00FD4669"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065E35" w:rsidRPr="00FD4669"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0CE" w:rsidRDefault="001D00CE" w:rsidP="00BA6370">
      <w:r>
        <w:separator/>
      </w:r>
    </w:p>
  </w:endnote>
  <w:endnote w:type="continuationSeparator" w:id="0">
    <w:p w:rsidR="001D00CE" w:rsidRDefault="001D00CE"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14:anchorId="04686A50" wp14:editId="34C3237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F06B7C">
                            <w:rPr>
                              <w:rFonts w:cs="Arial"/>
                              <w:noProof/>
                              <w:szCs w:val="15"/>
                            </w:rPr>
                            <w:t>4</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6A5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F06B7C">
                      <w:rPr>
                        <w:rFonts w:cs="Arial"/>
                        <w:noProof/>
                        <w:szCs w:val="15"/>
                      </w:rPr>
                      <w:t>4</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3D34E3CD" wp14:editId="3113F93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7670C9C"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0CE" w:rsidRDefault="001D00CE" w:rsidP="00BA6370">
      <w:r>
        <w:separator/>
      </w:r>
    </w:p>
  </w:footnote>
  <w:footnote w:type="continuationSeparator" w:id="0">
    <w:p w:rsidR="001D00CE" w:rsidRDefault="001D00CE"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14:anchorId="38689238" wp14:editId="1EBE44F7">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1ED76"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4BE2"/>
    <w:multiLevelType w:val="hybridMultilevel"/>
    <w:tmpl w:val="487A0642"/>
    <w:lvl w:ilvl="0" w:tplc="3E98A310">
      <w:start w:val="16"/>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004B"/>
    <w:rsid w:val="0000115E"/>
    <w:rsid w:val="00001757"/>
    <w:rsid w:val="0000222B"/>
    <w:rsid w:val="000024C2"/>
    <w:rsid w:val="00002655"/>
    <w:rsid w:val="00003CF3"/>
    <w:rsid w:val="00003DE0"/>
    <w:rsid w:val="00005B99"/>
    <w:rsid w:val="000062E9"/>
    <w:rsid w:val="00006528"/>
    <w:rsid w:val="00006FCF"/>
    <w:rsid w:val="0001022F"/>
    <w:rsid w:val="00012524"/>
    <w:rsid w:val="0001254E"/>
    <w:rsid w:val="00012ADC"/>
    <w:rsid w:val="00015F0D"/>
    <w:rsid w:val="0001684D"/>
    <w:rsid w:val="00016A93"/>
    <w:rsid w:val="00016C77"/>
    <w:rsid w:val="00016D93"/>
    <w:rsid w:val="0002169B"/>
    <w:rsid w:val="00021CA7"/>
    <w:rsid w:val="000220E5"/>
    <w:rsid w:val="00022673"/>
    <w:rsid w:val="0002456F"/>
    <w:rsid w:val="00024C45"/>
    <w:rsid w:val="00024F1F"/>
    <w:rsid w:val="000267AC"/>
    <w:rsid w:val="00033267"/>
    <w:rsid w:val="00033AB5"/>
    <w:rsid w:val="00040027"/>
    <w:rsid w:val="0004042A"/>
    <w:rsid w:val="000408AA"/>
    <w:rsid w:val="00040AF5"/>
    <w:rsid w:val="000414CB"/>
    <w:rsid w:val="00041A6A"/>
    <w:rsid w:val="000432B1"/>
    <w:rsid w:val="00043BF4"/>
    <w:rsid w:val="0004444C"/>
    <w:rsid w:val="00044638"/>
    <w:rsid w:val="000446BA"/>
    <w:rsid w:val="00044C25"/>
    <w:rsid w:val="0004564D"/>
    <w:rsid w:val="00045EB5"/>
    <w:rsid w:val="00050209"/>
    <w:rsid w:val="00051953"/>
    <w:rsid w:val="00052F40"/>
    <w:rsid w:val="000558FC"/>
    <w:rsid w:val="00055DEF"/>
    <w:rsid w:val="00057519"/>
    <w:rsid w:val="00057807"/>
    <w:rsid w:val="00061495"/>
    <w:rsid w:val="0006166F"/>
    <w:rsid w:val="00062F5D"/>
    <w:rsid w:val="000643D8"/>
    <w:rsid w:val="00065621"/>
    <w:rsid w:val="00065E35"/>
    <w:rsid w:val="0006793E"/>
    <w:rsid w:val="0007237C"/>
    <w:rsid w:val="0007305E"/>
    <w:rsid w:val="00075BBD"/>
    <w:rsid w:val="00075CC0"/>
    <w:rsid w:val="00076280"/>
    <w:rsid w:val="0007658F"/>
    <w:rsid w:val="00081C51"/>
    <w:rsid w:val="00082745"/>
    <w:rsid w:val="00083107"/>
    <w:rsid w:val="000839C2"/>
    <w:rsid w:val="000843A5"/>
    <w:rsid w:val="000858B3"/>
    <w:rsid w:val="00087844"/>
    <w:rsid w:val="000902AB"/>
    <w:rsid w:val="00091722"/>
    <w:rsid w:val="00094A9C"/>
    <w:rsid w:val="00094DD9"/>
    <w:rsid w:val="000968B8"/>
    <w:rsid w:val="00097A44"/>
    <w:rsid w:val="000A01BF"/>
    <w:rsid w:val="000A07B8"/>
    <w:rsid w:val="000A146E"/>
    <w:rsid w:val="000A1EE0"/>
    <w:rsid w:val="000A2F95"/>
    <w:rsid w:val="000A37E5"/>
    <w:rsid w:val="000A3BF5"/>
    <w:rsid w:val="000A657A"/>
    <w:rsid w:val="000A6BD4"/>
    <w:rsid w:val="000B51FA"/>
    <w:rsid w:val="000B6F63"/>
    <w:rsid w:val="000B755A"/>
    <w:rsid w:val="000B75E6"/>
    <w:rsid w:val="000C0572"/>
    <w:rsid w:val="000C0742"/>
    <w:rsid w:val="000C0880"/>
    <w:rsid w:val="000C0996"/>
    <w:rsid w:val="000C19A1"/>
    <w:rsid w:val="000C2BEA"/>
    <w:rsid w:val="000C2DDD"/>
    <w:rsid w:val="000C307F"/>
    <w:rsid w:val="000C47EE"/>
    <w:rsid w:val="000C5CE8"/>
    <w:rsid w:val="000C622B"/>
    <w:rsid w:val="000D0339"/>
    <w:rsid w:val="000D1D9B"/>
    <w:rsid w:val="000D22E8"/>
    <w:rsid w:val="000D349D"/>
    <w:rsid w:val="000D3C10"/>
    <w:rsid w:val="000D4056"/>
    <w:rsid w:val="000D406C"/>
    <w:rsid w:val="000D4BCC"/>
    <w:rsid w:val="000D560C"/>
    <w:rsid w:val="000D63D6"/>
    <w:rsid w:val="000E1EF9"/>
    <w:rsid w:val="000E4410"/>
    <w:rsid w:val="000E4F2C"/>
    <w:rsid w:val="000E4FD3"/>
    <w:rsid w:val="000E5D41"/>
    <w:rsid w:val="000E691A"/>
    <w:rsid w:val="000E6CED"/>
    <w:rsid w:val="000E7A93"/>
    <w:rsid w:val="000F03F6"/>
    <w:rsid w:val="000F59F7"/>
    <w:rsid w:val="000F6A02"/>
    <w:rsid w:val="000F7259"/>
    <w:rsid w:val="000F7550"/>
    <w:rsid w:val="00101AA5"/>
    <w:rsid w:val="00101E95"/>
    <w:rsid w:val="00102D0C"/>
    <w:rsid w:val="00103EC2"/>
    <w:rsid w:val="0010402C"/>
    <w:rsid w:val="00105296"/>
    <w:rsid w:val="00110503"/>
    <w:rsid w:val="00112600"/>
    <w:rsid w:val="0011370C"/>
    <w:rsid w:val="00113799"/>
    <w:rsid w:val="00113D87"/>
    <w:rsid w:val="00114A6A"/>
    <w:rsid w:val="00114D6B"/>
    <w:rsid w:val="00116ED1"/>
    <w:rsid w:val="00116F60"/>
    <w:rsid w:val="0012040A"/>
    <w:rsid w:val="00120C66"/>
    <w:rsid w:val="00123849"/>
    <w:rsid w:val="0013242C"/>
    <w:rsid w:val="0013601F"/>
    <w:rsid w:val="00136630"/>
    <w:rsid w:val="00136EE5"/>
    <w:rsid w:val="001404AB"/>
    <w:rsid w:val="00142B6F"/>
    <w:rsid w:val="001461A9"/>
    <w:rsid w:val="00147509"/>
    <w:rsid w:val="00147868"/>
    <w:rsid w:val="00150009"/>
    <w:rsid w:val="001505E2"/>
    <w:rsid w:val="001513E5"/>
    <w:rsid w:val="00155E55"/>
    <w:rsid w:val="001564BA"/>
    <w:rsid w:val="00157924"/>
    <w:rsid w:val="001579CA"/>
    <w:rsid w:val="00161B97"/>
    <w:rsid w:val="00162608"/>
    <w:rsid w:val="00162F83"/>
    <w:rsid w:val="00163B00"/>
    <w:rsid w:val="001648E1"/>
    <w:rsid w:val="00164C34"/>
    <w:rsid w:val="00167172"/>
    <w:rsid w:val="001719B1"/>
    <w:rsid w:val="0017231D"/>
    <w:rsid w:val="00172A42"/>
    <w:rsid w:val="001733A5"/>
    <w:rsid w:val="00173A4D"/>
    <w:rsid w:val="00174118"/>
    <w:rsid w:val="00174229"/>
    <w:rsid w:val="001744F5"/>
    <w:rsid w:val="00176E26"/>
    <w:rsid w:val="001778C3"/>
    <w:rsid w:val="00177E7E"/>
    <w:rsid w:val="001801EB"/>
    <w:rsid w:val="0018061F"/>
    <w:rsid w:val="001810DC"/>
    <w:rsid w:val="0018217C"/>
    <w:rsid w:val="00182E9D"/>
    <w:rsid w:val="0018713E"/>
    <w:rsid w:val="0018722E"/>
    <w:rsid w:val="001873E6"/>
    <w:rsid w:val="00187818"/>
    <w:rsid w:val="001900A6"/>
    <w:rsid w:val="001903AD"/>
    <w:rsid w:val="001920A3"/>
    <w:rsid w:val="001930F8"/>
    <w:rsid w:val="001945D0"/>
    <w:rsid w:val="001954F5"/>
    <w:rsid w:val="00195892"/>
    <w:rsid w:val="00195A1C"/>
    <w:rsid w:val="0019785A"/>
    <w:rsid w:val="001A113D"/>
    <w:rsid w:val="001A2263"/>
    <w:rsid w:val="001A3E6F"/>
    <w:rsid w:val="001A41CF"/>
    <w:rsid w:val="001A5BD9"/>
    <w:rsid w:val="001B047B"/>
    <w:rsid w:val="001B134F"/>
    <w:rsid w:val="001B29BD"/>
    <w:rsid w:val="001B29C0"/>
    <w:rsid w:val="001B31AB"/>
    <w:rsid w:val="001B4183"/>
    <w:rsid w:val="001B512F"/>
    <w:rsid w:val="001B53D6"/>
    <w:rsid w:val="001B5660"/>
    <w:rsid w:val="001B607F"/>
    <w:rsid w:val="001C0C04"/>
    <w:rsid w:val="001C4097"/>
    <w:rsid w:val="001C5D31"/>
    <w:rsid w:val="001C71FD"/>
    <w:rsid w:val="001D00CE"/>
    <w:rsid w:val="001D02C7"/>
    <w:rsid w:val="001D2CBD"/>
    <w:rsid w:val="001D330A"/>
    <w:rsid w:val="001D369A"/>
    <w:rsid w:val="001D568B"/>
    <w:rsid w:val="001D6222"/>
    <w:rsid w:val="001D7DB8"/>
    <w:rsid w:val="001E2A67"/>
    <w:rsid w:val="001E5A49"/>
    <w:rsid w:val="001E6D3E"/>
    <w:rsid w:val="001E7600"/>
    <w:rsid w:val="001F08B3"/>
    <w:rsid w:val="001F0BC7"/>
    <w:rsid w:val="001F3C41"/>
    <w:rsid w:val="001F40B6"/>
    <w:rsid w:val="001F49C0"/>
    <w:rsid w:val="001F61F6"/>
    <w:rsid w:val="001F6891"/>
    <w:rsid w:val="001F79D6"/>
    <w:rsid w:val="001F7A88"/>
    <w:rsid w:val="00200C55"/>
    <w:rsid w:val="00200D37"/>
    <w:rsid w:val="00202F61"/>
    <w:rsid w:val="0020367F"/>
    <w:rsid w:val="00203889"/>
    <w:rsid w:val="00204C2B"/>
    <w:rsid w:val="00205521"/>
    <w:rsid w:val="002059B9"/>
    <w:rsid w:val="00206327"/>
    <w:rsid w:val="002070FB"/>
    <w:rsid w:val="0021069C"/>
    <w:rsid w:val="00212AEC"/>
    <w:rsid w:val="00212F3F"/>
    <w:rsid w:val="00213729"/>
    <w:rsid w:val="00221CFC"/>
    <w:rsid w:val="00222A63"/>
    <w:rsid w:val="00224820"/>
    <w:rsid w:val="00224AC7"/>
    <w:rsid w:val="00225D6F"/>
    <w:rsid w:val="0022780B"/>
    <w:rsid w:val="0023023A"/>
    <w:rsid w:val="002306A6"/>
    <w:rsid w:val="00231715"/>
    <w:rsid w:val="00232353"/>
    <w:rsid w:val="002324CC"/>
    <w:rsid w:val="00232E53"/>
    <w:rsid w:val="00233D91"/>
    <w:rsid w:val="002340EA"/>
    <w:rsid w:val="002343B5"/>
    <w:rsid w:val="0023525F"/>
    <w:rsid w:val="00235EC8"/>
    <w:rsid w:val="00237527"/>
    <w:rsid w:val="00237EC7"/>
    <w:rsid w:val="002406E0"/>
    <w:rsid w:val="002406FA"/>
    <w:rsid w:val="00241F79"/>
    <w:rsid w:val="002428B8"/>
    <w:rsid w:val="002435DF"/>
    <w:rsid w:val="002462F4"/>
    <w:rsid w:val="00246D73"/>
    <w:rsid w:val="00250FC0"/>
    <w:rsid w:val="0025108A"/>
    <w:rsid w:val="0025204E"/>
    <w:rsid w:val="00252778"/>
    <w:rsid w:val="00252956"/>
    <w:rsid w:val="00253EE1"/>
    <w:rsid w:val="00254A75"/>
    <w:rsid w:val="002554D7"/>
    <w:rsid w:val="00261B1B"/>
    <w:rsid w:val="00261D5F"/>
    <w:rsid w:val="0026200D"/>
    <w:rsid w:val="00263106"/>
    <w:rsid w:val="0026469E"/>
    <w:rsid w:val="00267EAE"/>
    <w:rsid w:val="00267F53"/>
    <w:rsid w:val="0027037E"/>
    <w:rsid w:val="002712F1"/>
    <w:rsid w:val="0027428D"/>
    <w:rsid w:val="00274F56"/>
    <w:rsid w:val="0027510B"/>
    <w:rsid w:val="002751B7"/>
    <w:rsid w:val="0027535F"/>
    <w:rsid w:val="00275D28"/>
    <w:rsid w:val="002766C8"/>
    <w:rsid w:val="00280651"/>
    <w:rsid w:val="00280EBE"/>
    <w:rsid w:val="00281454"/>
    <w:rsid w:val="00281544"/>
    <w:rsid w:val="00281BA6"/>
    <w:rsid w:val="00282243"/>
    <w:rsid w:val="00284D45"/>
    <w:rsid w:val="00286218"/>
    <w:rsid w:val="0028660B"/>
    <w:rsid w:val="00286A75"/>
    <w:rsid w:val="00291854"/>
    <w:rsid w:val="00293221"/>
    <w:rsid w:val="00295209"/>
    <w:rsid w:val="00297900"/>
    <w:rsid w:val="00297A38"/>
    <w:rsid w:val="002A22ED"/>
    <w:rsid w:val="002A3848"/>
    <w:rsid w:val="002A3F55"/>
    <w:rsid w:val="002A7363"/>
    <w:rsid w:val="002A7B16"/>
    <w:rsid w:val="002B0047"/>
    <w:rsid w:val="002B06BE"/>
    <w:rsid w:val="002B1222"/>
    <w:rsid w:val="002B161D"/>
    <w:rsid w:val="002B2539"/>
    <w:rsid w:val="002B2604"/>
    <w:rsid w:val="002B2E47"/>
    <w:rsid w:val="002B3589"/>
    <w:rsid w:val="002B39CD"/>
    <w:rsid w:val="002B4A54"/>
    <w:rsid w:val="002B5C12"/>
    <w:rsid w:val="002B61B3"/>
    <w:rsid w:val="002C4821"/>
    <w:rsid w:val="002C5F17"/>
    <w:rsid w:val="002C68BC"/>
    <w:rsid w:val="002D040C"/>
    <w:rsid w:val="002D04EF"/>
    <w:rsid w:val="002D1997"/>
    <w:rsid w:val="002D1FCE"/>
    <w:rsid w:val="002D243D"/>
    <w:rsid w:val="002D3355"/>
    <w:rsid w:val="002D37F5"/>
    <w:rsid w:val="002D58DA"/>
    <w:rsid w:val="002E0015"/>
    <w:rsid w:val="002E19FE"/>
    <w:rsid w:val="002E1FF4"/>
    <w:rsid w:val="002E2424"/>
    <w:rsid w:val="002E42DB"/>
    <w:rsid w:val="002E4F83"/>
    <w:rsid w:val="002E7D5B"/>
    <w:rsid w:val="002F1615"/>
    <w:rsid w:val="002F1719"/>
    <w:rsid w:val="002F1832"/>
    <w:rsid w:val="002F1C49"/>
    <w:rsid w:val="002F4214"/>
    <w:rsid w:val="002F448A"/>
    <w:rsid w:val="002F4F7B"/>
    <w:rsid w:val="002F5503"/>
    <w:rsid w:val="002F62E1"/>
    <w:rsid w:val="00300F31"/>
    <w:rsid w:val="00302BF6"/>
    <w:rsid w:val="00302DC1"/>
    <w:rsid w:val="00303CBF"/>
    <w:rsid w:val="00304F37"/>
    <w:rsid w:val="003068A8"/>
    <w:rsid w:val="00307A7C"/>
    <w:rsid w:val="00313CE7"/>
    <w:rsid w:val="00313D2E"/>
    <w:rsid w:val="003141F8"/>
    <w:rsid w:val="003141FF"/>
    <w:rsid w:val="00314574"/>
    <w:rsid w:val="0031487D"/>
    <w:rsid w:val="00314CDE"/>
    <w:rsid w:val="00314DF4"/>
    <w:rsid w:val="00315762"/>
    <w:rsid w:val="0031586D"/>
    <w:rsid w:val="0031615A"/>
    <w:rsid w:val="003162B3"/>
    <w:rsid w:val="003169A2"/>
    <w:rsid w:val="003171D8"/>
    <w:rsid w:val="00320BD6"/>
    <w:rsid w:val="0032116E"/>
    <w:rsid w:val="00322022"/>
    <w:rsid w:val="0032291A"/>
    <w:rsid w:val="0032398D"/>
    <w:rsid w:val="00324014"/>
    <w:rsid w:val="003262CE"/>
    <w:rsid w:val="00326543"/>
    <w:rsid w:val="00327B65"/>
    <w:rsid w:val="003301A3"/>
    <w:rsid w:val="003311F6"/>
    <w:rsid w:val="0033136D"/>
    <w:rsid w:val="0033376C"/>
    <w:rsid w:val="00335017"/>
    <w:rsid w:val="003351E0"/>
    <w:rsid w:val="00336B27"/>
    <w:rsid w:val="0033706B"/>
    <w:rsid w:val="00341DAD"/>
    <w:rsid w:val="00342BFF"/>
    <w:rsid w:val="003433E0"/>
    <w:rsid w:val="003450D8"/>
    <w:rsid w:val="00347CBC"/>
    <w:rsid w:val="00351BB1"/>
    <w:rsid w:val="00354A70"/>
    <w:rsid w:val="003555AF"/>
    <w:rsid w:val="00355781"/>
    <w:rsid w:val="0035776A"/>
    <w:rsid w:val="00357A3B"/>
    <w:rsid w:val="003609E6"/>
    <w:rsid w:val="00360F4C"/>
    <w:rsid w:val="00362AB1"/>
    <w:rsid w:val="00362B7D"/>
    <w:rsid w:val="00364B3A"/>
    <w:rsid w:val="00365938"/>
    <w:rsid w:val="003665A2"/>
    <w:rsid w:val="003665A6"/>
    <w:rsid w:val="003668FA"/>
    <w:rsid w:val="00366B9C"/>
    <w:rsid w:val="0036743D"/>
    <w:rsid w:val="00367458"/>
    <w:rsid w:val="0036777B"/>
    <w:rsid w:val="003704B7"/>
    <w:rsid w:val="00371276"/>
    <w:rsid w:val="00371AA0"/>
    <w:rsid w:val="003725A0"/>
    <w:rsid w:val="00374FD7"/>
    <w:rsid w:val="003766F3"/>
    <w:rsid w:val="00377F2F"/>
    <w:rsid w:val="00380178"/>
    <w:rsid w:val="00381312"/>
    <w:rsid w:val="0038282A"/>
    <w:rsid w:val="003845B0"/>
    <w:rsid w:val="00384F1D"/>
    <w:rsid w:val="003862C2"/>
    <w:rsid w:val="003872B8"/>
    <w:rsid w:val="00390931"/>
    <w:rsid w:val="003932EE"/>
    <w:rsid w:val="00397580"/>
    <w:rsid w:val="003A013B"/>
    <w:rsid w:val="003A1845"/>
    <w:rsid w:val="003A1BAC"/>
    <w:rsid w:val="003A23E8"/>
    <w:rsid w:val="003A45C8"/>
    <w:rsid w:val="003A45E7"/>
    <w:rsid w:val="003A5BB2"/>
    <w:rsid w:val="003B05C2"/>
    <w:rsid w:val="003B0ADA"/>
    <w:rsid w:val="003B0CF4"/>
    <w:rsid w:val="003B3CFC"/>
    <w:rsid w:val="003B5AD8"/>
    <w:rsid w:val="003B7F42"/>
    <w:rsid w:val="003C0474"/>
    <w:rsid w:val="003C0CE9"/>
    <w:rsid w:val="003C136F"/>
    <w:rsid w:val="003C1F78"/>
    <w:rsid w:val="003C2DCF"/>
    <w:rsid w:val="003C3370"/>
    <w:rsid w:val="003C3372"/>
    <w:rsid w:val="003C5048"/>
    <w:rsid w:val="003C5B15"/>
    <w:rsid w:val="003C6A4F"/>
    <w:rsid w:val="003C754B"/>
    <w:rsid w:val="003C7FE7"/>
    <w:rsid w:val="003D0499"/>
    <w:rsid w:val="003D0C9E"/>
    <w:rsid w:val="003D12A0"/>
    <w:rsid w:val="003D2D23"/>
    <w:rsid w:val="003D3576"/>
    <w:rsid w:val="003D4D2C"/>
    <w:rsid w:val="003D4D36"/>
    <w:rsid w:val="003D54FF"/>
    <w:rsid w:val="003E10E5"/>
    <w:rsid w:val="003E2D81"/>
    <w:rsid w:val="003E36A7"/>
    <w:rsid w:val="003E3B32"/>
    <w:rsid w:val="003E5584"/>
    <w:rsid w:val="003E5A57"/>
    <w:rsid w:val="003E5F14"/>
    <w:rsid w:val="003E774F"/>
    <w:rsid w:val="003F0FAC"/>
    <w:rsid w:val="003F388C"/>
    <w:rsid w:val="003F526A"/>
    <w:rsid w:val="003F6677"/>
    <w:rsid w:val="003F76CB"/>
    <w:rsid w:val="003F78AA"/>
    <w:rsid w:val="00400750"/>
    <w:rsid w:val="00403078"/>
    <w:rsid w:val="00403D09"/>
    <w:rsid w:val="00404E30"/>
    <w:rsid w:val="00405244"/>
    <w:rsid w:val="0040553E"/>
    <w:rsid w:val="00405C5B"/>
    <w:rsid w:val="00405D34"/>
    <w:rsid w:val="004101C4"/>
    <w:rsid w:val="00410B6C"/>
    <w:rsid w:val="00411DC4"/>
    <w:rsid w:val="00412080"/>
    <w:rsid w:val="00413020"/>
    <w:rsid w:val="00414950"/>
    <w:rsid w:val="00414F50"/>
    <w:rsid w:val="00414F57"/>
    <w:rsid w:val="00415F6E"/>
    <w:rsid w:val="00417018"/>
    <w:rsid w:val="0041796A"/>
    <w:rsid w:val="004205DE"/>
    <w:rsid w:val="00420A2C"/>
    <w:rsid w:val="00421F39"/>
    <w:rsid w:val="00422A8A"/>
    <w:rsid w:val="00424D73"/>
    <w:rsid w:val="00424D75"/>
    <w:rsid w:val="00425524"/>
    <w:rsid w:val="00425D3C"/>
    <w:rsid w:val="00426F33"/>
    <w:rsid w:val="00427AD2"/>
    <w:rsid w:val="00427E7E"/>
    <w:rsid w:val="00430AA6"/>
    <w:rsid w:val="00430BB5"/>
    <w:rsid w:val="0043128A"/>
    <w:rsid w:val="004339E0"/>
    <w:rsid w:val="00433F70"/>
    <w:rsid w:val="00436B7B"/>
    <w:rsid w:val="00436D82"/>
    <w:rsid w:val="004373DC"/>
    <w:rsid w:val="00441E17"/>
    <w:rsid w:val="004434E9"/>
    <w:rsid w:val="004436EE"/>
    <w:rsid w:val="00444896"/>
    <w:rsid w:val="00446871"/>
    <w:rsid w:val="00447DF8"/>
    <w:rsid w:val="004503B2"/>
    <w:rsid w:val="0045478A"/>
    <w:rsid w:val="00454B3B"/>
    <w:rsid w:val="0045525F"/>
    <w:rsid w:val="0045547F"/>
    <w:rsid w:val="00457202"/>
    <w:rsid w:val="0046078A"/>
    <w:rsid w:val="004612A3"/>
    <w:rsid w:val="0046273D"/>
    <w:rsid w:val="00462A11"/>
    <w:rsid w:val="004636F6"/>
    <w:rsid w:val="004641C7"/>
    <w:rsid w:val="004660A3"/>
    <w:rsid w:val="00470B68"/>
    <w:rsid w:val="00474D79"/>
    <w:rsid w:val="00477267"/>
    <w:rsid w:val="00481618"/>
    <w:rsid w:val="00482F79"/>
    <w:rsid w:val="0048418E"/>
    <w:rsid w:val="00484952"/>
    <w:rsid w:val="004862B4"/>
    <w:rsid w:val="0049082D"/>
    <w:rsid w:val="00490EF4"/>
    <w:rsid w:val="004920AD"/>
    <w:rsid w:val="00492133"/>
    <w:rsid w:val="004A0289"/>
    <w:rsid w:val="004A23F6"/>
    <w:rsid w:val="004A418B"/>
    <w:rsid w:val="004A7438"/>
    <w:rsid w:val="004B1206"/>
    <w:rsid w:val="004B269C"/>
    <w:rsid w:val="004B2FDD"/>
    <w:rsid w:val="004B3086"/>
    <w:rsid w:val="004B3DC5"/>
    <w:rsid w:val="004B459D"/>
    <w:rsid w:val="004B563B"/>
    <w:rsid w:val="004B5CA7"/>
    <w:rsid w:val="004B6383"/>
    <w:rsid w:val="004B7D07"/>
    <w:rsid w:val="004C2546"/>
    <w:rsid w:val="004C3438"/>
    <w:rsid w:val="004C44D0"/>
    <w:rsid w:val="004C6A19"/>
    <w:rsid w:val="004C6C8B"/>
    <w:rsid w:val="004D05B3"/>
    <w:rsid w:val="004D0896"/>
    <w:rsid w:val="004D1AE1"/>
    <w:rsid w:val="004D1BBA"/>
    <w:rsid w:val="004D2CC2"/>
    <w:rsid w:val="004D4990"/>
    <w:rsid w:val="004D49D3"/>
    <w:rsid w:val="004D63C2"/>
    <w:rsid w:val="004E22B8"/>
    <w:rsid w:val="004E24DD"/>
    <w:rsid w:val="004E3906"/>
    <w:rsid w:val="004E3D1E"/>
    <w:rsid w:val="004E479E"/>
    <w:rsid w:val="004E5AC1"/>
    <w:rsid w:val="004E63AE"/>
    <w:rsid w:val="004E6CF1"/>
    <w:rsid w:val="004E6E25"/>
    <w:rsid w:val="004E7C91"/>
    <w:rsid w:val="004F0551"/>
    <w:rsid w:val="004F0E33"/>
    <w:rsid w:val="004F2830"/>
    <w:rsid w:val="004F312C"/>
    <w:rsid w:val="004F4C8B"/>
    <w:rsid w:val="004F5319"/>
    <w:rsid w:val="004F5555"/>
    <w:rsid w:val="004F6D44"/>
    <w:rsid w:val="004F70D9"/>
    <w:rsid w:val="004F7636"/>
    <w:rsid w:val="004F78E6"/>
    <w:rsid w:val="00500587"/>
    <w:rsid w:val="0050117C"/>
    <w:rsid w:val="0050121C"/>
    <w:rsid w:val="00502BF2"/>
    <w:rsid w:val="00505C2F"/>
    <w:rsid w:val="00507207"/>
    <w:rsid w:val="00507F9C"/>
    <w:rsid w:val="00512312"/>
    <w:rsid w:val="00512D99"/>
    <w:rsid w:val="0051323A"/>
    <w:rsid w:val="00513E02"/>
    <w:rsid w:val="00514C7B"/>
    <w:rsid w:val="00515884"/>
    <w:rsid w:val="00515B14"/>
    <w:rsid w:val="00516A37"/>
    <w:rsid w:val="00517BC0"/>
    <w:rsid w:val="00520729"/>
    <w:rsid w:val="00521256"/>
    <w:rsid w:val="00521CCF"/>
    <w:rsid w:val="00522759"/>
    <w:rsid w:val="0052341E"/>
    <w:rsid w:val="0052648E"/>
    <w:rsid w:val="00527298"/>
    <w:rsid w:val="00530A83"/>
    <w:rsid w:val="00531DBB"/>
    <w:rsid w:val="0053206D"/>
    <w:rsid w:val="005323E0"/>
    <w:rsid w:val="00532B0E"/>
    <w:rsid w:val="00532D15"/>
    <w:rsid w:val="00533786"/>
    <w:rsid w:val="00535C1A"/>
    <w:rsid w:val="0053671C"/>
    <w:rsid w:val="00541CF9"/>
    <w:rsid w:val="0054226D"/>
    <w:rsid w:val="005422A6"/>
    <w:rsid w:val="0054270D"/>
    <w:rsid w:val="005437E5"/>
    <w:rsid w:val="005460F4"/>
    <w:rsid w:val="00551D02"/>
    <w:rsid w:val="00553892"/>
    <w:rsid w:val="0055503C"/>
    <w:rsid w:val="00555072"/>
    <w:rsid w:val="00555802"/>
    <w:rsid w:val="00556164"/>
    <w:rsid w:val="00556390"/>
    <w:rsid w:val="0056351A"/>
    <w:rsid w:val="00564213"/>
    <w:rsid w:val="0056480C"/>
    <w:rsid w:val="005649D9"/>
    <w:rsid w:val="005671A1"/>
    <w:rsid w:val="005706F8"/>
    <w:rsid w:val="00570E60"/>
    <w:rsid w:val="00570E98"/>
    <w:rsid w:val="005714F0"/>
    <w:rsid w:val="00573007"/>
    <w:rsid w:val="00573888"/>
    <w:rsid w:val="00575F49"/>
    <w:rsid w:val="005765C0"/>
    <w:rsid w:val="00581149"/>
    <w:rsid w:val="0058200E"/>
    <w:rsid w:val="00582820"/>
    <w:rsid w:val="0058487B"/>
    <w:rsid w:val="00585078"/>
    <w:rsid w:val="00587250"/>
    <w:rsid w:val="00587DC0"/>
    <w:rsid w:val="00590703"/>
    <w:rsid w:val="005907FE"/>
    <w:rsid w:val="005912CA"/>
    <w:rsid w:val="005929BA"/>
    <w:rsid w:val="005932C7"/>
    <w:rsid w:val="00594090"/>
    <w:rsid w:val="005957F4"/>
    <w:rsid w:val="005963EC"/>
    <w:rsid w:val="00596C07"/>
    <w:rsid w:val="00597497"/>
    <w:rsid w:val="005A0C63"/>
    <w:rsid w:val="005A1DC8"/>
    <w:rsid w:val="005A54D7"/>
    <w:rsid w:val="005B2425"/>
    <w:rsid w:val="005B549A"/>
    <w:rsid w:val="005B5D7A"/>
    <w:rsid w:val="005C2AA5"/>
    <w:rsid w:val="005C33CE"/>
    <w:rsid w:val="005C3F60"/>
    <w:rsid w:val="005C4DAF"/>
    <w:rsid w:val="005C57B5"/>
    <w:rsid w:val="005D00D6"/>
    <w:rsid w:val="005D034C"/>
    <w:rsid w:val="005D37B1"/>
    <w:rsid w:val="005D417F"/>
    <w:rsid w:val="005D4D8D"/>
    <w:rsid w:val="005D53BE"/>
    <w:rsid w:val="005D69C7"/>
    <w:rsid w:val="005D77D6"/>
    <w:rsid w:val="005E10D8"/>
    <w:rsid w:val="005E1FFE"/>
    <w:rsid w:val="005E446D"/>
    <w:rsid w:val="005E4D78"/>
    <w:rsid w:val="005E7C18"/>
    <w:rsid w:val="005F0916"/>
    <w:rsid w:val="005F2833"/>
    <w:rsid w:val="005F2F3A"/>
    <w:rsid w:val="005F54E2"/>
    <w:rsid w:val="005F79FB"/>
    <w:rsid w:val="00600328"/>
    <w:rsid w:val="006039F3"/>
    <w:rsid w:val="00603A40"/>
    <w:rsid w:val="00604406"/>
    <w:rsid w:val="00605F4A"/>
    <w:rsid w:val="006064EE"/>
    <w:rsid w:val="00607822"/>
    <w:rsid w:val="006103AA"/>
    <w:rsid w:val="00610A24"/>
    <w:rsid w:val="0061281A"/>
    <w:rsid w:val="00612AAD"/>
    <w:rsid w:val="00612C6E"/>
    <w:rsid w:val="00613BBF"/>
    <w:rsid w:val="00614B1C"/>
    <w:rsid w:val="00615067"/>
    <w:rsid w:val="00617798"/>
    <w:rsid w:val="00617A37"/>
    <w:rsid w:val="00617FB2"/>
    <w:rsid w:val="00620665"/>
    <w:rsid w:val="00622127"/>
    <w:rsid w:val="00622B80"/>
    <w:rsid w:val="00625152"/>
    <w:rsid w:val="0062518F"/>
    <w:rsid w:val="00626714"/>
    <w:rsid w:val="00626FF3"/>
    <w:rsid w:val="00630556"/>
    <w:rsid w:val="00632A86"/>
    <w:rsid w:val="00632D10"/>
    <w:rsid w:val="006342ED"/>
    <w:rsid w:val="00635136"/>
    <w:rsid w:val="0063557A"/>
    <w:rsid w:val="00636844"/>
    <w:rsid w:val="00637E6C"/>
    <w:rsid w:val="0064139A"/>
    <w:rsid w:val="00641599"/>
    <w:rsid w:val="00642397"/>
    <w:rsid w:val="00642AF3"/>
    <w:rsid w:val="0064429A"/>
    <w:rsid w:val="006467D4"/>
    <w:rsid w:val="006472BD"/>
    <w:rsid w:val="00647481"/>
    <w:rsid w:val="00647483"/>
    <w:rsid w:val="0065038C"/>
    <w:rsid w:val="0065045A"/>
    <w:rsid w:val="00650DA4"/>
    <w:rsid w:val="00651684"/>
    <w:rsid w:val="0065214E"/>
    <w:rsid w:val="00652157"/>
    <w:rsid w:val="00652866"/>
    <w:rsid w:val="00654B23"/>
    <w:rsid w:val="00654E7C"/>
    <w:rsid w:val="00654E9E"/>
    <w:rsid w:val="0065518D"/>
    <w:rsid w:val="00656C2E"/>
    <w:rsid w:val="00657B75"/>
    <w:rsid w:val="0066010F"/>
    <w:rsid w:val="0066154B"/>
    <w:rsid w:val="006664FD"/>
    <w:rsid w:val="00666B92"/>
    <w:rsid w:val="0067060B"/>
    <w:rsid w:val="00670DB9"/>
    <w:rsid w:val="00671D0F"/>
    <w:rsid w:val="00671E8D"/>
    <w:rsid w:val="00671F87"/>
    <w:rsid w:val="006762D2"/>
    <w:rsid w:val="00676D38"/>
    <w:rsid w:val="00677FB7"/>
    <w:rsid w:val="006802F1"/>
    <w:rsid w:val="006812B4"/>
    <w:rsid w:val="00681D31"/>
    <w:rsid w:val="006826A2"/>
    <w:rsid w:val="006845F0"/>
    <w:rsid w:val="00687E20"/>
    <w:rsid w:val="006919AC"/>
    <w:rsid w:val="0069218E"/>
    <w:rsid w:val="006929EE"/>
    <w:rsid w:val="006930BC"/>
    <w:rsid w:val="0069338B"/>
    <w:rsid w:val="00694C2D"/>
    <w:rsid w:val="00694D2F"/>
    <w:rsid w:val="0069752D"/>
    <w:rsid w:val="006A1AE4"/>
    <w:rsid w:val="006A396A"/>
    <w:rsid w:val="006A43F4"/>
    <w:rsid w:val="006A4508"/>
    <w:rsid w:val="006A4B31"/>
    <w:rsid w:val="006A4D18"/>
    <w:rsid w:val="006B31C9"/>
    <w:rsid w:val="006B3C99"/>
    <w:rsid w:val="006B42D0"/>
    <w:rsid w:val="006B6C8A"/>
    <w:rsid w:val="006B7611"/>
    <w:rsid w:val="006C0F27"/>
    <w:rsid w:val="006C169D"/>
    <w:rsid w:val="006C1A35"/>
    <w:rsid w:val="006C2501"/>
    <w:rsid w:val="006C2BED"/>
    <w:rsid w:val="006C34C0"/>
    <w:rsid w:val="006C43FA"/>
    <w:rsid w:val="006C4C9F"/>
    <w:rsid w:val="006D084F"/>
    <w:rsid w:val="006D34AF"/>
    <w:rsid w:val="006D3BA2"/>
    <w:rsid w:val="006D49BA"/>
    <w:rsid w:val="006D5C60"/>
    <w:rsid w:val="006D5FE6"/>
    <w:rsid w:val="006E024F"/>
    <w:rsid w:val="006E13AA"/>
    <w:rsid w:val="006E1D71"/>
    <w:rsid w:val="006E4E7B"/>
    <w:rsid w:val="006E4E81"/>
    <w:rsid w:val="006E65E8"/>
    <w:rsid w:val="006E6919"/>
    <w:rsid w:val="006E6C36"/>
    <w:rsid w:val="006E6F62"/>
    <w:rsid w:val="006F10A9"/>
    <w:rsid w:val="006F263D"/>
    <w:rsid w:val="006F26ED"/>
    <w:rsid w:val="006F4677"/>
    <w:rsid w:val="00704153"/>
    <w:rsid w:val="0070586C"/>
    <w:rsid w:val="00706F34"/>
    <w:rsid w:val="00707B0E"/>
    <w:rsid w:val="00707F4C"/>
    <w:rsid w:val="00707F7D"/>
    <w:rsid w:val="00710C0A"/>
    <w:rsid w:val="00711C99"/>
    <w:rsid w:val="007122FE"/>
    <w:rsid w:val="00714301"/>
    <w:rsid w:val="00715746"/>
    <w:rsid w:val="00716139"/>
    <w:rsid w:val="007162E3"/>
    <w:rsid w:val="00717EC5"/>
    <w:rsid w:val="00720426"/>
    <w:rsid w:val="0072049B"/>
    <w:rsid w:val="00720AD5"/>
    <w:rsid w:val="00721DBC"/>
    <w:rsid w:val="00726118"/>
    <w:rsid w:val="00726125"/>
    <w:rsid w:val="007268D8"/>
    <w:rsid w:val="00733ECD"/>
    <w:rsid w:val="007341C8"/>
    <w:rsid w:val="00737A7B"/>
    <w:rsid w:val="00737FC3"/>
    <w:rsid w:val="00740EE6"/>
    <w:rsid w:val="00741708"/>
    <w:rsid w:val="00742D63"/>
    <w:rsid w:val="007432D8"/>
    <w:rsid w:val="007435C6"/>
    <w:rsid w:val="0074365F"/>
    <w:rsid w:val="007436C5"/>
    <w:rsid w:val="00743E63"/>
    <w:rsid w:val="00744345"/>
    <w:rsid w:val="007459DA"/>
    <w:rsid w:val="00745F36"/>
    <w:rsid w:val="00746D84"/>
    <w:rsid w:val="0074768B"/>
    <w:rsid w:val="007476A0"/>
    <w:rsid w:val="007500F4"/>
    <w:rsid w:val="00753641"/>
    <w:rsid w:val="00753809"/>
    <w:rsid w:val="00755457"/>
    <w:rsid w:val="00755D8B"/>
    <w:rsid w:val="007603CA"/>
    <w:rsid w:val="00760CEA"/>
    <w:rsid w:val="00762004"/>
    <w:rsid w:val="0076300E"/>
    <w:rsid w:val="00763787"/>
    <w:rsid w:val="007674A0"/>
    <w:rsid w:val="007701DF"/>
    <w:rsid w:val="00771C97"/>
    <w:rsid w:val="00771D3F"/>
    <w:rsid w:val="00772796"/>
    <w:rsid w:val="00774994"/>
    <w:rsid w:val="00775023"/>
    <w:rsid w:val="00775788"/>
    <w:rsid w:val="00776AB0"/>
    <w:rsid w:val="007779EC"/>
    <w:rsid w:val="00782BA3"/>
    <w:rsid w:val="00782FCD"/>
    <w:rsid w:val="007838C7"/>
    <w:rsid w:val="0078519D"/>
    <w:rsid w:val="007862A4"/>
    <w:rsid w:val="007865B7"/>
    <w:rsid w:val="00786648"/>
    <w:rsid w:val="00786D85"/>
    <w:rsid w:val="00787139"/>
    <w:rsid w:val="00787FB9"/>
    <w:rsid w:val="00790BDF"/>
    <w:rsid w:val="0079273D"/>
    <w:rsid w:val="0079515F"/>
    <w:rsid w:val="00796CEC"/>
    <w:rsid w:val="007A0CA5"/>
    <w:rsid w:val="007A2A44"/>
    <w:rsid w:val="007A4391"/>
    <w:rsid w:val="007A50E3"/>
    <w:rsid w:val="007A57F2"/>
    <w:rsid w:val="007B1333"/>
    <w:rsid w:val="007B1756"/>
    <w:rsid w:val="007B44CA"/>
    <w:rsid w:val="007B5568"/>
    <w:rsid w:val="007B5638"/>
    <w:rsid w:val="007B5C73"/>
    <w:rsid w:val="007B7250"/>
    <w:rsid w:val="007B74A4"/>
    <w:rsid w:val="007B789F"/>
    <w:rsid w:val="007C0F72"/>
    <w:rsid w:val="007C1596"/>
    <w:rsid w:val="007C3779"/>
    <w:rsid w:val="007C3B25"/>
    <w:rsid w:val="007C5844"/>
    <w:rsid w:val="007C7668"/>
    <w:rsid w:val="007D1704"/>
    <w:rsid w:val="007D4BBD"/>
    <w:rsid w:val="007D54DF"/>
    <w:rsid w:val="007D59BE"/>
    <w:rsid w:val="007D6F09"/>
    <w:rsid w:val="007E2121"/>
    <w:rsid w:val="007E2502"/>
    <w:rsid w:val="007E38AB"/>
    <w:rsid w:val="007E5390"/>
    <w:rsid w:val="007E5CE2"/>
    <w:rsid w:val="007F00C3"/>
    <w:rsid w:val="007F043B"/>
    <w:rsid w:val="007F25B9"/>
    <w:rsid w:val="007F2B61"/>
    <w:rsid w:val="007F4449"/>
    <w:rsid w:val="007F461C"/>
    <w:rsid w:val="007F4AEB"/>
    <w:rsid w:val="007F5A88"/>
    <w:rsid w:val="007F6D21"/>
    <w:rsid w:val="007F75B2"/>
    <w:rsid w:val="007F7FA9"/>
    <w:rsid w:val="00800CE3"/>
    <w:rsid w:val="00801E6B"/>
    <w:rsid w:val="00802811"/>
    <w:rsid w:val="00802EDC"/>
    <w:rsid w:val="008043C4"/>
    <w:rsid w:val="008065CE"/>
    <w:rsid w:val="0080702C"/>
    <w:rsid w:val="008106FC"/>
    <w:rsid w:val="00811DA6"/>
    <w:rsid w:val="00812475"/>
    <w:rsid w:val="00813B21"/>
    <w:rsid w:val="00814E57"/>
    <w:rsid w:val="008163DB"/>
    <w:rsid w:val="00820113"/>
    <w:rsid w:val="00820E60"/>
    <w:rsid w:val="008222B1"/>
    <w:rsid w:val="00822427"/>
    <w:rsid w:val="00825E3C"/>
    <w:rsid w:val="00826CF7"/>
    <w:rsid w:val="00831B1B"/>
    <w:rsid w:val="00831D9F"/>
    <w:rsid w:val="008323ED"/>
    <w:rsid w:val="008336E0"/>
    <w:rsid w:val="00833858"/>
    <w:rsid w:val="00833E54"/>
    <w:rsid w:val="00834C73"/>
    <w:rsid w:val="0084088A"/>
    <w:rsid w:val="00843CE9"/>
    <w:rsid w:val="008451F2"/>
    <w:rsid w:val="0084546A"/>
    <w:rsid w:val="008501F2"/>
    <w:rsid w:val="00850554"/>
    <w:rsid w:val="00852FF6"/>
    <w:rsid w:val="00853C75"/>
    <w:rsid w:val="00855635"/>
    <w:rsid w:val="00855FB3"/>
    <w:rsid w:val="00860263"/>
    <w:rsid w:val="00860CE2"/>
    <w:rsid w:val="00861D0E"/>
    <w:rsid w:val="00861D46"/>
    <w:rsid w:val="00862C45"/>
    <w:rsid w:val="008665E4"/>
    <w:rsid w:val="0086667E"/>
    <w:rsid w:val="0086738F"/>
    <w:rsid w:val="00867569"/>
    <w:rsid w:val="00871335"/>
    <w:rsid w:val="00872706"/>
    <w:rsid w:val="00872F2C"/>
    <w:rsid w:val="00873239"/>
    <w:rsid w:val="00875AB0"/>
    <w:rsid w:val="008760B1"/>
    <w:rsid w:val="008816FC"/>
    <w:rsid w:val="00882879"/>
    <w:rsid w:val="00882A93"/>
    <w:rsid w:val="0088498B"/>
    <w:rsid w:val="00885C0D"/>
    <w:rsid w:val="00886478"/>
    <w:rsid w:val="00890254"/>
    <w:rsid w:val="0089319D"/>
    <w:rsid w:val="0089507F"/>
    <w:rsid w:val="00896E4A"/>
    <w:rsid w:val="008A0C2F"/>
    <w:rsid w:val="008A24AD"/>
    <w:rsid w:val="008A4039"/>
    <w:rsid w:val="008A5382"/>
    <w:rsid w:val="008A60F5"/>
    <w:rsid w:val="008A6B5C"/>
    <w:rsid w:val="008A750A"/>
    <w:rsid w:val="008A7ABD"/>
    <w:rsid w:val="008B3738"/>
    <w:rsid w:val="008B3970"/>
    <w:rsid w:val="008B5865"/>
    <w:rsid w:val="008B6789"/>
    <w:rsid w:val="008B6973"/>
    <w:rsid w:val="008C036D"/>
    <w:rsid w:val="008C1791"/>
    <w:rsid w:val="008C26DF"/>
    <w:rsid w:val="008C384C"/>
    <w:rsid w:val="008C4456"/>
    <w:rsid w:val="008C452A"/>
    <w:rsid w:val="008C45CC"/>
    <w:rsid w:val="008C4F0B"/>
    <w:rsid w:val="008C51DF"/>
    <w:rsid w:val="008C7B48"/>
    <w:rsid w:val="008C7F5A"/>
    <w:rsid w:val="008D0CCE"/>
    <w:rsid w:val="008D0F11"/>
    <w:rsid w:val="008D4903"/>
    <w:rsid w:val="008D4F7D"/>
    <w:rsid w:val="008D631C"/>
    <w:rsid w:val="008D6465"/>
    <w:rsid w:val="008D68FD"/>
    <w:rsid w:val="008E0669"/>
    <w:rsid w:val="008E0BA9"/>
    <w:rsid w:val="008E0E2E"/>
    <w:rsid w:val="008E2FFA"/>
    <w:rsid w:val="008E41CD"/>
    <w:rsid w:val="008E6DD1"/>
    <w:rsid w:val="008E7B6E"/>
    <w:rsid w:val="008F07DB"/>
    <w:rsid w:val="008F1598"/>
    <w:rsid w:val="008F1ED0"/>
    <w:rsid w:val="008F2544"/>
    <w:rsid w:val="008F2CD2"/>
    <w:rsid w:val="008F32A9"/>
    <w:rsid w:val="008F4FA5"/>
    <w:rsid w:val="008F73B4"/>
    <w:rsid w:val="008F78B8"/>
    <w:rsid w:val="009035E8"/>
    <w:rsid w:val="009057DF"/>
    <w:rsid w:val="0090750B"/>
    <w:rsid w:val="00907A36"/>
    <w:rsid w:val="009104CF"/>
    <w:rsid w:val="0091062D"/>
    <w:rsid w:val="00910B41"/>
    <w:rsid w:val="0091126B"/>
    <w:rsid w:val="00912DC5"/>
    <w:rsid w:val="00913198"/>
    <w:rsid w:val="0091463F"/>
    <w:rsid w:val="00914E9A"/>
    <w:rsid w:val="00915A0A"/>
    <w:rsid w:val="00915ED0"/>
    <w:rsid w:val="00916716"/>
    <w:rsid w:val="0091710F"/>
    <w:rsid w:val="00917975"/>
    <w:rsid w:val="009238F3"/>
    <w:rsid w:val="00924102"/>
    <w:rsid w:val="00924F07"/>
    <w:rsid w:val="00925416"/>
    <w:rsid w:val="00927CDA"/>
    <w:rsid w:val="009302AE"/>
    <w:rsid w:val="00931322"/>
    <w:rsid w:val="009338CC"/>
    <w:rsid w:val="009343DC"/>
    <w:rsid w:val="00934C4D"/>
    <w:rsid w:val="00936B43"/>
    <w:rsid w:val="00936D28"/>
    <w:rsid w:val="009374E4"/>
    <w:rsid w:val="009378E1"/>
    <w:rsid w:val="00941AC0"/>
    <w:rsid w:val="0094530F"/>
    <w:rsid w:val="00947577"/>
    <w:rsid w:val="00950406"/>
    <w:rsid w:val="00954D24"/>
    <w:rsid w:val="0096054A"/>
    <w:rsid w:val="00963F4A"/>
    <w:rsid w:val="00964376"/>
    <w:rsid w:val="00964D27"/>
    <w:rsid w:val="00971374"/>
    <w:rsid w:val="00971B93"/>
    <w:rsid w:val="009727B0"/>
    <w:rsid w:val="009729EE"/>
    <w:rsid w:val="00972F05"/>
    <w:rsid w:val="009759B7"/>
    <w:rsid w:val="00976522"/>
    <w:rsid w:val="00977836"/>
    <w:rsid w:val="00981D46"/>
    <w:rsid w:val="00985727"/>
    <w:rsid w:val="00986209"/>
    <w:rsid w:val="00986428"/>
    <w:rsid w:val="0098653B"/>
    <w:rsid w:val="009867F6"/>
    <w:rsid w:val="009878B7"/>
    <w:rsid w:val="009878EA"/>
    <w:rsid w:val="009903F2"/>
    <w:rsid w:val="00991FE1"/>
    <w:rsid w:val="009928E7"/>
    <w:rsid w:val="00992EA9"/>
    <w:rsid w:val="00993311"/>
    <w:rsid w:val="00994528"/>
    <w:rsid w:val="009956AE"/>
    <w:rsid w:val="00996960"/>
    <w:rsid w:val="00997ACD"/>
    <w:rsid w:val="009A3D6A"/>
    <w:rsid w:val="009A3D6B"/>
    <w:rsid w:val="009A557D"/>
    <w:rsid w:val="009A5D44"/>
    <w:rsid w:val="009A63F7"/>
    <w:rsid w:val="009A6C49"/>
    <w:rsid w:val="009A6CCD"/>
    <w:rsid w:val="009A70E0"/>
    <w:rsid w:val="009A7C55"/>
    <w:rsid w:val="009A7F0E"/>
    <w:rsid w:val="009B00DC"/>
    <w:rsid w:val="009B2084"/>
    <w:rsid w:val="009B315D"/>
    <w:rsid w:val="009B3574"/>
    <w:rsid w:val="009B3BE2"/>
    <w:rsid w:val="009B55B1"/>
    <w:rsid w:val="009B6F0D"/>
    <w:rsid w:val="009B73E7"/>
    <w:rsid w:val="009C1418"/>
    <w:rsid w:val="009C1E4D"/>
    <w:rsid w:val="009C1FE1"/>
    <w:rsid w:val="009C2FC0"/>
    <w:rsid w:val="009C43FE"/>
    <w:rsid w:val="009C45FE"/>
    <w:rsid w:val="009C5BFC"/>
    <w:rsid w:val="009C696F"/>
    <w:rsid w:val="009D28DE"/>
    <w:rsid w:val="009D2B15"/>
    <w:rsid w:val="009D41CC"/>
    <w:rsid w:val="009D4855"/>
    <w:rsid w:val="009D6A2B"/>
    <w:rsid w:val="009D7ADD"/>
    <w:rsid w:val="009E0173"/>
    <w:rsid w:val="009E1E4A"/>
    <w:rsid w:val="009E1F67"/>
    <w:rsid w:val="009E2E71"/>
    <w:rsid w:val="009E318B"/>
    <w:rsid w:val="009E325B"/>
    <w:rsid w:val="009E39C5"/>
    <w:rsid w:val="009E4646"/>
    <w:rsid w:val="009E4C52"/>
    <w:rsid w:val="009E585A"/>
    <w:rsid w:val="009E586A"/>
    <w:rsid w:val="009E5C8D"/>
    <w:rsid w:val="009E67E6"/>
    <w:rsid w:val="009E71D1"/>
    <w:rsid w:val="009E7F18"/>
    <w:rsid w:val="009F52D2"/>
    <w:rsid w:val="009F601E"/>
    <w:rsid w:val="009F6826"/>
    <w:rsid w:val="00A0164C"/>
    <w:rsid w:val="00A02F95"/>
    <w:rsid w:val="00A05B23"/>
    <w:rsid w:val="00A0606F"/>
    <w:rsid w:val="00A073AD"/>
    <w:rsid w:val="00A07BA7"/>
    <w:rsid w:val="00A07CE4"/>
    <w:rsid w:val="00A115A1"/>
    <w:rsid w:val="00A16A9A"/>
    <w:rsid w:val="00A204A0"/>
    <w:rsid w:val="00A2074A"/>
    <w:rsid w:val="00A20A00"/>
    <w:rsid w:val="00A21236"/>
    <w:rsid w:val="00A249CE"/>
    <w:rsid w:val="00A24BD8"/>
    <w:rsid w:val="00A25160"/>
    <w:rsid w:val="00A267A8"/>
    <w:rsid w:val="00A27F3B"/>
    <w:rsid w:val="00A30AA3"/>
    <w:rsid w:val="00A30CEA"/>
    <w:rsid w:val="00A31A92"/>
    <w:rsid w:val="00A31D4D"/>
    <w:rsid w:val="00A3287F"/>
    <w:rsid w:val="00A33C90"/>
    <w:rsid w:val="00A34433"/>
    <w:rsid w:val="00A35C9E"/>
    <w:rsid w:val="00A36889"/>
    <w:rsid w:val="00A40198"/>
    <w:rsid w:val="00A40E4F"/>
    <w:rsid w:val="00A41AFF"/>
    <w:rsid w:val="00A41B58"/>
    <w:rsid w:val="00A42F69"/>
    <w:rsid w:val="00A4343D"/>
    <w:rsid w:val="00A43FF9"/>
    <w:rsid w:val="00A4565B"/>
    <w:rsid w:val="00A4567C"/>
    <w:rsid w:val="00A502F1"/>
    <w:rsid w:val="00A5101D"/>
    <w:rsid w:val="00A51354"/>
    <w:rsid w:val="00A52961"/>
    <w:rsid w:val="00A5310B"/>
    <w:rsid w:val="00A54B5A"/>
    <w:rsid w:val="00A56F2C"/>
    <w:rsid w:val="00A60E5A"/>
    <w:rsid w:val="00A6241B"/>
    <w:rsid w:val="00A632B4"/>
    <w:rsid w:val="00A64201"/>
    <w:rsid w:val="00A6441B"/>
    <w:rsid w:val="00A6569D"/>
    <w:rsid w:val="00A67E14"/>
    <w:rsid w:val="00A67F2A"/>
    <w:rsid w:val="00A70328"/>
    <w:rsid w:val="00A70A83"/>
    <w:rsid w:val="00A70C63"/>
    <w:rsid w:val="00A717D6"/>
    <w:rsid w:val="00A734F8"/>
    <w:rsid w:val="00A739A3"/>
    <w:rsid w:val="00A73CC8"/>
    <w:rsid w:val="00A74DD4"/>
    <w:rsid w:val="00A753CE"/>
    <w:rsid w:val="00A81EB3"/>
    <w:rsid w:val="00A82057"/>
    <w:rsid w:val="00A83132"/>
    <w:rsid w:val="00A83CE4"/>
    <w:rsid w:val="00A8474D"/>
    <w:rsid w:val="00A85B69"/>
    <w:rsid w:val="00A85D73"/>
    <w:rsid w:val="00A85F16"/>
    <w:rsid w:val="00A860CF"/>
    <w:rsid w:val="00A902D0"/>
    <w:rsid w:val="00A90EB9"/>
    <w:rsid w:val="00A91143"/>
    <w:rsid w:val="00A92024"/>
    <w:rsid w:val="00A945E9"/>
    <w:rsid w:val="00A95196"/>
    <w:rsid w:val="00A973F4"/>
    <w:rsid w:val="00A97C06"/>
    <w:rsid w:val="00A97D08"/>
    <w:rsid w:val="00AA00D1"/>
    <w:rsid w:val="00AA3EC1"/>
    <w:rsid w:val="00AA4EE8"/>
    <w:rsid w:val="00AA6E48"/>
    <w:rsid w:val="00AA7647"/>
    <w:rsid w:val="00AB24F5"/>
    <w:rsid w:val="00AB27A6"/>
    <w:rsid w:val="00AB6196"/>
    <w:rsid w:val="00AB64FC"/>
    <w:rsid w:val="00AB74A5"/>
    <w:rsid w:val="00AC04CA"/>
    <w:rsid w:val="00AC0540"/>
    <w:rsid w:val="00AC3140"/>
    <w:rsid w:val="00AC32ED"/>
    <w:rsid w:val="00AC4F35"/>
    <w:rsid w:val="00AC5437"/>
    <w:rsid w:val="00AC6538"/>
    <w:rsid w:val="00AD172A"/>
    <w:rsid w:val="00AD1AE6"/>
    <w:rsid w:val="00AD2C27"/>
    <w:rsid w:val="00AD49E0"/>
    <w:rsid w:val="00AD4BAF"/>
    <w:rsid w:val="00AD53C8"/>
    <w:rsid w:val="00AD6358"/>
    <w:rsid w:val="00AE06A7"/>
    <w:rsid w:val="00AE1A40"/>
    <w:rsid w:val="00AE3728"/>
    <w:rsid w:val="00AE3C67"/>
    <w:rsid w:val="00AE6B2B"/>
    <w:rsid w:val="00AE722C"/>
    <w:rsid w:val="00AF0F42"/>
    <w:rsid w:val="00AF348D"/>
    <w:rsid w:val="00AF48D7"/>
    <w:rsid w:val="00AF4AA9"/>
    <w:rsid w:val="00AF71FF"/>
    <w:rsid w:val="00AF7230"/>
    <w:rsid w:val="00B00C1D"/>
    <w:rsid w:val="00B038AB"/>
    <w:rsid w:val="00B039AD"/>
    <w:rsid w:val="00B0400D"/>
    <w:rsid w:val="00B04322"/>
    <w:rsid w:val="00B04B54"/>
    <w:rsid w:val="00B04EAD"/>
    <w:rsid w:val="00B0566C"/>
    <w:rsid w:val="00B10316"/>
    <w:rsid w:val="00B10CCC"/>
    <w:rsid w:val="00B1130E"/>
    <w:rsid w:val="00B11A70"/>
    <w:rsid w:val="00B11ACF"/>
    <w:rsid w:val="00B1235B"/>
    <w:rsid w:val="00B13358"/>
    <w:rsid w:val="00B15089"/>
    <w:rsid w:val="00B164B8"/>
    <w:rsid w:val="00B1669C"/>
    <w:rsid w:val="00B179CA"/>
    <w:rsid w:val="00B220EF"/>
    <w:rsid w:val="00B22CB2"/>
    <w:rsid w:val="00B22FF1"/>
    <w:rsid w:val="00B23C47"/>
    <w:rsid w:val="00B243EF"/>
    <w:rsid w:val="00B248D5"/>
    <w:rsid w:val="00B258DA"/>
    <w:rsid w:val="00B271ED"/>
    <w:rsid w:val="00B3104E"/>
    <w:rsid w:val="00B319A7"/>
    <w:rsid w:val="00B319E5"/>
    <w:rsid w:val="00B329CF"/>
    <w:rsid w:val="00B32A50"/>
    <w:rsid w:val="00B334D4"/>
    <w:rsid w:val="00B340E0"/>
    <w:rsid w:val="00B35361"/>
    <w:rsid w:val="00B360B8"/>
    <w:rsid w:val="00B3794E"/>
    <w:rsid w:val="00B414E5"/>
    <w:rsid w:val="00B41783"/>
    <w:rsid w:val="00B41A17"/>
    <w:rsid w:val="00B441F8"/>
    <w:rsid w:val="00B44DF3"/>
    <w:rsid w:val="00B455D8"/>
    <w:rsid w:val="00B45A4D"/>
    <w:rsid w:val="00B4668B"/>
    <w:rsid w:val="00B46898"/>
    <w:rsid w:val="00B51644"/>
    <w:rsid w:val="00B5194C"/>
    <w:rsid w:val="00B51ED3"/>
    <w:rsid w:val="00B52434"/>
    <w:rsid w:val="00B53994"/>
    <w:rsid w:val="00B53D0C"/>
    <w:rsid w:val="00B605DC"/>
    <w:rsid w:val="00B60893"/>
    <w:rsid w:val="00B62983"/>
    <w:rsid w:val="00B632CC"/>
    <w:rsid w:val="00B65535"/>
    <w:rsid w:val="00B66B86"/>
    <w:rsid w:val="00B67345"/>
    <w:rsid w:val="00B67CCE"/>
    <w:rsid w:val="00B70F9B"/>
    <w:rsid w:val="00B71710"/>
    <w:rsid w:val="00B72346"/>
    <w:rsid w:val="00B74580"/>
    <w:rsid w:val="00B74EB2"/>
    <w:rsid w:val="00B764A2"/>
    <w:rsid w:val="00B77293"/>
    <w:rsid w:val="00B77E4D"/>
    <w:rsid w:val="00B83A50"/>
    <w:rsid w:val="00B86C7B"/>
    <w:rsid w:val="00B8722F"/>
    <w:rsid w:val="00B8778A"/>
    <w:rsid w:val="00B90CB3"/>
    <w:rsid w:val="00B919F5"/>
    <w:rsid w:val="00B93798"/>
    <w:rsid w:val="00B96EC7"/>
    <w:rsid w:val="00B9761C"/>
    <w:rsid w:val="00BA008C"/>
    <w:rsid w:val="00BA0B6B"/>
    <w:rsid w:val="00BA0D37"/>
    <w:rsid w:val="00BA12F1"/>
    <w:rsid w:val="00BA32FD"/>
    <w:rsid w:val="00BA3CF0"/>
    <w:rsid w:val="00BA439F"/>
    <w:rsid w:val="00BA6370"/>
    <w:rsid w:val="00BB010C"/>
    <w:rsid w:val="00BB256C"/>
    <w:rsid w:val="00BB25C9"/>
    <w:rsid w:val="00BB5428"/>
    <w:rsid w:val="00BB6016"/>
    <w:rsid w:val="00BB65C4"/>
    <w:rsid w:val="00BC1254"/>
    <w:rsid w:val="00BC1D03"/>
    <w:rsid w:val="00BC2468"/>
    <w:rsid w:val="00BC3142"/>
    <w:rsid w:val="00BC4FB7"/>
    <w:rsid w:val="00BC563D"/>
    <w:rsid w:val="00BC6BB6"/>
    <w:rsid w:val="00BD025D"/>
    <w:rsid w:val="00BD04C3"/>
    <w:rsid w:val="00BD0894"/>
    <w:rsid w:val="00BD16E5"/>
    <w:rsid w:val="00BD194A"/>
    <w:rsid w:val="00BD21E7"/>
    <w:rsid w:val="00BD2A4A"/>
    <w:rsid w:val="00BD3C66"/>
    <w:rsid w:val="00BD481E"/>
    <w:rsid w:val="00BD55D2"/>
    <w:rsid w:val="00BE18C5"/>
    <w:rsid w:val="00BE1D4A"/>
    <w:rsid w:val="00BE2C80"/>
    <w:rsid w:val="00BE4013"/>
    <w:rsid w:val="00BE5E06"/>
    <w:rsid w:val="00BE63A7"/>
    <w:rsid w:val="00BE6CD9"/>
    <w:rsid w:val="00BF36BE"/>
    <w:rsid w:val="00BF379D"/>
    <w:rsid w:val="00BF45D4"/>
    <w:rsid w:val="00BF54E0"/>
    <w:rsid w:val="00BF5E02"/>
    <w:rsid w:val="00BF67B1"/>
    <w:rsid w:val="00C035A4"/>
    <w:rsid w:val="00C040F9"/>
    <w:rsid w:val="00C04566"/>
    <w:rsid w:val="00C05392"/>
    <w:rsid w:val="00C067E8"/>
    <w:rsid w:val="00C10CEF"/>
    <w:rsid w:val="00C10D8E"/>
    <w:rsid w:val="00C146AC"/>
    <w:rsid w:val="00C17920"/>
    <w:rsid w:val="00C17ADD"/>
    <w:rsid w:val="00C20665"/>
    <w:rsid w:val="00C208C1"/>
    <w:rsid w:val="00C2191D"/>
    <w:rsid w:val="00C21B2E"/>
    <w:rsid w:val="00C22B8B"/>
    <w:rsid w:val="00C25AC0"/>
    <w:rsid w:val="00C25ADE"/>
    <w:rsid w:val="00C25D1B"/>
    <w:rsid w:val="00C269D4"/>
    <w:rsid w:val="00C26F6E"/>
    <w:rsid w:val="00C270B1"/>
    <w:rsid w:val="00C32B49"/>
    <w:rsid w:val="00C32D19"/>
    <w:rsid w:val="00C33A0C"/>
    <w:rsid w:val="00C34487"/>
    <w:rsid w:val="00C34764"/>
    <w:rsid w:val="00C34963"/>
    <w:rsid w:val="00C3627F"/>
    <w:rsid w:val="00C369CB"/>
    <w:rsid w:val="00C3728C"/>
    <w:rsid w:val="00C414FB"/>
    <w:rsid w:val="00C4160D"/>
    <w:rsid w:val="00C41C45"/>
    <w:rsid w:val="00C44454"/>
    <w:rsid w:val="00C457D8"/>
    <w:rsid w:val="00C45935"/>
    <w:rsid w:val="00C45A82"/>
    <w:rsid w:val="00C45B18"/>
    <w:rsid w:val="00C46F75"/>
    <w:rsid w:val="00C471D0"/>
    <w:rsid w:val="00C50A52"/>
    <w:rsid w:val="00C51CFD"/>
    <w:rsid w:val="00C51DF6"/>
    <w:rsid w:val="00C526EF"/>
    <w:rsid w:val="00C52809"/>
    <w:rsid w:val="00C55394"/>
    <w:rsid w:val="00C568E9"/>
    <w:rsid w:val="00C57C66"/>
    <w:rsid w:val="00C57CA8"/>
    <w:rsid w:val="00C60408"/>
    <w:rsid w:val="00C60E0C"/>
    <w:rsid w:val="00C61099"/>
    <w:rsid w:val="00C610B4"/>
    <w:rsid w:val="00C617C7"/>
    <w:rsid w:val="00C65896"/>
    <w:rsid w:val="00C66625"/>
    <w:rsid w:val="00C66940"/>
    <w:rsid w:val="00C67311"/>
    <w:rsid w:val="00C702D4"/>
    <w:rsid w:val="00C708B9"/>
    <w:rsid w:val="00C70B0B"/>
    <w:rsid w:val="00C71198"/>
    <w:rsid w:val="00C71C5B"/>
    <w:rsid w:val="00C71E92"/>
    <w:rsid w:val="00C72BB1"/>
    <w:rsid w:val="00C73728"/>
    <w:rsid w:val="00C7514F"/>
    <w:rsid w:val="00C752AD"/>
    <w:rsid w:val="00C75715"/>
    <w:rsid w:val="00C75FB0"/>
    <w:rsid w:val="00C762A6"/>
    <w:rsid w:val="00C763CC"/>
    <w:rsid w:val="00C77A37"/>
    <w:rsid w:val="00C804B4"/>
    <w:rsid w:val="00C82198"/>
    <w:rsid w:val="00C8406E"/>
    <w:rsid w:val="00C84377"/>
    <w:rsid w:val="00C846B6"/>
    <w:rsid w:val="00C856F6"/>
    <w:rsid w:val="00C8673E"/>
    <w:rsid w:val="00C87676"/>
    <w:rsid w:val="00C87AF0"/>
    <w:rsid w:val="00C90275"/>
    <w:rsid w:val="00C90FD4"/>
    <w:rsid w:val="00C92721"/>
    <w:rsid w:val="00C94722"/>
    <w:rsid w:val="00C95A5F"/>
    <w:rsid w:val="00C95B31"/>
    <w:rsid w:val="00C96749"/>
    <w:rsid w:val="00CA0373"/>
    <w:rsid w:val="00CA0414"/>
    <w:rsid w:val="00CA043F"/>
    <w:rsid w:val="00CA1FB0"/>
    <w:rsid w:val="00CA4266"/>
    <w:rsid w:val="00CA6945"/>
    <w:rsid w:val="00CA79C6"/>
    <w:rsid w:val="00CB0642"/>
    <w:rsid w:val="00CB11F4"/>
    <w:rsid w:val="00CB169C"/>
    <w:rsid w:val="00CB26C7"/>
    <w:rsid w:val="00CB2709"/>
    <w:rsid w:val="00CB2AE6"/>
    <w:rsid w:val="00CB2D9F"/>
    <w:rsid w:val="00CB3417"/>
    <w:rsid w:val="00CB3C84"/>
    <w:rsid w:val="00CB4F79"/>
    <w:rsid w:val="00CB5013"/>
    <w:rsid w:val="00CB5B99"/>
    <w:rsid w:val="00CB60B8"/>
    <w:rsid w:val="00CB63D5"/>
    <w:rsid w:val="00CB6F89"/>
    <w:rsid w:val="00CB71C4"/>
    <w:rsid w:val="00CC2361"/>
    <w:rsid w:val="00CD04D9"/>
    <w:rsid w:val="00CD0C27"/>
    <w:rsid w:val="00CD1C81"/>
    <w:rsid w:val="00CD3384"/>
    <w:rsid w:val="00CD40D9"/>
    <w:rsid w:val="00CD634A"/>
    <w:rsid w:val="00CD7478"/>
    <w:rsid w:val="00CE0C0F"/>
    <w:rsid w:val="00CE228C"/>
    <w:rsid w:val="00CE5397"/>
    <w:rsid w:val="00CE6E9E"/>
    <w:rsid w:val="00CE71D9"/>
    <w:rsid w:val="00CE7773"/>
    <w:rsid w:val="00CF01C0"/>
    <w:rsid w:val="00CF2E15"/>
    <w:rsid w:val="00CF32BF"/>
    <w:rsid w:val="00CF545B"/>
    <w:rsid w:val="00CF6245"/>
    <w:rsid w:val="00D00CE1"/>
    <w:rsid w:val="00D0131D"/>
    <w:rsid w:val="00D024FF"/>
    <w:rsid w:val="00D03624"/>
    <w:rsid w:val="00D04A41"/>
    <w:rsid w:val="00D051DC"/>
    <w:rsid w:val="00D0559D"/>
    <w:rsid w:val="00D069E7"/>
    <w:rsid w:val="00D14F70"/>
    <w:rsid w:val="00D15BCB"/>
    <w:rsid w:val="00D16862"/>
    <w:rsid w:val="00D2094A"/>
    <w:rsid w:val="00D209A7"/>
    <w:rsid w:val="00D21A88"/>
    <w:rsid w:val="00D21B96"/>
    <w:rsid w:val="00D2299C"/>
    <w:rsid w:val="00D253EC"/>
    <w:rsid w:val="00D25922"/>
    <w:rsid w:val="00D27D69"/>
    <w:rsid w:val="00D304A9"/>
    <w:rsid w:val="00D3200B"/>
    <w:rsid w:val="00D3511D"/>
    <w:rsid w:val="00D3556C"/>
    <w:rsid w:val="00D35D15"/>
    <w:rsid w:val="00D401FC"/>
    <w:rsid w:val="00D410B4"/>
    <w:rsid w:val="00D41FD4"/>
    <w:rsid w:val="00D43009"/>
    <w:rsid w:val="00D448C2"/>
    <w:rsid w:val="00D47FA5"/>
    <w:rsid w:val="00D5229A"/>
    <w:rsid w:val="00D5245C"/>
    <w:rsid w:val="00D528E8"/>
    <w:rsid w:val="00D5387E"/>
    <w:rsid w:val="00D53AEA"/>
    <w:rsid w:val="00D54B49"/>
    <w:rsid w:val="00D55B2F"/>
    <w:rsid w:val="00D56097"/>
    <w:rsid w:val="00D57B41"/>
    <w:rsid w:val="00D6019E"/>
    <w:rsid w:val="00D641DE"/>
    <w:rsid w:val="00D64FAA"/>
    <w:rsid w:val="00D65A75"/>
    <w:rsid w:val="00D664DB"/>
    <w:rsid w:val="00D666C3"/>
    <w:rsid w:val="00D6765A"/>
    <w:rsid w:val="00D67698"/>
    <w:rsid w:val="00D67E64"/>
    <w:rsid w:val="00D703FE"/>
    <w:rsid w:val="00D70AA8"/>
    <w:rsid w:val="00D73C68"/>
    <w:rsid w:val="00D80222"/>
    <w:rsid w:val="00D811AB"/>
    <w:rsid w:val="00D82A7F"/>
    <w:rsid w:val="00D836C0"/>
    <w:rsid w:val="00D83E85"/>
    <w:rsid w:val="00D859FC"/>
    <w:rsid w:val="00D903FA"/>
    <w:rsid w:val="00D90CBE"/>
    <w:rsid w:val="00D94627"/>
    <w:rsid w:val="00D9477A"/>
    <w:rsid w:val="00D953CA"/>
    <w:rsid w:val="00D95C90"/>
    <w:rsid w:val="00D95D5F"/>
    <w:rsid w:val="00D96F75"/>
    <w:rsid w:val="00DA195F"/>
    <w:rsid w:val="00DA1ECF"/>
    <w:rsid w:val="00DA2401"/>
    <w:rsid w:val="00DA27C2"/>
    <w:rsid w:val="00DA29A3"/>
    <w:rsid w:val="00DA3DC4"/>
    <w:rsid w:val="00DA4513"/>
    <w:rsid w:val="00DA7814"/>
    <w:rsid w:val="00DA7A2C"/>
    <w:rsid w:val="00DB05BE"/>
    <w:rsid w:val="00DB4612"/>
    <w:rsid w:val="00DB4A6F"/>
    <w:rsid w:val="00DC052D"/>
    <w:rsid w:val="00DC0EDB"/>
    <w:rsid w:val="00DC10F8"/>
    <w:rsid w:val="00DC25FC"/>
    <w:rsid w:val="00DC475C"/>
    <w:rsid w:val="00DC5E32"/>
    <w:rsid w:val="00DC70A2"/>
    <w:rsid w:val="00DC74C9"/>
    <w:rsid w:val="00DC777E"/>
    <w:rsid w:val="00DD078C"/>
    <w:rsid w:val="00DD1AF3"/>
    <w:rsid w:val="00DD39FC"/>
    <w:rsid w:val="00DD3F59"/>
    <w:rsid w:val="00DD4E4D"/>
    <w:rsid w:val="00DD7A5D"/>
    <w:rsid w:val="00DE0883"/>
    <w:rsid w:val="00DE24F5"/>
    <w:rsid w:val="00DE3C54"/>
    <w:rsid w:val="00DE4B4D"/>
    <w:rsid w:val="00DE5A10"/>
    <w:rsid w:val="00DE640D"/>
    <w:rsid w:val="00DE7B01"/>
    <w:rsid w:val="00DF02E1"/>
    <w:rsid w:val="00DF1381"/>
    <w:rsid w:val="00DF32F9"/>
    <w:rsid w:val="00DF43A1"/>
    <w:rsid w:val="00DF47FE"/>
    <w:rsid w:val="00DF5D1A"/>
    <w:rsid w:val="00DF7EFA"/>
    <w:rsid w:val="00E00DF0"/>
    <w:rsid w:val="00E0156A"/>
    <w:rsid w:val="00E01770"/>
    <w:rsid w:val="00E029D7"/>
    <w:rsid w:val="00E034B0"/>
    <w:rsid w:val="00E049BC"/>
    <w:rsid w:val="00E0502A"/>
    <w:rsid w:val="00E056B6"/>
    <w:rsid w:val="00E0655C"/>
    <w:rsid w:val="00E06697"/>
    <w:rsid w:val="00E0734C"/>
    <w:rsid w:val="00E11F7F"/>
    <w:rsid w:val="00E11FDD"/>
    <w:rsid w:val="00E13867"/>
    <w:rsid w:val="00E14C78"/>
    <w:rsid w:val="00E1510F"/>
    <w:rsid w:val="00E1717D"/>
    <w:rsid w:val="00E207CE"/>
    <w:rsid w:val="00E20D83"/>
    <w:rsid w:val="00E225E7"/>
    <w:rsid w:val="00E22B2E"/>
    <w:rsid w:val="00E238ED"/>
    <w:rsid w:val="00E26093"/>
    <w:rsid w:val="00E26704"/>
    <w:rsid w:val="00E26786"/>
    <w:rsid w:val="00E31980"/>
    <w:rsid w:val="00E33583"/>
    <w:rsid w:val="00E33C7D"/>
    <w:rsid w:val="00E33F77"/>
    <w:rsid w:val="00E343E5"/>
    <w:rsid w:val="00E349BA"/>
    <w:rsid w:val="00E36762"/>
    <w:rsid w:val="00E406EE"/>
    <w:rsid w:val="00E4076B"/>
    <w:rsid w:val="00E416A7"/>
    <w:rsid w:val="00E424DF"/>
    <w:rsid w:val="00E44E16"/>
    <w:rsid w:val="00E450CD"/>
    <w:rsid w:val="00E47EAB"/>
    <w:rsid w:val="00E5035F"/>
    <w:rsid w:val="00E5165E"/>
    <w:rsid w:val="00E5213E"/>
    <w:rsid w:val="00E53320"/>
    <w:rsid w:val="00E54A22"/>
    <w:rsid w:val="00E57537"/>
    <w:rsid w:val="00E60B13"/>
    <w:rsid w:val="00E62E2E"/>
    <w:rsid w:val="00E6423C"/>
    <w:rsid w:val="00E65023"/>
    <w:rsid w:val="00E66284"/>
    <w:rsid w:val="00E675F9"/>
    <w:rsid w:val="00E713D4"/>
    <w:rsid w:val="00E71483"/>
    <w:rsid w:val="00E71A04"/>
    <w:rsid w:val="00E7444C"/>
    <w:rsid w:val="00E74798"/>
    <w:rsid w:val="00E75242"/>
    <w:rsid w:val="00E75D90"/>
    <w:rsid w:val="00E806E5"/>
    <w:rsid w:val="00E80932"/>
    <w:rsid w:val="00E80F74"/>
    <w:rsid w:val="00E832A3"/>
    <w:rsid w:val="00E84295"/>
    <w:rsid w:val="00E84780"/>
    <w:rsid w:val="00E85DC9"/>
    <w:rsid w:val="00E90A38"/>
    <w:rsid w:val="00E90A93"/>
    <w:rsid w:val="00E93830"/>
    <w:rsid w:val="00E93D78"/>
    <w:rsid w:val="00E93E0E"/>
    <w:rsid w:val="00E957AA"/>
    <w:rsid w:val="00E95AAC"/>
    <w:rsid w:val="00E966B2"/>
    <w:rsid w:val="00E96F4D"/>
    <w:rsid w:val="00E97B08"/>
    <w:rsid w:val="00EA0D3C"/>
    <w:rsid w:val="00EA482C"/>
    <w:rsid w:val="00EA6ECD"/>
    <w:rsid w:val="00EA730D"/>
    <w:rsid w:val="00EB0113"/>
    <w:rsid w:val="00EB02AD"/>
    <w:rsid w:val="00EB0D2F"/>
    <w:rsid w:val="00EB104A"/>
    <w:rsid w:val="00EB19BA"/>
    <w:rsid w:val="00EB1A25"/>
    <w:rsid w:val="00EB1ED3"/>
    <w:rsid w:val="00EB2B72"/>
    <w:rsid w:val="00EB3D2E"/>
    <w:rsid w:val="00EB7E45"/>
    <w:rsid w:val="00EC1C49"/>
    <w:rsid w:val="00EC2142"/>
    <w:rsid w:val="00EC239F"/>
    <w:rsid w:val="00EC30A1"/>
    <w:rsid w:val="00EC3600"/>
    <w:rsid w:val="00EC4506"/>
    <w:rsid w:val="00EC534A"/>
    <w:rsid w:val="00EC7730"/>
    <w:rsid w:val="00ED0829"/>
    <w:rsid w:val="00ED3183"/>
    <w:rsid w:val="00ED5877"/>
    <w:rsid w:val="00ED7D5F"/>
    <w:rsid w:val="00EE0974"/>
    <w:rsid w:val="00EE0A17"/>
    <w:rsid w:val="00EE0A87"/>
    <w:rsid w:val="00EE1240"/>
    <w:rsid w:val="00EE163D"/>
    <w:rsid w:val="00EE21C7"/>
    <w:rsid w:val="00EE2CF6"/>
    <w:rsid w:val="00EE3063"/>
    <w:rsid w:val="00EE4C81"/>
    <w:rsid w:val="00EE4CE1"/>
    <w:rsid w:val="00EE5659"/>
    <w:rsid w:val="00EE5D6A"/>
    <w:rsid w:val="00EE70B7"/>
    <w:rsid w:val="00EE73E1"/>
    <w:rsid w:val="00EF0489"/>
    <w:rsid w:val="00EF3399"/>
    <w:rsid w:val="00EF4ED7"/>
    <w:rsid w:val="00EF51EF"/>
    <w:rsid w:val="00EF59B2"/>
    <w:rsid w:val="00EF69A1"/>
    <w:rsid w:val="00EF6C70"/>
    <w:rsid w:val="00F019A6"/>
    <w:rsid w:val="00F03BE7"/>
    <w:rsid w:val="00F052D0"/>
    <w:rsid w:val="00F05AAA"/>
    <w:rsid w:val="00F05B06"/>
    <w:rsid w:val="00F061D3"/>
    <w:rsid w:val="00F06B7C"/>
    <w:rsid w:val="00F07502"/>
    <w:rsid w:val="00F07E9D"/>
    <w:rsid w:val="00F1351E"/>
    <w:rsid w:val="00F1651B"/>
    <w:rsid w:val="00F20760"/>
    <w:rsid w:val="00F23D7C"/>
    <w:rsid w:val="00F256E9"/>
    <w:rsid w:val="00F27B58"/>
    <w:rsid w:val="00F314B7"/>
    <w:rsid w:val="00F32D22"/>
    <w:rsid w:val="00F33B9D"/>
    <w:rsid w:val="00F33E1C"/>
    <w:rsid w:val="00F36188"/>
    <w:rsid w:val="00F36507"/>
    <w:rsid w:val="00F365B7"/>
    <w:rsid w:val="00F404E6"/>
    <w:rsid w:val="00F421E8"/>
    <w:rsid w:val="00F43448"/>
    <w:rsid w:val="00F44855"/>
    <w:rsid w:val="00F44DBF"/>
    <w:rsid w:val="00F45721"/>
    <w:rsid w:val="00F45868"/>
    <w:rsid w:val="00F47782"/>
    <w:rsid w:val="00F53467"/>
    <w:rsid w:val="00F53A24"/>
    <w:rsid w:val="00F54786"/>
    <w:rsid w:val="00F549AC"/>
    <w:rsid w:val="00F5554B"/>
    <w:rsid w:val="00F639F9"/>
    <w:rsid w:val="00F64406"/>
    <w:rsid w:val="00F645C3"/>
    <w:rsid w:val="00F6609E"/>
    <w:rsid w:val="00F67058"/>
    <w:rsid w:val="00F6751E"/>
    <w:rsid w:val="00F744DF"/>
    <w:rsid w:val="00F765D5"/>
    <w:rsid w:val="00F80007"/>
    <w:rsid w:val="00F80340"/>
    <w:rsid w:val="00F80815"/>
    <w:rsid w:val="00F810AF"/>
    <w:rsid w:val="00F83C49"/>
    <w:rsid w:val="00F8692D"/>
    <w:rsid w:val="00F871AC"/>
    <w:rsid w:val="00F87585"/>
    <w:rsid w:val="00F90771"/>
    <w:rsid w:val="00F90AD8"/>
    <w:rsid w:val="00F91B82"/>
    <w:rsid w:val="00F94CBB"/>
    <w:rsid w:val="00F94EFB"/>
    <w:rsid w:val="00FA03A4"/>
    <w:rsid w:val="00FA18F9"/>
    <w:rsid w:val="00FA1B76"/>
    <w:rsid w:val="00FA2030"/>
    <w:rsid w:val="00FA2576"/>
    <w:rsid w:val="00FA63C5"/>
    <w:rsid w:val="00FB0881"/>
    <w:rsid w:val="00FB687C"/>
    <w:rsid w:val="00FC11C2"/>
    <w:rsid w:val="00FC2AD5"/>
    <w:rsid w:val="00FC4110"/>
    <w:rsid w:val="00FC4B0C"/>
    <w:rsid w:val="00FC5537"/>
    <w:rsid w:val="00FC5A8D"/>
    <w:rsid w:val="00FC7432"/>
    <w:rsid w:val="00FD0904"/>
    <w:rsid w:val="00FD095D"/>
    <w:rsid w:val="00FD13D4"/>
    <w:rsid w:val="00FD1A92"/>
    <w:rsid w:val="00FD1B4C"/>
    <w:rsid w:val="00FD1B76"/>
    <w:rsid w:val="00FD1FFE"/>
    <w:rsid w:val="00FD20A5"/>
    <w:rsid w:val="00FD2B62"/>
    <w:rsid w:val="00FD3C51"/>
    <w:rsid w:val="00FD5670"/>
    <w:rsid w:val="00FD61CA"/>
    <w:rsid w:val="00FD6597"/>
    <w:rsid w:val="00FE0108"/>
    <w:rsid w:val="00FE0250"/>
    <w:rsid w:val="00FE0770"/>
    <w:rsid w:val="00FE114D"/>
    <w:rsid w:val="00FE1550"/>
    <w:rsid w:val="00FE1976"/>
    <w:rsid w:val="00FE1CD8"/>
    <w:rsid w:val="00FE1D26"/>
    <w:rsid w:val="00FE2896"/>
    <w:rsid w:val="00FE341D"/>
    <w:rsid w:val="00FE6BEE"/>
    <w:rsid w:val="00FE7544"/>
    <w:rsid w:val="00FE79B4"/>
    <w:rsid w:val="00FF05BE"/>
    <w:rsid w:val="00FF506A"/>
    <w:rsid w:val="00FF5519"/>
    <w:rsid w:val="00FF56CB"/>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 w:type="paragraph" w:styleId="Normlnweb">
    <w:name w:val="Normal (Web)"/>
    <w:basedOn w:val="Normln"/>
    <w:uiPriority w:val="99"/>
    <w:unhideWhenUsed/>
    <w:rsid w:val="00C87AF0"/>
    <w:pPr>
      <w:spacing w:before="100" w:beforeAutospacing="1" w:after="100" w:afterAutospacing="1" w:line="240" w:lineRule="auto"/>
      <w:jc w:val="left"/>
    </w:pPr>
    <w:rPr>
      <w:rFonts w:ascii="Times New Roman" w:eastAsia="Times New Roman" w:hAnsi="Times New Roman"/>
      <w:sz w:val="24"/>
      <w:szCs w:val="24"/>
      <w:lang w:eastAsia="cs-CZ"/>
    </w:rPr>
  </w:style>
  <w:style w:type="paragraph" w:styleId="Odstavecseseznamem">
    <w:name w:val="List Paragraph"/>
    <w:basedOn w:val="Normln"/>
    <w:uiPriority w:val="34"/>
    <w:rsid w:val="00C67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92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roducer-prices-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lav.beranek@czso.cz" TargetMode="External"/><Relationship Id="rId4" Type="http://schemas.openxmlformats.org/officeDocument/2006/relationships/settings" Target="settings.xml"/><Relationship Id="rId9" Type="http://schemas.openxmlformats.org/officeDocument/2006/relationships/hyperlink" Target="mailto:jiri.sulc@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777FD9-E2ED-4026-8EAE-12F1D421C471}">
  <ds:schemaRefs>
    <ds:schemaRef ds:uri="http://schemas.openxmlformats.org/officeDocument/2006/bibliography"/>
  </ds:schemaRefs>
</ds:datastoreItem>
</file>

<file path=customXml/itemProps2.xml><?xml version="1.0" encoding="utf-8"?>
<ds:datastoreItem xmlns:ds="http://schemas.openxmlformats.org/officeDocument/2006/customXml" ds:itemID="{AD7D55E5-5BA1-4E60-9E38-C4CB2BF4C653}"/>
</file>

<file path=customXml/itemProps3.xml><?xml version="1.0" encoding="utf-8"?>
<ds:datastoreItem xmlns:ds="http://schemas.openxmlformats.org/officeDocument/2006/customXml" ds:itemID="{D3E21D85-79B8-4B77-842A-B8F2A5177586}"/>
</file>

<file path=customXml/itemProps4.xml><?xml version="1.0" encoding="utf-8"?>
<ds:datastoreItem xmlns:ds="http://schemas.openxmlformats.org/officeDocument/2006/customXml" ds:itemID="{45EEE990-E336-4EFC-8C01-81CF1A36FA8B}"/>
</file>

<file path=docProps/app.xml><?xml version="1.0" encoding="utf-8"?>
<Properties xmlns="http://schemas.openxmlformats.org/officeDocument/2006/extended-properties" xmlns:vt="http://schemas.openxmlformats.org/officeDocument/2006/docPropsVTypes">
  <Template>Rychlá informace ENG.dotx</Template>
  <TotalTime>640</TotalTime>
  <Pages>4</Pages>
  <Words>1437</Words>
  <Characters>8479</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9897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Sýkorová Hana</cp:lastModifiedBy>
  <cp:revision>262</cp:revision>
  <cp:lastPrinted>2022-12-13T12:37:00Z</cp:lastPrinted>
  <dcterms:created xsi:type="dcterms:W3CDTF">2022-08-12T09:03:00Z</dcterms:created>
  <dcterms:modified xsi:type="dcterms:W3CDTF">2022-12-14T11:37:00Z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