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02C9" w14:textId="77777777" w:rsidR="001202E0" w:rsidRDefault="001202E0" w:rsidP="001202E0">
      <w:pPr>
        <w:pStyle w:val="Datum"/>
        <w:spacing w:line="360" w:lineRule="auto"/>
      </w:pPr>
      <w:r>
        <w:t>22. 4. 2021</w:t>
      </w:r>
    </w:p>
    <w:p w14:paraId="3D729A6F" w14:textId="77777777" w:rsidR="001202E0" w:rsidRDefault="001202E0" w:rsidP="001202E0">
      <w:pPr>
        <w:pStyle w:val="Nzev"/>
      </w:pPr>
      <w:r w:rsidRPr="00E93A8B">
        <w:t xml:space="preserve">Saldo hospodaření </w:t>
      </w:r>
      <w:r>
        <w:t xml:space="preserve">vládních institucí </w:t>
      </w:r>
      <w:r w:rsidRPr="00E93A8B">
        <w:t>skončilo v</w:t>
      </w:r>
      <w:r>
        <w:t> </w:t>
      </w:r>
      <w:r w:rsidRPr="00E93A8B">
        <w:t>deficitu</w:t>
      </w:r>
      <w:r>
        <w:t xml:space="preserve"> </w:t>
      </w:r>
    </w:p>
    <w:p w14:paraId="709B5DC0" w14:textId="77777777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20</w:t>
      </w:r>
    </w:p>
    <w:p w14:paraId="13688F41" w14:textId="77777777" w:rsidR="001202E0" w:rsidRDefault="001202E0" w:rsidP="001202E0"/>
    <w:p w14:paraId="257A5112" w14:textId="6A0D401D" w:rsidR="001202E0" w:rsidRPr="004F3554" w:rsidRDefault="001202E0" w:rsidP="001202E0">
      <w:pPr>
        <w:rPr>
          <w:b/>
        </w:rPr>
      </w:pPr>
      <w:r w:rsidRPr="008B001A">
        <w:rPr>
          <w:b/>
        </w:rPr>
        <w:t xml:space="preserve">Pravidelné konzultace mezi Eurostatem a Českým statistickým úřadem </w:t>
      </w:r>
      <w:r>
        <w:rPr>
          <w:b/>
        </w:rPr>
        <w:t>ověřil</w:t>
      </w:r>
      <w:r w:rsidRPr="008B001A">
        <w:rPr>
          <w:b/>
        </w:rPr>
        <w:t xml:space="preserve">y výši </w:t>
      </w:r>
      <w:r>
        <w:rPr>
          <w:b/>
        </w:rPr>
        <w:t>schodku</w:t>
      </w:r>
      <w:r w:rsidRPr="008B001A">
        <w:rPr>
          <w:b/>
        </w:rPr>
        <w:t xml:space="preserve"> hospodaření a dluhu vládních institucí, jež byly publikovány v rámci Rychlých informací </w:t>
      </w:r>
      <w:r>
        <w:rPr>
          <w:b/>
        </w:rPr>
        <w:t>1</w:t>
      </w:r>
      <w:r w:rsidRPr="008B001A">
        <w:rPr>
          <w:b/>
        </w:rPr>
        <w:t>. dubna 20</w:t>
      </w:r>
      <w:r>
        <w:rPr>
          <w:b/>
        </w:rPr>
        <w:t>21. Bylo potvrzeno, že s</w:t>
      </w:r>
      <w:r w:rsidRPr="0034219B">
        <w:rPr>
          <w:b/>
        </w:rPr>
        <w:t>aldo hospodaření sektoru vládních institucí skončilo v</w:t>
      </w:r>
      <w:r>
        <w:rPr>
          <w:b/>
        </w:rPr>
        <w:t> </w:t>
      </w:r>
      <w:r w:rsidRPr="0034219B">
        <w:rPr>
          <w:b/>
        </w:rPr>
        <w:t>roce</w:t>
      </w:r>
      <w:r>
        <w:rPr>
          <w:b/>
        </w:rPr>
        <w:t xml:space="preserve"> </w:t>
      </w:r>
      <w:r w:rsidRPr="0034219B">
        <w:rPr>
          <w:b/>
        </w:rPr>
        <w:t>20</w:t>
      </w:r>
      <w:r>
        <w:rPr>
          <w:b/>
        </w:rPr>
        <w:t xml:space="preserve">20 schodkem </w:t>
      </w:r>
      <w:r w:rsidRPr="0034219B">
        <w:rPr>
          <w:b/>
        </w:rPr>
        <w:t>ve</w:t>
      </w:r>
      <w:r>
        <w:rPr>
          <w:b/>
        </w:rPr>
        <w:t xml:space="preserve"> </w:t>
      </w:r>
      <w:r w:rsidRPr="0034219B">
        <w:rPr>
          <w:b/>
        </w:rPr>
        <w:t>výši</w:t>
      </w:r>
      <w:r>
        <w:rPr>
          <w:b/>
        </w:rPr>
        <w:t xml:space="preserve"> 348,0 </w:t>
      </w:r>
      <w:r w:rsidRPr="0034219B">
        <w:rPr>
          <w:b/>
        </w:rPr>
        <w:t xml:space="preserve">miliard Kč, jenž v relativním vyjádření odpovídá </w:t>
      </w:r>
      <w:r>
        <w:rPr>
          <w:b/>
        </w:rPr>
        <w:t>6,2</w:t>
      </w:r>
      <w:r w:rsidRPr="0034219B">
        <w:rPr>
          <w:b/>
        </w:rPr>
        <w:t xml:space="preserve"> % HDP, a </w:t>
      </w:r>
      <w:r>
        <w:rPr>
          <w:b/>
        </w:rPr>
        <w:t>zadlužení sektoru dosáhlo</w:t>
      </w:r>
      <w:r w:rsidRPr="0034219B">
        <w:rPr>
          <w:b/>
        </w:rPr>
        <w:t xml:space="preserve"> na konci roku 20</w:t>
      </w:r>
      <w:r>
        <w:rPr>
          <w:b/>
        </w:rPr>
        <w:t>20</w:t>
      </w:r>
      <w:r w:rsidRPr="0034219B">
        <w:rPr>
          <w:b/>
        </w:rPr>
        <w:t xml:space="preserve"> úrovně </w:t>
      </w:r>
      <w:r>
        <w:rPr>
          <w:b/>
        </w:rPr>
        <w:t>38,1</w:t>
      </w:r>
      <w:r w:rsidRPr="0034219B">
        <w:rPr>
          <w:b/>
        </w:rPr>
        <w:t xml:space="preserve"> % HDP.</w:t>
      </w:r>
      <w:bookmarkStart w:id="0" w:name="_GoBack"/>
      <w:bookmarkEnd w:id="0"/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64355FE3" w14:textId="77777777" w:rsidR="001202E0" w:rsidRPr="00F976BB" w:rsidRDefault="001202E0" w:rsidP="001202E0">
      <w:pPr>
        <w:rPr>
          <w:rFonts w:cs="Arial"/>
          <w:szCs w:val="20"/>
        </w:rPr>
      </w:pPr>
      <w:r w:rsidRPr="006A7ACA">
        <w:t>K</w:t>
      </w:r>
      <w:r>
        <w:t xml:space="preserve"> údajům o deficitu a dluhu vládních institucí České republiky </w:t>
      </w:r>
      <w:r w:rsidRPr="006A7ACA">
        <w:t xml:space="preserve">nebyly ze strany </w:t>
      </w:r>
      <w:r>
        <w:t>Eurostatu</w:t>
      </w:r>
      <w:r w:rsidRPr="006A7ACA">
        <w:t xml:space="preserve"> vysloveny výhrady</w:t>
      </w:r>
      <w:r>
        <w:t>.</w:t>
      </w:r>
    </w:p>
    <w:p w14:paraId="6EAC8198" w14:textId="77777777" w:rsidR="001202E0" w:rsidRDefault="001202E0" w:rsidP="001202E0"/>
    <w:p w14:paraId="6AF4A744" w14:textId="77777777" w:rsidR="001202E0" w:rsidRPr="00556B2C" w:rsidRDefault="001202E0" w:rsidP="001202E0">
      <w:pPr>
        <w:pStyle w:val="TabulkaGraf"/>
      </w:pPr>
      <w:r>
        <w:t xml:space="preserve"> </w:t>
      </w:r>
      <w:r w:rsidRPr="00556B2C">
        <w:t>Notifikační tabulka deficitu a dluhu vládních institucí, Česká republika, 201</w:t>
      </w:r>
      <w:r>
        <w:t>7–</w:t>
      </w:r>
      <w:r w:rsidRPr="00556B2C">
        <w:t>20</w:t>
      </w:r>
      <w:r>
        <w:t>20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1202E0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77777777" w:rsidR="001202E0" w:rsidRDefault="001202E0" w:rsidP="006C4018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1043" w:type="dxa"/>
            <w:vAlign w:val="center"/>
          </w:tcPr>
          <w:p w14:paraId="3E1BE148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2" w:type="dxa"/>
            <w:vAlign w:val="center"/>
          </w:tcPr>
          <w:p w14:paraId="4E9E5648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14:paraId="2B60DACE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</w:tr>
      <w:tr w:rsidR="001202E0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1202E0" w:rsidRPr="00556B2C" w:rsidRDefault="001202E0" w:rsidP="006C401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76 733</w:t>
            </w:r>
          </w:p>
        </w:tc>
        <w:tc>
          <w:tcPr>
            <w:tcW w:w="1043" w:type="dxa"/>
            <w:vAlign w:val="center"/>
          </w:tcPr>
          <w:p w14:paraId="5FFD5B0F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49 388</w:t>
            </w:r>
          </w:p>
        </w:tc>
        <w:tc>
          <w:tcPr>
            <w:tcW w:w="1042" w:type="dxa"/>
            <w:vAlign w:val="center"/>
          </w:tcPr>
          <w:p w14:paraId="159B3B53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17 859</w:t>
            </w:r>
          </w:p>
        </w:tc>
        <w:tc>
          <w:tcPr>
            <w:tcW w:w="1043" w:type="dxa"/>
            <w:vAlign w:val="center"/>
          </w:tcPr>
          <w:p w14:paraId="7F3F8FB4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-347 951</w:t>
            </w:r>
          </w:p>
        </w:tc>
      </w:tr>
      <w:tr w:rsidR="001202E0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1202E0" w:rsidRPr="00556B2C" w:rsidRDefault="001202E0" w:rsidP="006C401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1 749 677</w:t>
            </w:r>
          </w:p>
        </w:tc>
        <w:tc>
          <w:tcPr>
            <w:tcW w:w="1043" w:type="dxa"/>
            <w:vAlign w:val="center"/>
          </w:tcPr>
          <w:p w14:paraId="6110CEA6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2" w:type="dxa"/>
            <w:vAlign w:val="center"/>
          </w:tcPr>
          <w:p w14:paraId="5CD48F18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1 739 932</w:t>
            </w:r>
          </w:p>
        </w:tc>
        <w:tc>
          <w:tcPr>
            <w:tcW w:w="1043" w:type="dxa"/>
            <w:vAlign w:val="center"/>
          </w:tcPr>
          <w:p w14:paraId="61826EEC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2 153 032</w:t>
            </w:r>
          </w:p>
        </w:tc>
      </w:tr>
      <w:tr w:rsidR="001202E0" w:rsidRPr="00556B2C" w14:paraId="4BD08029" w14:textId="77777777" w:rsidTr="006C4018">
        <w:tc>
          <w:tcPr>
            <w:tcW w:w="3261" w:type="dxa"/>
            <w:vAlign w:val="center"/>
          </w:tcPr>
          <w:p w14:paraId="1343917D" w14:textId="77777777" w:rsidR="001202E0" w:rsidRPr="00556B2C" w:rsidRDefault="001202E0" w:rsidP="006C401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14:paraId="223118B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508EEA91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5 110 743</w:t>
            </w:r>
          </w:p>
        </w:tc>
        <w:tc>
          <w:tcPr>
            <w:tcW w:w="1043" w:type="dxa"/>
            <w:vAlign w:val="center"/>
          </w:tcPr>
          <w:p w14:paraId="15C9A9B3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5 409 665</w:t>
            </w:r>
          </w:p>
        </w:tc>
        <w:tc>
          <w:tcPr>
            <w:tcW w:w="1042" w:type="dxa"/>
            <w:vAlign w:val="center"/>
          </w:tcPr>
          <w:p w14:paraId="747FF684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5 748 805</w:t>
            </w:r>
          </w:p>
        </w:tc>
        <w:tc>
          <w:tcPr>
            <w:tcW w:w="1043" w:type="dxa"/>
            <w:vAlign w:val="center"/>
          </w:tcPr>
          <w:p w14:paraId="6C211286" w14:textId="77777777" w:rsidR="001202E0" w:rsidRDefault="001202E0" w:rsidP="006C401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5 652 401</w:t>
            </w:r>
          </w:p>
        </w:tc>
      </w:tr>
      <w:tr w:rsidR="001202E0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1202E0" w:rsidRPr="00556B2C" w:rsidRDefault="001202E0" w:rsidP="006C401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1043" w:type="dxa"/>
            <w:vAlign w:val="center"/>
          </w:tcPr>
          <w:p w14:paraId="5886561E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2" w:type="dxa"/>
            <w:vAlign w:val="center"/>
          </w:tcPr>
          <w:p w14:paraId="34A2B41C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14:paraId="60E46FA2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-6,2</w:t>
            </w:r>
          </w:p>
        </w:tc>
      </w:tr>
      <w:tr w:rsidR="001202E0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1202E0" w:rsidRPr="00556B2C" w:rsidRDefault="001202E0" w:rsidP="006C401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34,2</w:t>
            </w:r>
          </w:p>
        </w:tc>
        <w:tc>
          <w:tcPr>
            <w:tcW w:w="1043" w:type="dxa"/>
            <w:vAlign w:val="center"/>
          </w:tcPr>
          <w:p w14:paraId="4E248D40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2" w:type="dxa"/>
            <w:vAlign w:val="center"/>
          </w:tcPr>
          <w:p w14:paraId="6B4BA7C4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30,3</w:t>
            </w:r>
          </w:p>
        </w:tc>
        <w:tc>
          <w:tcPr>
            <w:tcW w:w="1043" w:type="dxa"/>
            <w:vAlign w:val="center"/>
          </w:tcPr>
          <w:p w14:paraId="506FEA09" w14:textId="77777777" w:rsidR="001202E0" w:rsidRDefault="001202E0" w:rsidP="006C40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38,1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41B5C214" w14:textId="77777777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Údaje za všechny členské státy Evropské unie budou publikovány na stránkách Eurostatu </w:t>
      </w:r>
      <w:r>
        <w:rPr>
          <w:rFonts w:ascii="Arial" w:hAnsi="Arial" w:cs="Arial"/>
          <w:szCs w:val="20"/>
        </w:rPr>
        <w:br/>
        <w:t>v úterý 22. 04. 2021 v 11:00.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8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18D5499A" w:rsidR="000D1F29" w:rsidRPr="00A3199C" w:rsidRDefault="001202E0" w:rsidP="00104F6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01. 10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21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107D" w14:textId="77777777" w:rsidR="00883542" w:rsidRDefault="00883542" w:rsidP="00BA6370">
      <w:r>
        <w:separator/>
      </w:r>
    </w:p>
  </w:endnote>
  <w:endnote w:type="continuationSeparator" w:id="0">
    <w:p w14:paraId="3B799018" w14:textId="77777777" w:rsidR="00883542" w:rsidRDefault="008835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77777777" w:rsidR="00D16A21" w:rsidRDefault="004F3554">
    <w:pPr>
      <w:pStyle w:val="Zpat"/>
    </w:pPr>
    <w:r>
      <w:rPr>
        <w:noProof/>
      </w:rPr>
      <w:pict w14:anchorId="33A377C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6541FAB8" w14:textId="77777777"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2F3C5803" w14:textId="3D3125D9"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4F3554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137659D"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328D" w14:textId="77777777" w:rsidR="00883542" w:rsidRDefault="00883542" w:rsidP="00BA6370">
      <w:r>
        <w:separator/>
      </w:r>
    </w:p>
  </w:footnote>
  <w:footnote w:type="continuationSeparator" w:id="0">
    <w:p w14:paraId="68B196E5" w14:textId="77777777" w:rsidR="00883542" w:rsidRDefault="008835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7777777" w:rsidR="00D16A21" w:rsidRDefault="004F3554">
    <w:pPr>
      <w:pStyle w:val="Zhlav"/>
    </w:pPr>
    <w:r>
      <w:rPr>
        <w:noProof/>
        <w:lang w:eastAsia="cs-CZ"/>
      </w:rPr>
      <w:pict w14:anchorId="03D59435"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E421E"/>
    <w:rsid w:val="000E43CC"/>
    <w:rsid w:val="000F02BD"/>
    <w:rsid w:val="000F2C04"/>
    <w:rsid w:val="00104F61"/>
    <w:rsid w:val="001202E0"/>
    <w:rsid w:val="001227FF"/>
    <w:rsid w:val="00132653"/>
    <w:rsid w:val="001404AB"/>
    <w:rsid w:val="00147103"/>
    <w:rsid w:val="001716F1"/>
    <w:rsid w:val="0017231D"/>
    <w:rsid w:val="001810DC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A2F2D"/>
    <w:rsid w:val="003A45C8"/>
    <w:rsid w:val="003A54D1"/>
    <w:rsid w:val="003A7B1D"/>
    <w:rsid w:val="003B79DB"/>
    <w:rsid w:val="003C0C61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3554"/>
    <w:rsid w:val="004F623F"/>
    <w:rsid w:val="004F686C"/>
    <w:rsid w:val="004F78E6"/>
    <w:rsid w:val="0050188C"/>
    <w:rsid w:val="0050241E"/>
    <w:rsid w:val="0050420E"/>
    <w:rsid w:val="00512D99"/>
    <w:rsid w:val="00527D38"/>
    <w:rsid w:val="00531DBB"/>
    <w:rsid w:val="0055156B"/>
    <w:rsid w:val="00553C9E"/>
    <w:rsid w:val="00556B2C"/>
    <w:rsid w:val="00566875"/>
    <w:rsid w:val="00573994"/>
    <w:rsid w:val="00575358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3D82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3500C"/>
    <w:rsid w:val="0074068B"/>
    <w:rsid w:val="00753A1B"/>
    <w:rsid w:val="00754C20"/>
    <w:rsid w:val="00774497"/>
    <w:rsid w:val="00774594"/>
    <w:rsid w:val="00786FE2"/>
    <w:rsid w:val="00787EB7"/>
    <w:rsid w:val="007A2048"/>
    <w:rsid w:val="007A57F2"/>
    <w:rsid w:val="007B1333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39A2"/>
    <w:rsid w:val="00855FB3"/>
    <w:rsid w:val="00861D0E"/>
    <w:rsid w:val="008662BB"/>
    <w:rsid w:val="00867569"/>
    <w:rsid w:val="00874492"/>
    <w:rsid w:val="008775F4"/>
    <w:rsid w:val="00883542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67D65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70A83"/>
    <w:rsid w:val="00A71AA1"/>
    <w:rsid w:val="00A81EB3"/>
    <w:rsid w:val="00A9120D"/>
    <w:rsid w:val="00AA13A4"/>
    <w:rsid w:val="00AB3410"/>
    <w:rsid w:val="00AB45CA"/>
    <w:rsid w:val="00AB52BB"/>
    <w:rsid w:val="00AE2068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B3541"/>
    <w:rsid w:val="00BD2ACB"/>
    <w:rsid w:val="00BD5CE7"/>
    <w:rsid w:val="00C038F2"/>
    <w:rsid w:val="00C071C3"/>
    <w:rsid w:val="00C269D4"/>
    <w:rsid w:val="00C37ADB"/>
    <w:rsid w:val="00C4160D"/>
    <w:rsid w:val="00C57C62"/>
    <w:rsid w:val="00C60083"/>
    <w:rsid w:val="00C62738"/>
    <w:rsid w:val="00C82C4F"/>
    <w:rsid w:val="00C8406E"/>
    <w:rsid w:val="00C87A51"/>
    <w:rsid w:val="00C91C72"/>
    <w:rsid w:val="00CA15B7"/>
    <w:rsid w:val="00CB2709"/>
    <w:rsid w:val="00CB6D72"/>
    <w:rsid w:val="00CB6F89"/>
    <w:rsid w:val="00CC0AE9"/>
    <w:rsid w:val="00CC63B6"/>
    <w:rsid w:val="00CD1AD0"/>
    <w:rsid w:val="00CD2268"/>
    <w:rsid w:val="00CE228C"/>
    <w:rsid w:val="00CE71D9"/>
    <w:rsid w:val="00CF545B"/>
    <w:rsid w:val="00D06B30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16C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20C1C"/>
    <w:rsid w:val="00E22E2E"/>
    <w:rsid w:val="00E26704"/>
    <w:rsid w:val="00E31980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5D7E"/>
    <w:rsid w:val="00F671C0"/>
    <w:rsid w:val="00F75F2A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F54F-547D-48A7-A125-A4D408C1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2358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houzvickova</cp:lastModifiedBy>
  <cp:revision>11</cp:revision>
  <cp:lastPrinted>2020-03-31T09:50:00Z</cp:lastPrinted>
  <dcterms:created xsi:type="dcterms:W3CDTF">2016-09-30T07:31:00Z</dcterms:created>
  <dcterms:modified xsi:type="dcterms:W3CDTF">2021-04-21T06:49:00Z</dcterms:modified>
</cp:coreProperties>
</file>