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7361E" w:rsidP="00AE6D5B">
      <w:pPr>
        <w:pStyle w:val="Datum"/>
      </w:pPr>
      <w:r>
        <w:t>20. dub</w:t>
      </w:r>
      <w:r w:rsidR="001476B3">
        <w:t>na</w:t>
      </w:r>
      <w:r w:rsidR="0033176A">
        <w:t xml:space="preserve"> </w:t>
      </w:r>
      <w:r w:rsidR="00425957">
        <w:t>2021</w:t>
      </w:r>
    </w:p>
    <w:p w:rsidR="00867569" w:rsidRPr="00AE6D5B" w:rsidRDefault="0077361E" w:rsidP="00AE6D5B">
      <w:pPr>
        <w:pStyle w:val="Nzev"/>
      </w:pPr>
      <w:bookmarkStart w:id="0" w:name="_GoBack"/>
      <w:r w:rsidRPr="0077361E">
        <w:t>Nejvyšší meziroční růst cen průmyslových výrobců za 22 měsíců</w:t>
      </w:r>
    </w:p>
    <w:bookmarkEnd w:id="0"/>
    <w:p w:rsidR="001E178C" w:rsidRDefault="0077361E" w:rsidP="00425957">
      <w:pPr>
        <w:pStyle w:val="Perex"/>
        <w:spacing w:line="240" w:lineRule="auto"/>
        <w:jc w:val="left"/>
      </w:pPr>
      <w:r w:rsidRPr="0077361E">
        <w:t xml:space="preserve">Meziměsíčně se zvýšily ceny zemědělských výrobců o 1,8 %, průmyslových výrobců </w:t>
      </w:r>
      <w:r>
        <w:br/>
      </w:r>
      <w:r w:rsidRPr="0077361E">
        <w:t>o 1,4 %, stavebních prací o 0,6 % a tržních služeb pro podniky o 0,8 %. Meziročně byly ceny zemědělských výrobců vyšší o 0,4 %, ceny průmyslových výrobců o 3,3 %, stavebních prací o 1,9 % a tržních služeb pro podniky o 0,7 %.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77361E" w:rsidRPr="0077361E">
        <w:rPr>
          <w:rFonts w:cs="Arial"/>
          <w:i/>
          <w:szCs w:val="20"/>
          <w:lang w:eastAsia="cs-CZ"/>
        </w:rPr>
        <w:t xml:space="preserve">Ceny průmyslových výrobců vzrostly v březnu 2021 proti únoru o 1,4 %. Meziročně svůj růst zrychlily na 3,3 %, což byl nejvyšší růst od května 2019. Největší podíl na tomto vývoji měl růst cen v odvětví koksu a rafinérských ropných produktů. V navazujícím odvětví chemických látek </w:t>
      </w:r>
      <w:r w:rsidR="004D46CE">
        <w:rPr>
          <w:rFonts w:cs="Arial"/>
          <w:i/>
          <w:szCs w:val="20"/>
          <w:lang w:eastAsia="cs-CZ"/>
        </w:rPr>
        <w:br/>
      </w:r>
      <w:r w:rsidR="0077361E" w:rsidRPr="0077361E">
        <w:rPr>
          <w:rFonts w:cs="Arial"/>
          <w:i/>
          <w:szCs w:val="20"/>
          <w:lang w:eastAsia="cs-CZ"/>
        </w:rPr>
        <w:t>a výrobků se ceny zvýšily o 8,3 %.</w:t>
      </w:r>
      <w:r w:rsidR="001476B3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4D46CE">
          <w:rPr>
            <w:rStyle w:val="Hypertextovodkaz"/>
          </w:rPr>
          <w:t>https://www.czso.cz/csu</w:t>
        </w:r>
        <w:r w:rsidR="00E1745E" w:rsidRPr="004D46CE">
          <w:rPr>
            <w:rStyle w:val="Hypertextovodkaz"/>
          </w:rPr>
          <w:t>/czso</w:t>
        </w:r>
        <w:r w:rsidR="00B77463" w:rsidRPr="004D46CE">
          <w:rPr>
            <w:rStyle w:val="Hypertextovodkaz"/>
          </w:rPr>
          <w:t>/cri/indexy-cen-vyrobcu-</w:t>
        </w:r>
        <w:r w:rsidR="004D46CE" w:rsidRPr="004D46CE">
          <w:rPr>
            <w:rStyle w:val="Hypertextovodkaz"/>
          </w:rPr>
          <w:t>brezen</w:t>
        </w:r>
        <w:r w:rsidR="00082AAA" w:rsidRPr="004D46CE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80" w:rsidRDefault="00A35D80" w:rsidP="00BA6370">
      <w:r>
        <w:separator/>
      </w:r>
    </w:p>
  </w:endnote>
  <w:endnote w:type="continuationSeparator" w:id="0">
    <w:p w:rsidR="00A35D80" w:rsidRDefault="00A35D8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4D46C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4D46C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80" w:rsidRDefault="00A35D80" w:rsidP="00BA6370">
      <w:r>
        <w:separator/>
      </w:r>
    </w:p>
  </w:footnote>
  <w:footnote w:type="continuationSeparator" w:id="0">
    <w:p w:rsidR="00A35D80" w:rsidRDefault="00A35D8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83AAC7D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brez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FC7-2D5E-4F02-9320-CF43184B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1121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2021-04-19T09:40:00Z</dcterms:created>
  <dcterms:modified xsi:type="dcterms:W3CDTF">2021-04-19T09:40:00Z</dcterms:modified>
</cp:coreProperties>
</file>