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94" w:rsidRDefault="00575358" w:rsidP="00D75F5F">
      <w:pPr>
        <w:pStyle w:val="Datum"/>
        <w:spacing w:line="360" w:lineRule="auto"/>
      </w:pPr>
      <w:r>
        <w:t>1</w:t>
      </w:r>
      <w:r w:rsidR="00645994">
        <w:t>. </w:t>
      </w:r>
      <w:r>
        <w:t>4</w:t>
      </w:r>
      <w:r w:rsidR="00D15313">
        <w:t>.</w:t>
      </w:r>
      <w:r w:rsidR="00645994">
        <w:t xml:space="preserve"> 20</w:t>
      </w:r>
      <w:r>
        <w:t>20</w:t>
      </w:r>
    </w:p>
    <w:p w:rsidR="00D75F5F" w:rsidRPr="00D75F5F" w:rsidRDefault="00D75F5F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 w:rsidRPr="00D75F5F">
        <w:rPr>
          <w:color w:val="BD1B21"/>
          <w:sz w:val="32"/>
          <w:szCs w:val="32"/>
        </w:rPr>
        <w:t xml:space="preserve">Saldo hospodaření </w:t>
      </w:r>
      <w:r w:rsidR="00281845">
        <w:rPr>
          <w:color w:val="BD1B21"/>
          <w:sz w:val="32"/>
          <w:szCs w:val="32"/>
        </w:rPr>
        <w:t xml:space="preserve">skončilo </w:t>
      </w:r>
      <w:r w:rsidRPr="00D75F5F">
        <w:rPr>
          <w:color w:val="BD1B21"/>
          <w:sz w:val="32"/>
          <w:szCs w:val="32"/>
        </w:rPr>
        <w:t>v</w:t>
      </w:r>
      <w:r w:rsidR="00FD165A">
        <w:rPr>
          <w:color w:val="BD1B21"/>
          <w:sz w:val="32"/>
          <w:szCs w:val="32"/>
        </w:rPr>
        <w:t> </w:t>
      </w:r>
      <w:r w:rsidRPr="00D75F5F">
        <w:rPr>
          <w:color w:val="BD1B21"/>
          <w:sz w:val="32"/>
          <w:szCs w:val="32"/>
        </w:rPr>
        <w:t>přebytku</w:t>
      </w:r>
    </w:p>
    <w:p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201</w:t>
      </w:r>
      <w:r w:rsidR="00575358">
        <w:rPr>
          <w:color w:val="auto"/>
          <w:sz w:val="28"/>
          <w:szCs w:val="28"/>
        </w:rPr>
        <w:t>9</w:t>
      </w:r>
    </w:p>
    <w:p w:rsidR="00D75F5F" w:rsidRDefault="00D75F5F" w:rsidP="00645994"/>
    <w:p w:rsidR="00556B2C" w:rsidRPr="001227FF" w:rsidRDefault="00556B2C" w:rsidP="00556B2C">
      <w:pPr>
        <w:rPr>
          <w:b/>
        </w:rPr>
      </w:pPr>
      <w:r w:rsidRPr="001227FF">
        <w:rPr>
          <w:b/>
        </w:rPr>
        <w:t xml:space="preserve">Saldo hospodaření sektoru vládních institucí skončilo </w:t>
      </w:r>
      <w:r w:rsidR="00AE2068" w:rsidRPr="001227FF">
        <w:rPr>
          <w:b/>
        </w:rPr>
        <w:t>za rok</w:t>
      </w:r>
      <w:r w:rsidRPr="001227FF">
        <w:rPr>
          <w:b/>
        </w:rPr>
        <w:t xml:space="preserve"> 201</w:t>
      </w:r>
      <w:r w:rsidR="005871B4" w:rsidRPr="001227FF">
        <w:rPr>
          <w:b/>
        </w:rPr>
        <w:t>9</w:t>
      </w:r>
      <w:r w:rsidRPr="001227FF">
        <w:rPr>
          <w:b/>
        </w:rPr>
        <w:t xml:space="preserve"> přebytkem ve výši </w:t>
      </w:r>
      <w:r w:rsidRPr="001227FF">
        <w:rPr>
          <w:b/>
        </w:rPr>
        <w:br/>
      </w:r>
      <w:r w:rsidR="001D32E6" w:rsidRPr="001227FF">
        <w:rPr>
          <w:b/>
        </w:rPr>
        <w:t>15,</w:t>
      </w:r>
      <w:r w:rsidR="0033580D" w:rsidRPr="001227FF">
        <w:rPr>
          <w:b/>
        </w:rPr>
        <w:t>4</w:t>
      </w:r>
      <w:r w:rsidRPr="001227FF">
        <w:rPr>
          <w:b/>
        </w:rPr>
        <w:t xml:space="preserve"> miliard</w:t>
      </w:r>
      <w:r w:rsidR="00EB313B" w:rsidRPr="001227FF">
        <w:rPr>
          <w:b/>
        </w:rPr>
        <w:t>y</w:t>
      </w:r>
      <w:r w:rsidRPr="001227FF">
        <w:rPr>
          <w:b/>
        </w:rPr>
        <w:t xml:space="preserve"> Kč, jenž v relativním vyjádření odpovídá </w:t>
      </w:r>
      <w:r w:rsidR="001D32E6" w:rsidRPr="001227FF">
        <w:rPr>
          <w:b/>
        </w:rPr>
        <w:t>0,27</w:t>
      </w:r>
      <w:r w:rsidRPr="001227FF">
        <w:rPr>
          <w:b/>
        </w:rPr>
        <w:t xml:space="preserve"> % HDP. Výše zadlužení sektoru dosáhla na konci roku 201</w:t>
      </w:r>
      <w:r w:rsidR="001D32E6" w:rsidRPr="001227FF">
        <w:rPr>
          <w:b/>
        </w:rPr>
        <w:t>9</w:t>
      </w:r>
      <w:r w:rsidRPr="001227FF">
        <w:rPr>
          <w:b/>
        </w:rPr>
        <w:t xml:space="preserve"> úrovně </w:t>
      </w:r>
      <w:r w:rsidR="0033580D" w:rsidRPr="001227FF">
        <w:rPr>
          <w:b/>
        </w:rPr>
        <w:t>30,79</w:t>
      </w:r>
      <w:r w:rsidRPr="001227FF">
        <w:rPr>
          <w:b/>
        </w:rPr>
        <w:t xml:space="preserve"> % HDP, při meziročním poklesu o </w:t>
      </w:r>
      <w:r w:rsidR="0033580D" w:rsidRPr="001227FF">
        <w:rPr>
          <w:b/>
        </w:rPr>
        <w:t>1,</w:t>
      </w:r>
      <w:r w:rsidR="001227FF">
        <w:rPr>
          <w:b/>
        </w:rPr>
        <w:t>79</w:t>
      </w:r>
      <w:r w:rsidRPr="001227FF">
        <w:rPr>
          <w:b/>
        </w:rPr>
        <w:t xml:space="preserve"> procentního bodu (p.</w:t>
      </w:r>
      <w:r w:rsidR="00EB313B" w:rsidRPr="001227FF">
        <w:rPr>
          <w:b/>
        </w:rPr>
        <w:t xml:space="preserve"> </w:t>
      </w:r>
      <w:r w:rsidRPr="001227FF">
        <w:rPr>
          <w:b/>
        </w:rPr>
        <w:t xml:space="preserve">b.). Uvedené fiskální údaje sloužící k hodnocení plnění maastrichtských konvergenčních kritérií byly zaslány Evropské komisi v rámci </w:t>
      </w:r>
      <w:r w:rsidR="001D32E6" w:rsidRPr="001227FF">
        <w:rPr>
          <w:b/>
        </w:rPr>
        <w:t>prvních notifikací v roce 2020</w:t>
      </w:r>
      <w:r w:rsidRPr="001227FF">
        <w:rPr>
          <w:b/>
        </w:rPr>
        <w:t>.</w:t>
      </w:r>
    </w:p>
    <w:p w:rsidR="00645994" w:rsidRPr="001227FF" w:rsidRDefault="00645994" w:rsidP="00645994"/>
    <w:p w:rsidR="00A9120D" w:rsidRPr="001227FF" w:rsidRDefault="00A9120D" w:rsidP="00A9120D">
      <w:pPr>
        <w:rPr>
          <w:rFonts w:cs="Arial"/>
          <w:szCs w:val="20"/>
        </w:rPr>
      </w:pPr>
      <w:r w:rsidRPr="001227FF">
        <w:rPr>
          <w:rFonts w:cs="Arial"/>
          <w:szCs w:val="20"/>
        </w:rPr>
        <w:t xml:space="preserve">Přebytek hospodaření sektoru vládních institucí se meziročně snížil o </w:t>
      </w:r>
      <w:r w:rsidR="001227FF" w:rsidRPr="001227FF">
        <w:rPr>
          <w:rFonts w:cs="Arial"/>
          <w:szCs w:val="20"/>
        </w:rPr>
        <w:t>33,9</w:t>
      </w:r>
      <w:r w:rsidRPr="001227FF">
        <w:rPr>
          <w:rFonts w:cs="Arial"/>
          <w:szCs w:val="20"/>
        </w:rPr>
        <w:t xml:space="preserve"> mld. Kč. Saldo hospodaření ústředních vládních institucí dosáhl</w:t>
      </w:r>
      <w:r w:rsidR="001227FF" w:rsidRPr="001227FF">
        <w:rPr>
          <w:rFonts w:cs="Arial"/>
          <w:szCs w:val="20"/>
        </w:rPr>
        <w:t>o deficitu 31,7</w:t>
      </w:r>
      <w:r w:rsidRPr="001227FF">
        <w:rPr>
          <w:rFonts w:cs="Arial"/>
          <w:szCs w:val="20"/>
        </w:rPr>
        <w:t xml:space="preserve"> mld. Kč, zatímco v roce 2018 </w:t>
      </w:r>
      <w:r w:rsidR="001227FF" w:rsidRPr="001227FF">
        <w:rPr>
          <w:rFonts w:cs="Arial"/>
          <w:szCs w:val="20"/>
        </w:rPr>
        <w:t>skončilo v přebytku 9,1</w:t>
      </w:r>
      <w:r w:rsidR="006B13ED" w:rsidRPr="001227FF">
        <w:rPr>
          <w:rFonts w:cs="Arial"/>
          <w:szCs w:val="20"/>
        </w:rPr>
        <w:t xml:space="preserve"> mld. Kč</w:t>
      </w:r>
      <w:r w:rsidRPr="001227FF">
        <w:rPr>
          <w:rFonts w:cs="Arial"/>
          <w:szCs w:val="20"/>
        </w:rPr>
        <w:t xml:space="preserve">. Přebytek hospodaření místních vládních institucí </w:t>
      </w:r>
      <w:r w:rsidR="00C87A51">
        <w:rPr>
          <w:rFonts w:cs="Arial"/>
          <w:szCs w:val="20"/>
        </w:rPr>
        <w:t xml:space="preserve">se </w:t>
      </w:r>
      <w:r w:rsidRPr="001227FF">
        <w:rPr>
          <w:rFonts w:cs="Arial"/>
          <w:szCs w:val="20"/>
        </w:rPr>
        <w:t xml:space="preserve">meziročně </w:t>
      </w:r>
      <w:r w:rsidR="006B13ED" w:rsidRPr="001227FF">
        <w:rPr>
          <w:rFonts w:cs="Arial"/>
          <w:szCs w:val="20"/>
        </w:rPr>
        <w:t>zvýšil</w:t>
      </w:r>
      <w:r w:rsidRPr="001227FF">
        <w:rPr>
          <w:rFonts w:cs="Arial"/>
          <w:szCs w:val="20"/>
        </w:rPr>
        <w:t xml:space="preserve"> o </w:t>
      </w:r>
      <w:r w:rsidR="006B13ED" w:rsidRPr="001227FF">
        <w:rPr>
          <w:rFonts w:cs="Arial"/>
          <w:szCs w:val="20"/>
        </w:rPr>
        <w:t>12,4</w:t>
      </w:r>
      <w:r w:rsidRPr="001227FF">
        <w:rPr>
          <w:rFonts w:cs="Arial"/>
          <w:szCs w:val="20"/>
        </w:rPr>
        <w:t xml:space="preserve"> mld. na </w:t>
      </w:r>
      <w:r w:rsidR="006B13ED" w:rsidRPr="001227FF">
        <w:rPr>
          <w:rFonts w:cs="Arial"/>
          <w:szCs w:val="20"/>
        </w:rPr>
        <w:t>36</w:t>
      </w:r>
      <w:r w:rsidRPr="001227FF">
        <w:rPr>
          <w:rFonts w:cs="Arial"/>
          <w:szCs w:val="20"/>
        </w:rPr>
        <w:t xml:space="preserve">,0 mld. Kč. O </w:t>
      </w:r>
      <w:r w:rsidR="006B13ED" w:rsidRPr="001227FF">
        <w:rPr>
          <w:rFonts w:cs="Arial"/>
          <w:szCs w:val="20"/>
        </w:rPr>
        <w:t>5,6</w:t>
      </w:r>
      <w:r w:rsidRPr="001227FF">
        <w:rPr>
          <w:rFonts w:cs="Arial"/>
          <w:szCs w:val="20"/>
        </w:rPr>
        <w:t xml:space="preserve"> mld. na </w:t>
      </w:r>
      <w:r w:rsidR="006B13ED" w:rsidRPr="001227FF">
        <w:rPr>
          <w:rFonts w:cs="Arial"/>
          <w:szCs w:val="20"/>
        </w:rPr>
        <w:t>11,</w:t>
      </w:r>
      <w:r w:rsidR="001227FF" w:rsidRPr="001227FF">
        <w:rPr>
          <w:rFonts w:cs="Arial"/>
          <w:szCs w:val="20"/>
        </w:rPr>
        <w:t>1</w:t>
      </w:r>
      <w:r w:rsidRPr="001227FF">
        <w:rPr>
          <w:rFonts w:cs="Arial"/>
          <w:szCs w:val="20"/>
        </w:rPr>
        <w:t xml:space="preserve"> mld. Kč </w:t>
      </w:r>
      <w:r w:rsidR="006B13ED" w:rsidRPr="001227FF">
        <w:rPr>
          <w:rFonts w:cs="Arial"/>
          <w:szCs w:val="20"/>
        </w:rPr>
        <w:t>klesl</w:t>
      </w:r>
      <w:r w:rsidRPr="001227FF">
        <w:rPr>
          <w:rFonts w:cs="Arial"/>
          <w:szCs w:val="20"/>
        </w:rPr>
        <w:t xml:space="preserve"> přebytek salda hospodaření subsektoru fondů sociálního zabezpečení (zdravotních pojišťoven</w:t>
      </w:r>
      <w:r w:rsidR="00566875">
        <w:rPr>
          <w:rFonts w:cs="Arial"/>
          <w:szCs w:val="20"/>
        </w:rPr>
        <w:t>)</w:t>
      </w:r>
      <w:r w:rsidR="003C3AC3">
        <w:rPr>
          <w:rFonts w:cs="Arial"/>
          <w:szCs w:val="20"/>
        </w:rPr>
        <w:t>.</w:t>
      </w:r>
      <w:r w:rsidR="00407946">
        <w:rPr>
          <w:rFonts w:cs="Arial"/>
          <w:szCs w:val="20"/>
        </w:rPr>
        <w:t xml:space="preserve"> </w:t>
      </w:r>
    </w:p>
    <w:p w:rsidR="00A9120D" w:rsidRPr="001227FF" w:rsidRDefault="00A9120D" w:rsidP="00645994">
      <w:pPr>
        <w:pStyle w:val="TabulkaGraf"/>
      </w:pPr>
    </w:p>
    <w:p w:rsidR="00645994" w:rsidRDefault="00E83005" w:rsidP="00645994">
      <w:pPr>
        <w:pStyle w:val="TabulkaGraf"/>
      </w:pPr>
      <w:r w:rsidRPr="001227FF">
        <w:t xml:space="preserve">Tab. 1: </w:t>
      </w:r>
      <w:r w:rsidR="00645994" w:rsidRPr="001227FF">
        <w:t>Notifikační tabulka deficitu</w:t>
      </w:r>
      <w:r w:rsidR="00645994" w:rsidRPr="00556B2C">
        <w:t xml:space="preserve"> a dluhu vládních institucí, Česká republika, 201</w:t>
      </w:r>
      <w:r w:rsidR="005871B4">
        <w:t>6</w:t>
      </w:r>
      <w:r w:rsidR="00645994" w:rsidRPr="00556B2C">
        <w:t>-201</w:t>
      </w:r>
      <w:r w:rsidR="00132653">
        <w:t>9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556B2C" w:rsidTr="00C57C62">
        <w:trPr>
          <w:cantSplit/>
        </w:trPr>
        <w:tc>
          <w:tcPr>
            <w:tcW w:w="3261" w:type="dxa"/>
            <w:vMerge w:val="restart"/>
            <w:vAlign w:val="center"/>
          </w:tcPr>
          <w:p w:rsidR="00645994" w:rsidRPr="00556B2C" w:rsidRDefault="00645994" w:rsidP="00C57C6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5871B4" w:rsidRPr="00556B2C" w:rsidTr="00C57C62">
        <w:trPr>
          <w:cantSplit/>
        </w:trPr>
        <w:tc>
          <w:tcPr>
            <w:tcW w:w="3261" w:type="dxa"/>
            <w:vMerge/>
            <w:vAlign w:val="center"/>
          </w:tcPr>
          <w:p w:rsidR="005871B4" w:rsidRPr="00556B2C" w:rsidRDefault="005871B4" w:rsidP="005871B4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5871B4" w:rsidRPr="00556B2C" w:rsidRDefault="005871B4" w:rsidP="005871B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871B4" w:rsidRDefault="005871B4" w:rsidP="005871B4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1043" w:type="dxa"/>
            <w:vAlign w:val="center"/>
          </w:tcPr>
          <w:p w:rsidR="005871B4" w:rsidRDefault="005871B4" w:rsidP="005871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1042" w:type="dxa"/>
            <w:vAlign w:val="center"/>
          </w:tcPr>
          <w:p w:rsidR="005871B4" w:rsidRDefault="005871B4" w:rsidP="005871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1043" w:type="dxa"/>
            <w:vAlign w:val="center"/>
          </w:tcPr>
          <w:p w:rsidR="005871B4" w:rsidRDefault="005871B4" w:rsidP="005871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</w:tr>
      <w:tr w:rsidR="00275D2D" w:rsidRPr="00556B2C" w:rsidTr="00C57C62">
        <w:tc>
          <w:tcPr>
            <w:tcW w:w="3261" w:type="dxa"/>
            <w:vAlign w:val="center"/>
          </w:tcPr>
          <w:p w:rsidR="00275D2D" w:rsidRPr="00556B2C" w:rsidRDefault="00275D2D" w:rsidP="00275D2D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275D2D" w:rsidRPr="00556B2C" w:rsidRDefault="00275D2D" w:rsidP="00275D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275D2D" w:rsidRDefault="00275D2D" w:rsidP="00275D2D">
            <w:pPr>
              <w:spacing w:line="240" w:lineRule="auto"/>
              <w:jc w:val="right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34 136</w:t>
            </w:r>
          </w:p>
        </w:tc>
        <w:tc>
          <w:tcPr>
            <w:tcW w:w="1043" w:type="dxa"/>
            <w:vAlign w:val="center"/>
          </w:tcPr>
          <w:p w:rsidR="00275D2D" w:rsidRDefault="00275D2D" w:rsidP="00275D2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76 718</w:t>
            </w:r>
          </w:p>
        </w:tc>
        <w:tc>
          <w:tcPr>
            <w:tcW w:w="1042" w:type="dxa"/>
            <w:vAlign w:val="center"/>
          </w:tcPr>
          <w:p w:rsidR="00275D2D" w:rsidRDefault="00275D2D" w:rsidP="00275D2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49 259</w:t>
            </w:r>
          </w:p>
        </w:tc>
        <w:tc>
          <w:tcPr>
            <w:tcW w:w="1043" w:type="dxa"/>
            <w:vAlign w:val="center"/>
          </w:tcPr>
          <w:p w:rsidR="00275D2D" w:rsidRDefault="00275D2D" w:rsidP="00275D2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15 374</w:t>
            </w:r>
          </w:p>
        </w:tc>
      </w:tr>
      <w:tr w:rsidR="00275D2D" w:rsidRPr="00556B2C" w:rsidTr="00C57C62">
        <w:tc>
          <w:tcPr>
            <w:tcW w:w="3261" w:type="dxa"/>
            <w:vAlign w:val="center"/>
          </w:tcPr>
          <w:p w:rsidR="00275D2D" w:rsidRPr="00556B2C" w:rsidRDefault="00275D2D" w:rsidP="00275D2D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:rsidR="00275D2D" w:rsidRPr="00556B2C" w:rsidRDefault="00275D2D" w:rsidP="00275D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275D2D" w:rsidRDefault="00275D2D" w:rsidP="00275D2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1 755 142</w:t>
            </w:r>
          </w:p>
        </w:tc>
        <w:tc>
          <w:tcPr>
            <w:tcW w:w="1043" w:type="dxa"/>
            <w:vAlign w:val="center"/>
          </w:tcPr>
          <w:p w:rsidR="00275D2D" w:rsidRDefault="00275D2D" w:rsidP="00275D2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1 749 701</w:t>
            </w:r>
          </w:p>
        </w:tc>
        <w:tc>
          <w:tcPr>
            <w:tcW w:w="1042" w:type="dxa"/>
            <w:vAlign w:val="center"/>
          </w:tcPr>
          <w:p w:rsidR="00275D2D" w:rsidRDefault="00275D2D" w:rsidP="00275D2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1 734 626</w:t>
            </w:r>
          </w:p>
        </w:tc>
        <w:tc>
          <w:tcPr>
            <w:tcW w:w="1043" w:type="dxa"/>
            <w:vAlign w:val="center"/>
          </w:tcPr>
          <w:p w:rsidR="00275D2D" w:rsidRDefault="00275D2D" w:rsidP="00275D2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1 740 468</w:t>
            </w:r>
          </w:p>
        </w:tc>
      </w:tr>
      <w:tr w:rsidR="00275D2D" w:rsidRPr="00556B2C" w:rsidTr="00C57C62">
        <w:tc>
          <w:tcPr>
            <w:tcW w:w="3261" w:type="dxa"/>
            <w:vAlign w:val="center"/>
          </w:tcPr>
          <w:p w:rsidR="00275D2D" w:rsidRPr="00556B2C" w:rsidRDefault="00275D2D" w:rsidP="00275D2D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Hrubý domácí produkt (HDP), běžné ceny</w:t>
            </w:r>
          </w:p>
        </w:tc>
        <w:tc>
          <w:tcPr>
            <w:tcW w:w="1003" w:type="dxa"/>
            <w:vAlign w:val="center"/>
          </w:tcPr>
          <w:p w:rsidR="00275D2D" w:rsidRPr="00556B2C" w:rsidRDefault="00275D2D" w:rsidP="00275D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275D2D" w:rsidRDefault="00275D2D" w:rsidP="00275D2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4 767 990</w:t>
            </w:r>
          </w:p>
        </w:tc>
        <w:tc>
          <w:tcPr>
            <w:tcW w:w="1043" w:type="dxa"/>
            <w:vAlign w:val="center"/>
          </w:tcPr>
          <w:p w:rsidR="00275D2D" w:rsidRDefault="00275D2D" w:rsidP="00275D2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5 047 267</w:t>
            </w:r>
          </w:p>
        </w:tc>
        <w:tc>
          <w:tcPr>
            <w:tcW w:w="1042" w:type="dxa"/>
            <w:vAlign w:val="center"/>
          </w:tcPr>
          <w:p w:rsidR="00275D2D" w:rsidRDefault="00275D2D" w:rsidP="00275D2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5 323 556</w:t>
            </w:r>
          </w:p>
        </w:tc>
        <w:tc>
          <w:tcPr>
            <w:tcW w:w="1043" w:type="dxa"/>
            <w:vAlign w:val="center"/>
          </w:tcPr>
          <w:p w:rsidR="00275D2D" w:rsidRDefault="00275D2D" w:rsidP="00275D2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5 652 553</w:t>
            </w:r>
          </w:p>
        </w:tc>
      </w:tr>
      <w:tr w:rsidR="00275D2D" w:rsidRPr="00556B2C" w:rsidTr="00C57C62">
        <w:tc>
          <w:tcPr>
            <w:tcW w:w="3261" w:type="dxa"/>
            <w:vAlign w:val="center"/>
          </w:tcPr>
          <w:p w:rsidR="00275D2D" w:rsidRPr="00556B2C" w:rsidRDefault="00275D2D" w:rsidP="00275D2D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:rsidR="00275D2D" w:rsidRPr="00556B2C" w:rsidRDefault="00275D2D" w:rsidP="00275D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275D2D" w:rsidRDefault="00275D2D" w:rsidP="00275D2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0,72</w:t>
            </w:r>
          </w:p>
        </w:tc>
        <w:tc>
          <w:tcPr>
            <w:tcW w:w="1043" w:type="dxa"/>
            <w:vAlign w:val="center"/>
          </w:tcPr>
          <w:p w:rsidR="00275D2D" w:rsidRDefault="00275D2D" w:rsidP="00275D2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1,52</w:t>
            </w:r>
          </w:p>
        </w:tc>
        <w:tc>
          <w:tcPr>
            <w:tcW w:w="1042" w:type="dxa"/>
            <w:vAlign w:val="center"/>
          </w:tcPr>
          <w:p w:rsidR="00275D2D" w:rsidRDefault="00275D2D" w:rsidP="00275D2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0,93</w:t>
            </w:r>
          </w:p>
        </w:tc>
        <w:tc>
          <w:tcPr>
            <w:tcW w:w="1043" w:type="dxa"/>
            <w:vAlign w:val="center"/>
          </w:tcPr>
          <w:p w:rsidR="00275D2D" w:rsidRDefault="00275D2D" w:rsidP="00275D2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0,27</w:t>
            </w:r>
          </w:p>
        </w:tc>
      </w:tr>
      <w:tr w:rsidR="00275D2D" w:rsidRPr="00AB45CA" w:rsidTr="00C57C62">
        <w:tc>
          <w:tcPr>
            <w:tcW w:w="3261" w:type="dxa"/>
            <w:vAlign w:val="center"/>
          </w:tcPr>
          <w:p w:rsidR="00275D2D" w:rsidRPr="00556B2C" w:rsidRDefault="00275D2D" w:rsidP="00275D2D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:rsidR="00275D2D" w:rsidRPr="00556B2C" w:rsidRDefault="00275D2D" w:rsidP="00275D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275D2D" w:rsidRDefault="00275D2D" w:rsidP="00275D2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36,81</w:t>
            </w:r>
          </w:p>
        </w:tc>
        <w:tc>
          <w:tcPr>
            <w:tcW w:w="1043" w:type="dxa"/>
            <w:vAlign w:val="center"/>
          </w:tcPr>
          <w:p w:rsidR="00275D2D" w:rsidRDefault="00275D2D" w:rsidP="00275D2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34,67</w:t>
            </w:r>
          </w:p>
        </w:tc>
        <w:tc>
          <w:tcPr>
            <w:tcW w:w="1042" w:type="dxa"/>
            <w:vAlign w:val="center"/>
          </w:tcPr>
          <w:p w:rsidR="00275D2D" w:rsidRDefault="00275D2D" w:rsidP="00275D2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32,58</w:t>
            </w:r>
          </w:p>
        </w:tc>
        <w:tc>
          <w:tcPr>
            <w:tcW w:w="1043" w:type="dxa"/>
            <w:vAlign w:val="center"/>
          </w:tcPr>
          <w:p w:rsidR="00275D2D" w:rsidRDefault="00275D2D" w:rsidP="00275D2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30,79</w:t>
            </w:r>
          </w:p>
        </w:tc>
      </w:tr>
    </w:tbl>
    <w:p w:rsidR="00645994" w:rsidRPr="00AB45CA" w:rsidRDefault="00645994" w:rsidP="00645994">
      <w:pPr>
        <w:rPr>
          <w:rFonts w:cs="Arial"/>
          <w:szCs w:val="20"/>
          <w:highlight w:val="yellow"/>
        </w:rPr>
      </w:pPr>
    </w:p>
    <w:p w:rsidR="00482F48" w:rsidRPr="00C071C3" w:rsidRDefault="00482F48" w:rsidP="00482F48">
      <w:pPr>
        <w:rPr>
          <w:rFonts w:cs="Arial"/>
          <w:szCs w:val="20"/>
        </w:rPr>
      </w:pPr>
      <w:r w:rsidRPr="00C071C3">
        <w:rPr>
          <w:rFonts w:cs="Arial"/>
          <w:szCs w:val="20"/>
        </w:rPr>
        <w:t>Celkové příjmy sektoru vládních institucí vzrostly v roce 2019</w:t>
      </w:r>
      <w:r w:rsidR="00DC62D6" w:rsidRPr="00C071C3">
        <w:rPr>
          <w:rFonts w:cs="Arial"/>
          <w:szCs w:val="20"/>
        </w:rPr>
        <w:t xml:space="preserve"> meziročně o 6</w:t>
      </w:r>
      <w:r w:rsidRPr="00C071C3">
        <w:rPr>
          <w:rFonts w:cs="Arial"/>
          <w:szCs w:val="20"/>
        </w:rPr>
        <w:t>,1 %, což představovalo absolutní nárůst o 1</w:t>
      </w:r>
      <w:r w:rsidR="00DC62D6" w:rsidRPr="00C071C3">
        <w:rPr>
          <w:rFonts w:cs="Arial"/>
          <w:szCs w:val="20"/>
        </w:rPr>
        <w:t>3</w:t>
      </w:r>
      <w:r w:rsidRPr="00C071C3">
        <w:rPr>
          <w:rFonts w:cs="Arial"/>
          <w:szCs w:val="20"/>
        </w:rPr>
        <w:t>6,1 mld. Kč. Vzrostly všechny druhy příjmů</w:t>
      </w:r>
      <w:r w:rsidR="00DC62D6" w:rsidRPr="00C071C3">
        <w:rPr>
          <w:rFonts w:cs="Arial"/>
          <w:szCs w:val="20"/>
        </w:rPr>
        <w:t xml:space="preserve"> s výjimkou důchodů z vlastnictví, které klesly o 2,3 mld. Kč (-6,7 %). N</w:t>
      </w:r>
      <w:r w:rsidRPr="00C071C3">
        <w:rPr>
          <w:rFonts w:cs="Arial"/>
          <w:szCs w:val="20"/>
        </w:rPr>
        <w:t xml:space="preserve">ejvíce </w:t>
      </w:r>
      <w:r w:rsidR="001716F1" w:rsidRPr="00C071C3">
        <w:rPr>
          <w:rFonts w:cs="Arial"/>
          <w:szCs w:val="20"/>
        </w:rPr>
        <w:t xml:space="preserve">vzrostly příjmy ze </w:t>
      </w:r>
      <w:r w:rsidRPr="00C071C3">
        <w:rPr>
          <w:rFonts w:cs="Arial"/>
          <w:szCs w:val="20"/>
        </w:rPr>
        <w:t>sociální</w:t>
      </w:r>
      <w:r w:rsidR="001716F1" w:rsidRPr="00C071C3">
        <w:rPr>
          <w:rFonts w:cs="Arial"/>
          <w:szCs w:val="20"/>
        </w:rPr>
        <w:t>ch příspěvků (+61,2</w:t>
      </w:r>
      <w:r w:rsidRPr="00C071C3">
        <w:rPr>
          <w:rFonts w:cs="Arial"/>
          <w:szCs w:val="20"/>
        </w:rPr>
        <w:t xml:space="preserve"> mld., resp. </w:t>
      </w:r>
      <w:r w:rsidR="001716F1" w:rsidRPr="00C071C3">
        <w:rPr>
          <w:rFonts w:cs="Arial"/>
          <w:szCs w:val="20"/>
        </w:rPr>
        <w:t>7,3 %), daní</w:t>
      </w:r>
      <w:r w:rsidRPr="00C071C3">
        <w:rPr>
          <w:rFonts w:cs="Arial"/>
          <w:szCs w:val="20"/>
        </w:rPr>
        <w:t xml:space="preserve"> z výroby a dovozu (+</w:t>
      </w:r>
      <w:r w:rsidR="001716F1" w:rsidRPr="00C071C3">
        <w:rPr>
          <w:rFonts w:cs="Arial"/>
          <w:szCs w:val="20"/>
        </w:rPr>
        <w:t>41,2</w:t>
      </w:r>
      <w:r w:rsidRPr="00C071C3">
        <w:rPr>
          <w:rFonts w:cs="Arial"/>
          <w:szCs w:val="20"/>
        </w:rPr>
        <w:t xml:space="preserve"> mld., resp. </w:t>
      </w:r>
      <w:r w:rsidR="001716F1" w:rsidRPr="00C071C3">
        <w:rPr>
          <w:rFonts w:cs="Arial"/>
          <w:szCs w:val="20"/>
        </w:rPr>
        <w:t>6,5</w:t>
      </w:r>
      <w:r w:rsidRPr="00C071C3">
        <w:rPr>
          <w:rFonts w:cs="Arial"/>
          <w:szCs w:val="20"/>
        </w:rPr>
        <w:t xml:space="preserve"> %), </w:t>
      </w:r>
      <w:r w:rsidR="001716F1" w:rsidRPr="00C071C3">
        <w:rPr>
          <w:rFonts w:cs="Arial"/>
          <w:szCs w:val="20"/>
        </w:rPr>
        <w:t>a </w:t>
      </w:r>
      <w:r w:rsidRPr="00C071C3">
        <w:rPr>
          <w:rFonts w:cs="Arial"/>
          <w:szCs w:val="20"/>
        </w:rPr>
        <w:t>důchodov</w:t>
      </w:r>
      <w:r w:rsidR="001716F1" w:rsidRPr="00C071C3">
        <w:rPr>
          <w:rFonts w:cs="Arial"/>
          <w:szCs w:val="20"/>
        </w:rPr>
        <w:t>ých daní</w:t>
      </w:r>
      <w:r w:rsidRPr="00C071C3">
        <w:rPr>
          <w:rFonts w:cs="Arial"/>
          <w:szCs w:val="20"/>
        </w:rPr>
        <w:t xml:space="preserve"> (+2</w:t>
      </w:r>
      <w:r w:rsidR="001716F1" w:rsidRPr="00C071C3">
        <w:rPr>
          <w:rFonts w:cs="Arial"/>
          <w:szCs w:val="20"/>
        </w:rPr>
        <w:t>4,0</w:t>
      </w:r>
      <w:r w:rsidRPr="00C071C3">
        <w:rPr>
          <w:rFonts w:cs="Arial"/>
          <w:szCs w:val="20"/>
        </w:rPr>
        <w:t xml:space="preserve"> mld., resp. </w:t>
      </w:r>
      <w:r w:rsidR="00132653">
        <w:rPr>
          <w:rFonts w:cs="Arial"/>
          <w:szCs w:val="20"/>
        </w:rPr>
        <w:t>5,2</w:t>
      </w:r>
      <w:r w:rsidRPr="00C071C3">
        <w:rPr>
          <w:rFonts w:cs="Arial"/>
          <w:szCs w:val="20"/>
        </w:rPr>
        <w:t xml:space="preserve"> %)</w:t>
      </w:r>
      <w:r w:rsidR="001716F1" w:rsidRPr="00C071C3">
        <w:rPr>
          <w:rFonts w:cs="Arial"/>
          <w:szCs w:val="20"/>
        </w:rPr>
        <w:t>.</w:t>
      </w:r>
      <w:r w:rsidRPr="00C071C3">
        <w:rPr>
          <w:rFonts w:cs="Arial"/>
          <w:szCs w:val="20"/>
        </w:rPr>
        <w:t xml:space="preserve"> </w:t>
      </w:r>
    </w:p>
    <w:p w:rsidR="00482F48" w:rsidRPr="00C071C3" w:rsidRDefault="00482F48" w:rsidP="00482F48">
      <w:pPr>
        <w:rPr>
          <w:rFonts w:cs="Arial"/>
          <w:szCs w:val="20"/>
        </w:rPr>
      </w:pPr>
    </w:p>
    <w:p w:rsidR="00482F48" w:rsidRDefault="00482F48" w:rsidP="00482F48">
      <w:pPr>
        <w:rPr>
          <w:rFonts w:cs="Arial"/>
          <w:szCs w:val="20"/>
        </w:rPr>
      </w:pPr>
      <w:r w:rsidRPr="00C071C3">
        <w:rPr>
          <w:rFonts w:cs="Arial"/>
          <w:szCs w:val="20"/>
        </w:rPr>
        <w:t xml:space="preserve">Celkové výdaje sektoru vládních institucí meziročně vzrostly v roce 2019 o </w:t>
      </w:r>
      <w:r w:rsidR="00437CEB" w:rsidRPr="00C071C3">
        <w:rPr>
          <w:rFonts w:cs="Arial"/>
          <w:szCs w:val="20"/>
        </w:rPr>
        <w:t>7,7 %, resp. 170,0</w:t>
      </w:r>
      <w:r w:rsidRPr="00C071C3">
        <w:rPr>
          <w:rFonts w:cs="Arial"/>
          <w:szCs w:val="20"/>
        </w:rPr>
        <w:t xml:space="preserve"> mld. Kč. Nejvíce vzrostly </w:t>
      </w:r>
      <w:r w:rsidR="00437CEB" w:rsidRPr="00C071C3">
        <w:rPr>
          <w:rFonts w:cs="Arial"/>
          <w:szCs w:val="20"/>
        </w:rPr>
        <w:t>sociální dávky (+65,8 mld., resp. 8,0 %), zaplacené náhrady zaměstnancům (+53,5</w:t>
      </w:r>
      <w:r w:rsidRPr="00C071C3">
        <w:rPr>
          <w:rFonts w:cs="Arial"/>
          <w:szCs w:val="20"/>
        </w:rPr>
        <w:t xml:space="preserve"> mld., resp. 1</w:t>
      </w:r>
      <w:r w:rsidR="00437CEB" w:rsidRPr="00C071C3">
        <w:rPr>
          <w:rFonts w:cs="Arial"/>
          <w:szCs w:val="20"/>
        </w:rPr>
        <w:t>0,3</w:t>
      </w:r>
      <w:r w:rsidR="008262BE" w:rsidRPr="00C071C3">
        <w:rPr>
          <w:rFonts w:cs="Arial"/>
          <w:szCs w:val="20"/>
        </w:rPr>
        <w:t xml:space="preserve"> %) a</w:t>
      </w:r>
      <w:r w:rsidRPr="00C071C3">
        <w:rPr>
          <w:rFonts w:cs="Arial"/>
          <w:szCs w:val="20"/>
        </w:rPr>
        <w:t xml:space="preserve"> výdaje </w:t>
      </w:r>
      <w:r w:rsidR="00437CEB" w:rsidRPr="00C071C3">
        <w:rPr>
          <w:rFonts w:cs="Arial"/>
          <w:szCs w:val="20"/>
        </w:rPr>
        <w:t>na hrubou tvorbu kapitálu (+27,8</w:t>
      </w:r>
      <w:r w:rsidRPr="00C071C3">
        <w:rPr>
          <w:rFonts w:cs="Arial"/>
          <w:szCs w:val="20"/>
        </w:rPr>
        <w:t xml:space="preserve"> mld., resp. </w:t>
      </w:r>
      <w:r w:rsidR="00437CEB" w:rsidRPr="00C071C3">
        <w:rPr>
          <w:rFonts w:cs="Arial"/>
          <w:szCs w:val="20"/>
        </w:rPr>
        <w:t>12,1</w:t>
      </w:r>
      <w:r w:rsidR="008262BE" w:rsidRPr="00C071C3">
        <w:rPr>
          <w:rFonts w:cs="Arial"/>
          <w:szCs w:val="20"/>
        </w:rPr>
        <w:t xml:space="preserve"> %).</w:t>
      </w:r>
      <w:r>
        <w:rPr>
          <w:rFonts w:cs="Arial"/>
          <w:szCs w:val="20"/>
        </w:rPr>
        <w:t xml:space="preserve"> </w:t>
      </w:r>
    </w:p>
    <w:p w:rsidR="00AE68C2" w:rsidRPr="00677437" w:rsidRDefault="00AE68C2" w:rsidP="00556B2C">
      <w:pPr>
        <w:rPr>
          <w:rFonts w:cs="Arial"/>
          <w:szCs w:val="20"/>
          <w:highlight w:val="yellow"/>
        </w:rPr>
      </w:pPr>
    </w:p>
    <w:p w:rsidR="007F42AB" w:rsidRDefault="007F42AB" w:rsidP="007F42AB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Současně byly revidovány údaje za roky 2016 až 2018 z důvodu aktualizovaných datových zdrojů a metodických změn vyplývajících z pravidelných konzultací s Eurostatem. Nejvýznamnější změna se týkala příjmů z prodejů emisních povolenek, které jsou nově akruálně zaznamenány metodou časového posunu. Příjem z</w:t>
      </w:r>
      <w:r w:rsidR="006C19EE">
        <w:rPr>
          <w:rFonts w:cs="Arial"/>
          <w:szCs w:val="20"/>
        </w:rPr>
        <w:t xml:space="preserve"> prodeje </w:t>
      </w:r>
      <w:r>
        <w:rPr>
          <w:rFonts w:cs="Arial"/>
          <w:szCs w:val="20"/>
        </w:rPr>
        <w:t>emisních povolenek vstupuje do příjmů vládních institucí jeden rok po okamžiku jejich prodeje. Dosud byl příjem zaznamenáván v okamžiku prodeje. Vliv této úpravy na saldo hospodaření v letech 2016 až 2018 ilustruje následující tabulka:</w:t>
      </w:r>
    </w:p>
    <w:p w:rsidR="00E848B3" w:rsidRDefault="00E848B3" w:rsidP="00E83005">
      <w:pPr>
        <w:rPr>
          <w:rFonts w:cs="Arial"/>
          <w:szCs w:val="20"/>
        </w:rPr>
      </w:pPr>
    </w:p>
    <w:p w:rsidR="00E83005" w:rsidRPr="00FA56ED" w:rsidRDefault="00E83005" w:rsidP="00E83005">
      <w:pPr>
        <w:rPr>
          <w:rFonts w:cs="Arial"/>
          <w:b/>
          <w:szCs w:val="20"/>
        </w:rPr>
      </w:pP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Tab. 2: </w:t>
      </w:r>
      <w:r w:rsidRPr="00FA56ED">
        <w:rPr>
          <w:rFonts w:cs="Arial"/>
          <w:b/>
          <w:szCs w:val="20"/>
        </w:rPr>
        <w:t xml:space="preserve">Vliv </w:t>
      </w:r>
      <w:r>
        <w:rPr>
          <w:rFonts w:cs="Arial"/>
          <w:b/>
          <w:szCs w:val="20"/>
        </w:rPr>
        <w:t>nového zachycení emisních povolenek</w:t>
      </w:r>
      <w:r w:rsidR="00E848B3">
        <w:rPr>
          <w:rFonts w:cs="Arial"/>
          <w:b/>
          <w:szCs w:val="20"/>
        </w:rPr>
        <w:t xml:space="preserve"> na saldo hospodaření</w:t>
      </w:r>
      <w:r w:rsidRPr="00FA56ED">
        <w:rPr>
          <w:rFonts w:cs="Arial"/>
          <w:b/>
          <w:szCs w:val="20"/>
        </w:rPr>
        <w:t>, 201</w:t>
      </w:r>
      <w:r>
        <w:rPr>
          <w:rFonts w:cs="Arial"/>
          <w:b/>
          <w:szCs w:val="20"/>
        </w:rPr>
        <w:t>6–</w:t>
      </w:r>
      <w:r w:rsidRPr="00FA56ED">
        <w:rPr>
          <w:rFonts w:cs="Arial"/>
          <w:b/>
          <w:szCs w:val="20"/>
        </w:rPr>
        <w:t>201</w:t>
      </w:r>
      <w:r>
        <w:rPr>
          <w:rFonts w:cs="Arial"/>
          <w:b/>
          <w:szCs w:val="20"/>
        </w:rPr>
        <w:t>8</w:t>
      </w:r>
    </w:p>
    <w:tbl>
      <w:tblPr>
        <w:tblStyle w:val="Mkatabulky"/>
        <w:tblW w:w="7621" w:type="dxa"/>
        <w:tblInd w:w="108" w:type="dxa"/>
        <w:tblLook w:val="04A0" w:firstRow="1" w:lastRow="0" w:firstColumn="1" w:lastColumn="0" w:noHBand="0" w:noVBand="1"/>
      </w:tblPr>
      <w:tblGrid>
        <w:gridCol w:w="2802"/>
        <w:gridCol w:w="1028"/>
        <w:gridCol w:w="1240"/>
        <w:gridCol w:w="1275"/>
        <w:gridCol w:w="1276"/>
      </w:tblGrid>
      <w:tr w:rsidR="00E83005" w:rsidTr="005F7D38">
        <w:tc>
          <w:tcPr>
            <w:tcW w:w="2802" w:type="dxa"/>
          </w:tcPr>
          <w:p w:rsidR="00E83005" w:rsidRDefault="00E83005" w:rsidP="005F7D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</w:tcPr>
          <w:p w:rsidR="00E83005" w:rsidRDefault="00E83005" w:rsidP="005F7D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Jednotka</w:t>
            </w:r>
          </w:p>
        </w:tc>
        <w:tc>
          <w:tcPr>
            <w:tcW w:w="1240" w:type="dxa"/>
          </w:tcPr>
          <w:p w:rsidR="00E83005" w:rsidRDefault="00285C5F" w:rsidP="005F7D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1275" w:type="dxa"/>
          </w:tcPr>
          <w:p w:rsidR="00E83005" w:rsidRDefault="00285C5F" w:rsidP="005F7D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1276" w:type="dxa"/>
          </w:tcPr>
          <w:p w:rsidR="00E83005" w:rsidRDefault="00285C5F" w:rsidP="005F7D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</w:tr>
      <w:tr w:rsidR="00E83005" w:rsidTr="005F7D38">
        <w:tc>
          <w:tcPr>
            <w:tcW w:w="2802" w:type="dxa"/>
          </w:tcPr>
          <w:p w:rsidR="00E83005" w:rsidRDefault="00E83005" w:rsidP="005F7D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Vliv na saldo hospodaření</w:t>
            </w:r>
          </w:p>
        </w:tc>
        <w:tc>
          <w:tcPr>
            <w:tcW w:w="1028" w:type="dxa"/>
          </w:tcPr>
          <w:p w:rsidR="00E83005" w:rsidRDefault="00E83005" w:rsidP="005F7D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mil. Kč</w:t>
            </w:r>
          </w:p>
        </w:tc>
        <w:tc>
          <w:tcPr>
            <w:tcW w:w="1240" w:type="dxa"/>
            <w:vAlign w:val="bottom"/>
          </w:tcPr>
          <w:p w:rsidR="00E83005" w:rsidRPr="00FA56ED" w:rsidRDefault="00E83005" w:rsidP="005F7D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−</w:t>
            </w:r>
            <w:r w:rsidR="003F48B5">
              <w:rPr>
                <w:rFonts w:cs="Arial"/>
                <w:szCs w:val="20"/>
              </w:rPr>
              <w:t>147</w:t>
            </w:r>
          </w:p>
        </w:tc>
        <w:tc>
          <w:tcPr>
            <w:tcW w:w="1275" w:type="dxa"/>
            <w:vAlign w:val="bottom"/>
          </w:tcPr>
          <w:p w:rsidR="00E83005" w:rsidRPr="00FA56ED" w:rsidRDefault="00E83005" w:rsidP="005F7D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−</w:t>
            </w:r>
            <w:r w:rsidR="003F48B5">
              <w:rPr>
                <w:rFonts w:cs="Arial"/>
                <w:szCs w:val="20"/>
              </w:rPr>
              <w:t>2 047</w:t>
            </w:r>
          </w:p>
        </w:tc>
        <w:tc>
          <w:tcPr>
            <w:tcW w:w="1276" w:type="dxa"/>
            <w:vAlign w:val="bottom"/>
          </w:tcPr>
          <w:p w:rsidR="00E83005" w:rsidRPr="00FA56ED" w:rsidRDefault="003F48B5" w:rsidP="003F48B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−9 715</w:t>
            </w:r>
          </w:p>
        </w:tc>
      </w:tr>
    </w:tbl>
    <w:p w:rsidR="006F2BBD" w:rsidRDefault="006F2BBD" w:rsidP="00556B2C">
      <w:pPr>
        <w:rPr>
          <w:rFonts w:cs="Arial"/>
          <w:szCs w:val="20"/>
        </w:rPr>
      </w:pPr>
    </w:p>
    <w:p w:rsidR="007F42AB" w:rsidRPr="000F2C04" w:rsidRDefault="007F42AB" w:rsidP="007F42AB">
      <w:pPr>
        <w:rPr>
          <w:rFonts w:cs="Arial"/>
          <w:szCs w:val="20"/>
        </w:rPr>
      </w:pPr>
      <w:r w:rsidRPr="000F2C04">
        <w:rPr>
          <w:rFonts w:cs="Arial"/>
          <w:szCs w:val="20"/>
        </w:rPr>
        <w:t>Relativní výše dluhu vládních institucí na konci roku 2019 dosáhla úrovně 30,79 % HDP. Meziročně došlo k poklesu výše relativní zadluženosti o 1,</w:t>
      </w:r>
      <w:r>
        <w:rPr>
          <w:rFonts w:cs="Arial"/>
          <w:szCs w:val="20"/>
        </w:rPr>
        <w:t>79</w:t>
      </w:r>
      <w:r w:rsidRPr="000F2C04">
        <w:rPr>
          <w:rFonts w:cs="Arial"/>
          <w:szCs w:val="20"/>
        </w:rPr>
        <w:t xml:space="preserve"> p. b. Ke snížení relativní výše zadlužení přispěl pouze rostoucí nominální HDP (1,90 p. b.), zatímco nominální výše dluhu vzrostla o </w:t>
      </w:r>
      <w:r>
        <w:rPr>
          <w:rFonts w:cs="Arial"/>
          <w:szCs w:val="20"/>
        </w:rPr>
        <w:t>5,8</w:t>
      </w:r>
      <w:r w:rsidRPr="000F2C04">
        <w:rPr>
          <w:rFonts w:cs="Arial"/>
          <w:szCs w:val="20"/>
        </w:rPr>
        <w:t xml:space="preserve"> mld. Kč. Dluh na konci roku 2019 dosáhl 1</w:t>
      </w:r>
      <w:r w:rsidR="006C19EE">
        <w:rPr>
          <w:rFonts w:cs="Arial"/>
          <w:szCs w:val="20"/>
        </w:rPr>
        <w:t xml:space="preserve"> </w:t>
      </w:r>
      <w:r w:rsidRPr="000F2C04">
        <w:rPr>
          <w:rFonts w:cs="Arial"/>
          <w:szCs w:val="20"/>
        </w:rPr>
        <w:t>740,5 mld. Kč, z čehož 91,8 %</w:t>
      </w:r>
      <w:r>
        <w:rPr>
          <w:rFonts w:cs="Arial"/>
          <w:szCs w:val="20"/>
        </w:rPr>
        <w:t xml:space="preserve"> bylo</w:t>
      </w:r>
      <w:r w:rsidRPr="000F2C04">
        <w:rPr>
          <w:rFonts w:cs="Arial"/>
          <w:szCs w:val="20"/>
        </w:rPr>
        <w:t xml:space="preserve"> tvořeno emitovanými dluhovými cennými papíry, jejichž objem meziročně vzrostl o </w:t>
      </w:r>
      <w:r>
        <w:rPr>
          <w:rFonts w:cs="Arial"/>
          <w:szCs w:val="20"/>
        </w:rPr>
        <w:t>43,6</w:t>
      </w:r>
      <w:r w:rsidRPr="000F2C04">
        <w:rPr>
          <w:rFonts w:cs="Arial"/>
          <w:szCs w:val="20"/>
        </w:rPr>
        <w:t xml:space="preserve"> mld. Kč, zatímco hodnota přijatých půjček poklesla o </w:t>
      </w:r>
      <w:r>
        <w:rPr>
          <w:rFonts w:cs="Arial"/>
          <w:szCs w:val="20"/>
        </w:rPr>
        <w:t>34,2</w:t>
      </w:r>
      <w:r w:rsidRPr="000F2C04">
        <w:rPr>
          <w:rFonts w:cs="Arial"/>
          <w:szCs w:val="20"/>
        </w:rPr>
        <w:t xml:space="preserve"> mld. Kč. Objem přijatých vkladů </w:t>
      </w:r>
      <w:r>
        <w:rPr>
          <w:rFonts w:cs="Arial"/>
          <w:szCs w:val="20"/>
        </w:rPr>
        <w:t>klesl o 3,6</w:t>
      </w:r>
      <w:r w:rsidR="00C87A51">
        <w:rPr>
          <w:rFonts w:cs="Arial"/>
          <w:szCs w:val="20"/>
        </w:rPr>
        <w:t> </w:t>
      </w:r>
      <w:r w:rsidRPr="000F2C04">
        <w:rPr>
          <w:rFonts w:cs="Arial"/>
          <w:szCs w:val="20"/>
        </w:rPr>
        <w:t>mld. Kč na 5,</w:t>
      </w:r>
      <w:r>
        <w:rPr>
          <w:rFonts w:cs="Arial"/>
          <w:szCs w:val="20"/>
        </w:rPr>
        <w:t>1</w:t>
      </w:r>
      <w:r w:rsidRPr="000F2C04">
        <w:rPr>
          <w:rFonts w:cs="Arial"/>
          <w:szCs w:val="20"/>
        </w:rPr>
        <w:t xml:space="preserve"> mld. Kč.</w:t>
      </w:r>
    </w:p>
    <w:p w:rsidR="002422E4" w:rsidRDefault="002422E4" w:rsidP="00FA290B">
      <w:pPr>
        <w:rPr>
          <w:rFonts w:cs="Arial"/>
          <w:szCs w:val="20"/>
          <w:highlight w:val="yellow"/>
        </w:rPr>
      </w:pPr>
    </w:p>
    <w:p w:rsidR="00556B2C" w:rsidRDefault="00556B2C" w:rsidP="00556B2C">
      <w:r w:rsidRPr="00E155B6">
        <w:rPr>
          <w:rFonts w:cs="Arial"/>
          <w:szCs w:val="20"/>
        </w:rPr>
        <w:t xml:space="preserve">Ukazatele uvedené v tabulce </w:t>
      </w:r>
      <w:r w:rsidR="00C87A51">
        <w:rPr>
          <w:rFonts w:cs="Arial"/>
          <w:szCs w:val="20"/>
        </w:rPr>
        <w:t xml:space="preserve">1 </w:t>
      </w:r>
      <w:r w:rsidRPr="00E155B6">
        <w:rPr>
          <w:rFonts w:cs="Arial"/>
          <w:szCs w:val="20"/>
        </w:rPr>
        <w:t xml:space="preserve">byly zaslány </w:t>
      </w:r>
      <w:r w:rsidR="00E02CF5">
        <w:rPr>
          <w:rFonts w:cs="Arial"/>
          <w:szCs w:val="20"/>
        </w:rPr>
        <w:t>31</w:t>
      </w:r>
      <w:r w:rsidRPr="00FA08BC">
        <w:rPr>
          <w:rFonts w:cs="Arial"/>
          <w:szCs w:val="20"/>
        </w:rPr>
        <w:t xml:space="preserve">. </w:t>
      </w:r>
      <w:r w:rsidR="00E02CF5">
        <w:rPr>
          <w:rFonts w:cs="Arial"/>
          <w:szCs w:val="20"/>
        </w:rPr>
        <w:t>března</w:t>
      </w:r>
      <w:r>
        <w:rPr>
          <w:rFonts w:cs="Arial"/>
          <w:szCs w:val="20"/>
        </w:rPr>
        <w:t xml:space="preserve"> 20</w:t>
      </w:r>
      <w:r w:rsidR="00E02CF5">
        <w:rPr>
          <w:rFonts w:cs="Arial"/>
          <w:szCs w:val="20"/>
        </w:rPr>
        <w:t>20</w:t>
      </w:r>
      <w:r>
        <w:rPr>
          <w:rFonts w:cs="Arial"/>
          <w:szCs w:val="20"/>
        </w:rPr>
        <w:t xml:space="preserve"> Eurostatu.</w:t>
      </w:r>
    </w:p>
    <w:p w:rsidR="00611533" w:rsidRDefault="00611533" w:rsidP="00611533">
      <w:pPr>
        <w:pStyle w:val="Poznmky0"/>
      </w:pPr>
      <w:r>
        <w:t>Poznámky:</w:t>
      </w:r>
    </w:p>
    <w:p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cizoměnových dluhových nástrojů zajištěných proti měnovému riziku je ocenění provedeno na bázi smluvního kurzu.</w:t>
      </w:r>
    </w:p>
    <w:p w:rsidR="00645994" w:rsidRDefault="00645994" w:rsidP="00645994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0D1F29" w:rsidRDefault="00DC2887" w:rsidP="00611533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>
              <w:rPr>
                <w:i/>
                <w:iCs/>
                <w:sz w:val="18"/>
                <w:szCs w:val="18"/>
              </w:rPr>
              <w:t xml:space="preserve"> ředitel odboru vládních a finančních účtů, tel.:</w:t>
            </w:r>
            <w:r w:rsidR="00611533">
              <w:rPr>
                <w:i/>
                <w:iCs/>
                <w:sz w:val="18"/>
                <w:szCs w:val="18"/>
              </w:rPr>
              <w:t>734352286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7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 w:rsidR="000D1F29" w:rsidRPr="00702415">
              <w:rPr>
                <w:sz w:val="18"/>
              </w:rPr>
              <w:t xml:space="preserve"> </w:t>
            </w:r>
          </w:p>
        </w:tc>
      </w:tr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0D1F29" w:rsidRDefault="000D1F29" w:rsidP="00C57C62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</w:t>
            </w:r>
            <w:r w:rsidR="00874492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2C1411">
              <w:rPr>
                <w:i/>
                <w:iCs/>
                <w:sz w:val="18"/>
                <w:szCs w:val="18"/>
              </w:rPr>
              <w:t xml:space="preserve"> tel.: 274054232, e-mail: </w:t>
            </w:r>
            <w:hyperlink r:id="rId8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0D1F29" w:rsidRDefault="003303B1" w:rsidP="006E053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</w:t>
            </w:r>
            <w:r w:rsidR="000D1F29">
              <w:rPr>
                <w:i/>
                <w:iCs/>
                <w:sz w:val="18"/>
                <w:szCs w:val="18"/>
              </w:rPr>
              <w:t xml:space="preserve">. </w:t>
            </w:r>
            <w:r w:rsidR="006E053D">
              <w:rPr>
                <w:i/>
                <w:iCs/>
                <w:sz w:val="18"/>
                <w:szCs w:val="18"/>
              </w:rPr>
              <w:t>04</w:t>
            </w:r>
            <w:r w:rsidR="000D1F29" w:rsidRPr="002C1411">
              <w:rPr>
                <w:i/>
                <w:iCs/>
                <w:sz w:val="18"/>
                <w:szCs w:val="18"/>
              </w:rPr>
              <w:t>.</w:t>
            </w:r>
            <w:r w:rsidR="000D1F29">
              <w:rPr>
                <w:i/>
                <w:iCs/>
                <w:sz w:val="18"/>
                <w:szCs w:val="18"/>
              </w:rPr>
              <w:t xml:space="preserve"> </w:t>
            </w:r>
            <w:r w:rsidR="000D1F29" w:rsidRPr="002C1411">
              <w:rPr>
                <w:i/>
                <w:iCs/>
                <w:sz w:val="18"/>
                <w:szCs w:val="18"/>
              </w:rPr>
              <w:t>20</w:t>
            </w:r>
            <w:r w:rsidR="006E053D">
              <w:rPr>
                <w:i/>
                <w:iCs/>
                <w:sz w:val="18"/>
                <w:szCs w:val="18"/>
              </w:rPr>
              <w:t>20</w:t>
            </w:r>
          </w:p>
        </w:tc>
      </w:tr>
    </w:tbl>
    <w:p w:rsidR="00CA15B7" w:rsidRPr="00645994" w:rsidRDefault="00CA15B7" w:rsidP="00C87A51">
      <w:bookmarkStart w:id="0" w:name="_GoBack"/>
      <w:bookmarkEnd w:id="0"/>
    </w:p>
    <w:sectPr w:rsidR="00CA15B7" w:rsidRPr="0064599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21" w:rsidRDefault="00D16A21" w:rsidP="00BA6370">
      <w:r>
        <w:separator/>
      </w:r>
    </w:p>
  </w:endnote>
  <w:endnote w:type="continuationSeparator" w:id="0">
    <w:p w:rsidR="00D16A21" w:rsidRDefault="00D16A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21" w:rsidRDefault="00AE422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D16A21" w:rsidRPr="001404AB" w:rsidRDefault="00D16A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16A21" w:rsidRPr="00A81EB3" w:rsidRDefault="00D16A21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AE4222">
                  <w:rPr>
                    <w:rFonts w:cs="Arial"/>
                    <w:noProof/>
                    <w:szCs w:val="15"/>
                  </w:rPr>
                  <w:t>3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21" w:rsidRDefault="00D16A21" w:rsidP="00BA6370">
      <w:r>
        <w:separator/>
      </w:r>
    </w:p>
  </w:footnote>
  <w:footnote w:type="continuationSeparator" w:id="0">
    <w:p w:rsidR="00D16A21" w:rsidRDefault="00D16A2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21" w:rsidRDefault="00AE422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03C41"/>
    <w:rsid w:val="00003F55"/>
    <w:rsid w:val="00016240"/>
    <w:rsid w:val="00030F1C"/>
    <w:rsid w:val="00043BF4"/>
    <w:rsid w:val="000843A5"/>
    <w:rsid w:val="000910DA"/>
    <w:rsid w:val="00096D6C"/>
    <w:rsid w:val="000A05E1"/>
    <w:rsid w:val="000B6F63"/>
    <w:rsid w:val="000D093F"/>
    <w:rsid w:val="000D1F29"/>
    <w:rsid w:val="000E421E"/>
    <w:rsid w:val="000E43CC"/>
    <w:rsid w:val="000F2C04"/>
    <w:rsid w:val="001227FF"/>
    <w:rsid w:val="00132653"/>
    <w:rsid w:val="001404AB"/>
    <w:rsid w:val="001716F1"/>
    <w:rsid w:val="0017231D"/>
    <w:rsid w:val="001810DC"/>
    <w:rsid w:val="00193555"/>
    <w:rsid w:val="001B287C"/>
    <w:rsid w:val="001B607F"/>
    <w:rsid w:val="001C3D47"/>
    <w:rsid w:val="001D32E6"/>
    <w:rsid w:val="001D369A"/>
    <w:rsid w:val="001E3461"/>
    <w:rsid w:val="001E766B"/>
    <w:rsid w:val="001F08B3"/>
    <w:rsid w:val="001F2FE0"/>
    <w:rsid w:val="00200854"/>
    <w:rsid w:val="002070FB"/>
    <w:rsid w:val="00213729"/>
    <w:rsid w:val="00227706"/>
    <w:rsid w:val="0023387E"/>
    <w:rsid w:val="002406FA"/>
    <w:rsid w:val="00241133"/>
    <w:rsid w:val="002422E4"/>
    <w:rsid w:val="0026107B"/>
    <w:rsid w:val="00261650"/>
    <w:rsid w:val="00271439"/>
    <w:rsid w:val="00275D2D"/>
    <w:rsid w:val="00276E77"/>
    <w:rsid w:val="00281845"/>
    <w:rsid w:val="00284F52"/>
    <w:rsid w:val="00285C5F"/>
    <w:rsid w:val="0029704E"/>
    <w:rsid w:val="002B2E47"/>
    <w:rsid w:val="003301A3"/>
    <w:rsid w:val="003303B1"/>
    <w:rsid w:val="0033580D"/>
    <w:rsid w:val="00352D67"/>
    <w:rsid w:val="003627CD"/>
    <w:rsid w:val="0036777B"/>
    <w:rsid w:val="00374289"/>
    <w:rsid w:val="00375C07"/>
    <w:rsid w:val="00377E16"/>
    <w:rsid w:val="0038282A"/>
    <w:rsid w:val="00395AA1"/>
    <w:rsid w:val="00397580"/>
    <w:rsid w:val="003A2F2D"/>
    <w:rsid w:val="003A45C8"/>
    <w:rsid w:val="003A7B1D"/>
    <w:rsid w:val="003C2DCF"/>
    <w:rsid w:val="003C3AC3"/>
    <w:rsid w:val="003C7FE7"/>
    <w:rsid w:val="003D0499"/>
    <w:rsid w:val="003D3576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507D6"/>
    <w:rsid w:val="00452C7E"/>
    <w:rsid w:val="0045547F"/>
    <w:rsid w:val="00464A9E"/>
    <w:rsid w:val="00466977"/>
    <w:rsid w:val="00471DEF"/>
    <w:rsid w:val="00482F48"/>
    <w:rsid w:val="00486D60"/>
    <w:rsid w:val="0049092A"/>
    <w:rsid w:val="004920AD"/>
    <w:rsid w:val="0049766F"/>
    <w:rsid w:val="004D05B3"/>
    <w:rsid w:val="004D0E20"/>
    <w:rsid w:val="004E479E"/>
    <w:rsid w:val="004F623F"/>
    <w:rsid w:val="004F686C"/>
    <w:rsid w:val="004F78E6"/>
    <w:rsid w:val="0050188C"/>
    <w:rsid w:val="0050420E"/>
    <w:rsid w:val="00512D99"/>
    <w:rsid w:val="00527D38"/>
    <w:rsid w:val="00531DBB"/>
    <w:rsid w:val="0055156B"/>
    <w:rsid w:val="00553C9E"/>
    <w:rsid w:val="00556B2C"/>
    <w:rsid w:val="00566875"/>
    <w:rsid w:val="00573994"/>
    <w:rsid w:val="00575358"/>
    <w:rsid w:val="00586ADA"/>
    <w:rsid w:val="005871B4"/>
    <w:rsid w:val="005A1616"/>
    <w:rsid w:val="005D6E56"/>
    <w:rsid w:val="005F79FB"/>
    <w:rsid w:val="00604406"/>
    <w:rsid w:val="00605F4A"/>
    <w:rsid w:val="00607822"/>
    <w:rsid w:val="00607CF6"/>
    <w:rsid w:val="006103AA"/>
    <w:rsid w:val="00611533"/>
    <w:rsid w:val="00613BBF"/>
    <w:rsid w:val="00616D99"/>
    <w:rsid w:val="00622B80"/>
    <w:rsid w:val="0064139A"/>
    <w:rsid w:val="00645994"/>
    <w:rsid w:val="006931CF"/>
    <w:rsid w:val="006A2A76"/>
    <w:rsid w:val="006B13ED"/>
    <w:rsid w:val="006B3916"/>
    <w:rsid w:val="006C0ACA"/>
    <w:rsid w:val="006C19EE"/>
    <w:rsid w:val="006E024F"/>
    <w:rsid w:val="006E053D"/>
    <w:rsid w:val="006E0858"/>
    <w:rsid w:val="006E4E81"/>
    <w:rsid w:val="006E5AE5"/>
    <w:rsid w:val="006F2BBD"/>
    <w:rsid w:val="00702415"/>
    <w:rsid w:val="007071D6"/>
    <w:rsid w:val="00707F7D"/>
    <w:rsid w:val="00717EC5"/>
    <w:rsid w:val="0072054C"/>
    <w:rsid w:val="0073500C"/>
    <w:rsid w:val="00753A1B"/>
    <w:rsid w:val="00754C20"/>
    <w:rsid w:val="00774497"/>
    <w:rsid w:val="00774594"/>
    <w:rsid w:val="00786FE2"/>
    <w:rsid w:val="00787EB7"/>
    <w:rsid w:val="007A2048"/>
    <w:rsid w:val="007A57F2"/>
    <w:rsid w:val="007B1333"/>
    <w:rsid w:val="007D6FD2"/>
    <w:rsid w:val="007E2C5C"/>
    <w:rsid w:val="007E43B4"/>
    <w:rsid w:val="007F42AB"/>
    <w:rsid w:val="007F4AE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262BE"/>
    <w:rsid w:val="00830F41"/>
    <w:rsid w:val="00831B1B"/>
    <w:rsid w:val="008517C1"/>
    <w:rsid w:val="008539A2"/>
    <w:rsid w:val="00855FB3"/>
    <w:rsid w:val="00861D0E"/>
    <w:rsid w:val="008662BB"/>
    <w:rsid w:val="00867569"/>
    <w:rsid w:val="00874492"/>
    <w:rsid w:val="0089796E"/>
    <w:rsid w:val="008A750A"/>
    <w:rsid w:val="008B3970"/>
    <w:rsid w:val="008C384C"/>
    <w:rsid w:val="008D0F11"/>
    <w:rsid w:val="008D3EAB"/>
    <w:rsid w:val="008F73B4"/>
    <w:rsid w:val="00967D65"/>
    <w:rsid w:val="00986DD7"/>
    <w:rsid w:val="009B55B1"/>
    <w:rsid w:val="009C14C8"/>
    <w:rsid w:val="009E4BBD"/>
    <w:rsid w:val="00A0762A"/>
    <w:rsid w:val="00A30E97"/>
    <w:rsid w:val="00A352EC"/>
    <w:rsid w:val="00A361E6"/>
    <w:rsid w:val="00A4343D"/>
    <w:rsid w:val="00A502F1"/>
    <w:rsid w:val="00A540DA"/>
    <w:rsid w:val="00A70A83"/>
    <w:rsid w:val="00A71AA1"/>
    <w:rsid w:val="00A81EB3"/>
    <w:rsid w:val="00A9120D"/>
    <w:rsid w:val="00AA13A4"/>
    <w:rsid w:val="00AB3410"/>
    <w:rsid w:val="00AB45CA"/>
    <w:rsid w:val="00AB52BB"/>
    <w:rsid w:val="00AE2068"/>
    <w:rsid w:val="00AE4222"/>
    <w:rsid w:val="00AE68C2"/>
    <w:rsid w:val="00AF5D7E"/>
    <w:rsid w:val="00B00C1D"/>
    <w:rsid w:val="00B34234"/>
    <w:rsid w:val="00B418A1"/>
    <w:rsid w:val="00B45CF2"/>
    <w:rsid w:val="00B55375"/>
    <w:rsid w:val="00B6057E"/>
    <w:rsid w:val="00B632CC"/>
    <w:rsid w:val="00BA12F1"/>
    <w:rsid w:val="00BA439F"/>
    <w:rsid w:val="00BA6370"/>
    <w:rsid w:val="00BB3541"/>
    <w:rsid w:val="00C038F2"/>
    <w:rsid w:val="00C071C3"/>
    <w:rsid w:val="00C269D4"/>
    <w:rsid w:val="00C37ADB"/>
    <w:rsid w:val="00C4160D"/>
    <w:rsid w:val="00C57C62"/>
    <w:rsid w:val="00C62738"/>
    <w:rsid w:val="00C8406E"/>
    <w:rsid w:val="00C87A51"/>
    <w:rsid w:val="00C91C72"/>
    <w:rsid w:val="00CA15B7"/>
    <w:rsid w:val="00CB2709"/>
    <w:rsid w:val="00CB6D72"/>
    <w:rsid w:val="00CB6F89"/>
    <w:rsid w:val="00CC0AE9"/>
    <w:rsid w:val="00CD1AD0"/>
    <w:rsid w:val="00CE228C"/>
    <w:rsid w:val="00CE71D9"/>
    <w:rsid w:val="00CF545B"/>
    <w:rsid w:val="00D15313"/>
    <w:rsid w:val="00D16A21"/>
    <w:rsid w:val="00D209A7"/>
    <w:rsid w:val="00D22D55"/>
    <w:rsid w:val="00D27D69"/>
    <w:rsid w:val="00D33658"/>
    <w:rsid w:val="00D448C2"/>
    <w:rsid w:val="00D54072"/>
    <w:rsid w:val="00D56856"/>
    <w:rsid w:val="00D61D6D"/>
    <w:rsid w:val="00D666C3"/>
    <w:rsid w:val="00D75F5F"/>
    <w:rsid w:val="00D85281"/>
    <w:rsid w:val="00D9050C"/>
    <w:rsid w:val="00D9189F"/>
    <w:rsid w:val="00DA449D"/>
    <w:rsid w:val="00DC2887"/>
    <w:rsid w:val="00DC62D6"/>
    <w:rsid w:val="00DC7074"/>
    <w:rsid w:val="00DC7310"/>
    <w:rsid w:val="00DD31B7"/>
    <w:rsid w:val="00DF45B4"/>
    <w:rsid w:val="00DF47FE"/>
    <w:rsid w:val="00E0156A"/>
    <w:rsid w:val="00E02CF5"/>
    <w:rsid w:val="00E02F43"/>
    <w:rsid w:val="00E06C88"/>
    <w:rsid w:val="00E22E2E"/>
    <w:rsid w:val="00E26704"/>
    <w:rsid w:val="00E31980"/>
    <w:rsid w:val="00E6423C"/>
    <w:rsid w:val="00E83005"/>
    <w:rsid w:val="00E848B3"/>
    <w:rsid w:val="00E93830"/>
    <w:rsid w:val="00E93E0E"/>
    <w:rsid w:val="00E97904"/>
    <w:rsid w:val="00EA114E"/>
    <w:rsid w:val="00EB1ED3"/>
    <w:rsid w:val="00EB313B"/>
    <w:rsid w:val="00EE2CBA"/>
    <w:rsid w:val="00EE5CC1"/>
    <w:rsid w:val="00F04366"/>
    <w:rsid w:val="00F2386D"/>
    <w:rsid w:val="00F44088"/>
    <w:rsid w:val="00F65D7E"/>
    <w:rsid w:val="00F75F2A"/>
    <w:rsid w:val="00F876A3"/>
    <w:rsid w:val="00F961A1"/>
    <w:rsid w:val="00F961EA"/>
    <w:rsid w:val="00FA08BC"/>
    <w:rsid w:val="00FA290B"/>
    <w:rsid w:val="00FA4F6A"/>
    <w:rsid w:val="00FA56ED"/>
    <w:rsid w:val="00FB3845"/>
    <w:rsid w:val="00FB687C"/>
    <w:rsid w:val="00FC4CC1"/>
    <w:rsid w:val="00FD165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  <w14:docId w14:val="58EF82AA"/>
  <w15:docId w15:val="{A9592EF0-583B-492B-AF3B-BE24DA5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ahoun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musil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1102-F71E-420D-9715-ADDD7470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2010</TotalTime>
  <Pages>3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Rybáček</dc:creator>
  <cp:lastModifiedBy>Petr Musil</cp:lastModifiedBy>
  <cp:revision>132</cp:revision>
  <cp:lastPrinted>2020-03-31T09:50:00Z</cp:lastPrinted>
  <dcterms:created xsi:type="dcterms:W3CDTF">2016-09-30T07:31:00Z</dcterms:created>
  <dcterms:modified xsi:type="dcterms:W3CDTF">2020-03-31T10:17:00Z</dcterms:modified>
</cp:coreProperties>
</file>