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3D66C0" w:rsidP="00732BB2">
      <w:pPr>
        <w:pStyle w:val="Datum"/>
      </w:pPr>
      <w:r>
        <w:t>5</w:t>
      </w:r>
      <w:r w:rsidR="000D2005" w:rsidRPr="00E97766">
        <w:t xml:space="preserve">. </w:t>
      </w:r>
      <w:r w:rsidR="00BE2D71">
        <w:t>února</w:t>
      </w:r>
      <w:r w:rsidR="00732BB2" w:rsidRPr="00E97766">
        <w:t xml:space="preserve"> 202</w:t>
      </w:r>
      <w:r w:rsidR="00BE2D71">
        <w:t>1</w:t>
      </w:r>
    </w:p>
    <w:p w:rsidR="00732BB2" w:rsidRPr="00E97766" w:rsidRDefault="003D66C0" w:rsidP="00732BB2">
      <w:pPr>
        <w:pStyle w:val="Nzev"/>
        <w:rPr>
          <w:rFonts w:cs="Arial"/>
        </w:rPr>
      </w:pPr>
      <w:r w:rsidRPr="003D66C0">
        <w:t>Tržby v maloobchodě za rok 2020 klesly o 0,6 %</w:t>
      </w:r>
    </w:p>
    <w:p w:rsidR="00E61FE8" w:rsidRPr="002E496D" w:rsidRDefault="003D66C0" w:rsidP="003D66C0">
      <w:pPr>
        <w:pStyle w:val="Perex"/>
        <w:jc w:val="left"/>
      </w:pPr>
      <w:r>
        <w:t>Meziročně se tržby očištěné o kalendářní vlivy v prosinci zvýšily reálně o 1,4 %, bez očištění o 3,7 %. Tržby v maloobchodě po očištění o sezónní vlivy meziměsíčně vzrostly o 8,3 %. Za celý rok 2020 se tržby v maloobchodě bez očištění meziročně snížily o 0,6 %.</w:t>
      </w:r>
    </w:p>
    <w:p w:rsidR="00732BB2" w:rsidRPr="00902A05" w:rsidRDefault="00E97766" w:rsidP="00902A05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041238" w:rsidRPr="00041238">
        <w:rPr>
          <w:rStyle w:val="Zdraznn"/>
          <w:rFonts w:ascii="Arial" w:hAnsi="Arial" w:cs="Arial"/>
          <w:sz w:val="20"/>
          <w:szCs w:val="20"/>
        </w:rPr>
        <w:t>V prosinci byl po část měsíce povolen maloobchodní prodej ve všech prodejnách, což se projevilo meziročním zvýšením maloobchodních tržeb o  3,7 %. Například prodejny s výrobky pro domácnost měly meziročně o více než 8 % vyšší tržby. Tržby za prodej prostřednictvím internetu si také v prosinci udržely více než třicetiprocentní růst. Za celý rok 2020 maloobchodní tržby mírně klesly. Největší pokles zaznamenaly specializované prodejny s oděvy a obuví</w:t>
      </w:r>
      <w:r w:rsidR="000E37B4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902A05">
        <w:rPr>
          <w:rFonts w:ascii="Arial" w:hAnsi="Arial" w:cs="Arial"/>
          <w:sz w:val="20"/>
          <w:szCs w:val="20"/>
        </w:rPr>
        <w:t xml:space="preserve"> říká </w:t>
      </w:r>
      <w:r w:rsidR="003D66C0" w:rsidRPr="003D66C0">
        <w:rPr>
          <w:rFonts w:ascii="Arial" w:hAnsi="Arial" w:cs="Arial"/>
          <w:sz w:val="20"/>
          <w:szCs w:val="20"/>
        </w:rPr>
        <w:t>Marie Boušková, ředitelka odboru statistiky služeb</w:t>
      </w:r>
      <w:r w:rsidR="003D66C0">
        <w:rPr>
          <w:rFonts w:ascii="Arial" w:hAnsi="Arial" w:cs="Arial"/>
          <w:sz w:val="20"/>
          <w:szCs w:val="20"/>
        </w:rPr>
        <w:t xml:space="preserve"> ČSÚ</w:t>
      </w:r>
      <w:r w:rsidR="00732BB2" w:rsidRPr="00E9776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874E3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3D66C0" w:rsidRPr="003D66C0">
          <w:rPr>
            <w:rStyle w:val="Hypertextovodkaz"/>
            <w:rFonts w:cs="Arial"/>
          </w:rPr>
          <w:t>https://www.czso.cz/csu/czso/cri/maloobchod-prosinec-2020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C4" w:rsidRDefault="00BD52C4" w:rsidP="00BA6370">
      <w:r>
        <w:separator/>
      </w:r>
    </w:p>
  </w:endnote>
  <w:endnote w:type="continuationSeparator" w:id="0">
    <w:p w:rsidR="00BD52C4" w:rsidRDefault="00BD52C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4123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4123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C4" w:rsidRDefault="00BD52C4" w:rsidP="00BA6370">
      <w:r>
        <w:separator/>
      </w:r>
    </w:p>
  </w:footnote>
  <w:footnote w:type="continuationSeparator" w:id="0">
    <w:p w:rsidR="00BD52C4" w:rsidRDefault="00BD52C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239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prosinec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1B38-D5EB-4459-AF3B-9411E375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3</cp:revision>
  <cp:lastPrinted>2018-05-14T07:58:00Z</cp:lastPrinted>
  <dcterms:created xsi:type="dcterms:W3CDTF">2021-02-04T11:06:00Z</dcterms:created>
  <dcterms:modified xsi:type="dcterms:W3CDTF">2021-02-04T12:20:00Z</dcterms:modified>
</cp:coreProperties>
</file>