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43A" w:rsidRDefault="00A803C1">
      <w:pPr>
        <w:pStyle w:val="Datum"/>
      </w:pPr>
      <w:r>
        <w:t>30 October 2020</w:t>
      </w:r>
    </w:p>
    <w:p w:rsidR="00BA543A" w:rsidRDefault="00A803C1">
      <w:pPr>
        <w:pStyle w:val="Nzev"/>
      </w:pPr>
      <w:r>
        <w:t>Meat production up, prices of animals for slaughter down</w:t>
      </w:r>
    </w:p>
    <w:p w:rsidR="00BA543A" w:rsidRDefault="00A803C1">
      <w:pPr>
        <w:pStyle w:val="Podtitulek"/>
      </w:pPr>
      <w:r>
        <w:t>Agriculture – 3</w:t>
      </w:r>
      <w:r>
        <w:rPr>
          <w:vertAlign w:val="superscript"/>
        </w:rPr>
        <w:t>rd</w:t>
      </w:r>
      <w:r>
        <w:t xml:space="preserve"> quarter 2020</w:t>
      </w:r>
    </w:p>
    <w:p w:rsidR="00BA543A" w:rsidRPr="00C8268A" w:rsidRDefault="00A803C1">
      <w:pPr>
        <w:pStyle w:val="Perex"/>
        <w:spacing w:after="0"/>
      </w:pPr>
      <w:r>
        <w:rPr>
          <w:bCs/>
          <w:color w:val="000000"/>
        </w:rPr>
        <w:t xml:space="preserve">In Q3 2020 the meat production amounted to 114 103 tonnes, i.e. </w:t>
      </w:r>
      <w:r>
        <w:rPr>
          <w:bCs/>
          <w:color w:val="000000"/>
          <w:szCs w:val="20"/>
        </w:rPr>
        <w:t xml:space="preserve">by </w:t>
      </w:r>
      <w:r>
        <w:rPr>
          <w:bCs/>
          <w:color w:val="000000"/>
        </w:rPr>
        <w:t>1.6% more, year</w:t>
      </w:r>
      <w:r w:rsidR="00A86604">
        <w:rPr>
          <w:bCs/>
          <w:color w:val="000000"/>
        </w:rPr>
        <w:noBreakHyphen/>
      </w:r>
      <w:r>
        <w:rPr>
          <w:bCs/>
          <w:color w:val="000000"/>
        </w:rPr>
        <w:t>on</w:t>
      </w:r>
      <w:r w:rsidR="00A86604">
        <w:rPr>
          <w:bCs/>
          <w:color w:val="000000"/>
        </w:rPr>
        <w:noBreakHyphen/>
      </w:r>
      <w:r>
        <w:rPr>
          <w:bCs/>
          <w:color w:val="000000"/>
        </w:rPr>
        <w:t>year. I</w:t>
      </w:r>
      <w:r>
        <w:rPr>
          <w:rStyle w:val="Siln"/>
          <w:b/>
          <w:color w:val="000000"/>
          <w:szCs w:val="20"/>
        </w:rPr>
        <w:t>t consisted of 17 525 tonnes of beef (</w:t>
      </w:r>
      <w:r>
        <w:rPr>
          <w:color w:val="000000"/>
          <w:szCs w:val="20"/>
        </w:rPr>
        <w:t>+0.6</w:t>
      </w:r>
      <w:r>
        <w:rPr>
          <w:rStyle w:val="Siln"/>
          <w:b/>
          <w:color w:val="000000"/>
          <w:szCs w:val="20"/>
        </w:rPr>
        <w:t xml:space="preserve">%), 52 762 tonnes of </w:t>
      </w:r>
      <w:r>
        <w:rPr>
          <w:rStyle w:val="spelle"/>
          <w:color w:val="000000"/>
          <w:szCs w:val="20"/>
        </w:rPr>
        <w:t>pigmeat</w:t>
      </w:r>
      <w:r>
        <w:rPr>
          <w:rStyle w:val="Siln"/>
          <w:b/>
          <w:color w:val="000000"/>
          <w:szCs w:val="20"/>
        </w:rPr>
        <w:t xml:space="preserve"> (</w:t>
      </w:r>
      <w:r>
        <w:rPr>
          <w:color w:val="000000"/>
          <w:szCs w:val="20"/>
        </w:rPr>
        <w:t>+</w:t>
      </w:r>
      <w:r>
        <w:rPr>
          <w:rStyle w:val="Siln"/>
          <w:b/>
          <w:color w:val="000000"/>
          <w:szCs w:val="20"/>
        </w:rPr>
        <w:t xml:space="preserve">2.3%), and </w:t>
      </w:r>
      <w:r>
        <w:rPr>
          <w:bCs/>
          <w:color w:val="000000"/>
        </w:rPr>
        <w:t>43 777</w:t>
      </w:r>
      <w:r>
        <w:rPr>
          <w:rStyle w:val="Siln"/>
          <w:b/>
          <w:color w:val="000000"/>
          <w:szCs w:val="20"/>
        </w:rPr>
        <w:t xml:space="preserve"> tonnes of </w:t>
      </w:r>
      <w:r>
        <w:rPr>
          <w:rStyle w:val="spelle"/>
          <w:color w:val="000000"/>
          <w:szCs w:val="20"/>
        </w:rPr>
        <w:t>poultrymeat</w:t>
      </w:r>
      <w:r>
        <w:rPr>
          <w:rStyle w:val="Siln"/>
          <w:b/>
          <w:color w:val="000000"/>
          <w:szCs w:val="20"/>
        </w:rPr>
        <w:t xml:space="preserve"> (+1.2%). </w:t>
      </w:r>
      <w:r>
        <w:rPr>
          <w:bCs/>
          <w:color w:val="000000"/>
        </w:rPr>
        <w:t xml:space="preserve">Prices of cattle for slaughter declined by 4,9%, y-o-y, and prices of pigs for slaughter plummeted by 13.9%. Dairies and collection centres purchased 775 736 thous. litres (+3.9%) of milk from domestic producers on average for 8.24 </w:t>
      </w:r>
      <w:r w:rsidRPr="00C8268A">
        <w:rPr>
          <w:bCs/>
        </w:rPr>
        <w:t>CZK per litre (</w:t>
      </w:r>
      <w:r w:rsidRPr="00C8268A">
        <w:t>−4.4%)</w:t>
      </w:r>
      <w:r w:rsidRPr="00C8268A">
        <w:rPr>
          <w:bCs/>
        </w:rPr>
        <w:t>.</w:t>
      </w:r>
    </w:p>
    <w:p w:rsidR="00BA543A" w:rsidRPr="00C8268A" w:rsidRDefault="00BA543A">
      <w:pPr>
        <w:pStyle w:val="Perex"/>
        <w:spacing w:after="0"/>
      </w:pPr>
    </w:p>
    <w:p w:rsidR="00BA543A" w:rsidRPr="00C8268A" w:rsidRDefault="00A803C1">
      <w:pPr>
        <w:pStyle w:val="Nadpis1"/>
      </w:pPr>
      <w:r w:rsidRPr="00C8268A">
        <w:t>Slaughtering and meat production</w:t>
      </w:r>
    </w:p>
    <w:p w:rsidR="00BA543A" w:rsidRDefault="00A803C1">
      <w:pPr>
        <w:rPr>
          <w:szCs w:val="20"/>
          <w:highlight w:val="yellow"/>
        </w:rPr>
      </w:pPr>
      <w:r w:rsidRPr="00C8268A">
        <w:t xml:space="preserve">The number </w:t>
      </w:r>
      <w:r>
        <w:t>of slaughtered cattle in Q3 2020 accounted for 56.9 thous. head (</w:t>
      </w:r>
      <w:r>
        <w:rPr>
          <w:sz w:val="18"/>
        </w:rPr>
        <w:t>−</w:t>
      </w:r>
      <w:r>
        <w:t>1.5%, y-o-y), of which 23.6 thous. were bulls (+0.9%), 25.4 thous. were cows (−3.9%), and 5.9 thous. were heifers (+0.9%). Negligibly increased beef production (17 525 tonnes</w:t>
      </w:r>
      <w:r w:rsidR="002443F5">
        <w:t>;</w:t>
      </w:r>
      <w:r>
        <w:t xml:space="preserve"> +0.6%) in combination with lower number of slaughtered animals showed higher average slaughter weight (576.6 kg per head; +2.1%), which was caused by prolonged fattening period (see cattle numbers below).</w:t>
      </w:r>
    </w:p>
    <w:p w:rsidR="00BA543A" w:rsidRDefault="00A803C1">
      <w:pPr>
        <w:rPr>
          <w:highlight w:val="yellow"/>
        </w:rPr>
      </w:pPr>
      <w:r>
        <w:t>The number of slaughtered pigs in Q3 2020 went down to 568.2 thous. head (</w:t>
      </w:r>
      <w:r>
        <w:rPr>
          <w:sz w:val="18"/>
        </w:rPr>
        <w:t>−</w:t>
      </w:r>
      <w:r>
        <w:t xml:space="preserve">1.1%, y-o-y). The pigmeat production amounted to 52 762 tonnes (+2.3%) owing to increased average slaughter weight of fattening pigs (118.4 kg per head; +3.4%) as a ceasing result of restricted slaughtering in April and May. </w:t>
      </w:r>
    </w:p>
    <w:p w:rsidR="00BA543A" w:rsidRDefault="00A803C1">
      <w:pPr>
        <w:rPr>
          <w:color w:val="000000" w:themeColor="text1"/>
        </w:rPr>
      </w:pPr>
      <w:r>
        <w:rPr>
          <w:color w:val="000000" w:themeColor="text1"/>
        </w:rPr>
        <w:t xml:space="preserve">According to the statistical survey of the Ministry of Agriculture of the Czech Republic, the amount of poultry slaughtered in Q3 2020 accounted for </w:t>
      </w:r>
      <w:r>
        <w:rPr>
          <w:color w:val="000000"/>
        </w:rPr>
        <w:t>67 382</w:t>
      </w:r>
      <w:r>
        <w:rPr>
          <w:color w:val="FF0000"/>
        </w:rPr>
        <w:t xml:space="preserve"> </w:t>
      </w:r>
      <w:r>
        <w:rPr>
          <w:color w:val="000000" w:themeColor="text1"/>
        </w:rPr>
        <w:t xml:space="preserve">tonnes, which represents </w:t>
      </w:r>
      <w:r>
        <w:rPr>
          <w:color w:val="000000"/>
        </w:rPr>
        <w:t xml:space="preserve">43 777 </w:t>
      </w:r>
      <w:r>
        <w:rPr>
          <w:color w:val="000000" w:themeColor="text1"/>
        </w:rPr>
        <w:t xml:space="preserve">tonnes of poultrymeat produced </w:t>
      </w:r>
      <w:r>
        <w:rPr>
          <w:color w:val="000000"/>
        </w:rPr>
        <w:t>(+1.2%,</w:t>
      </w:r>
      <w:r>
        <w:rPr>
          <w:color w:val="FF0000"/>
        </w:rPr>
        <w:t xml:space="preserve"> </w:t>
      </w:r>
      <w:r>
        <w:rPr>
          <w:color w:val="000000" w:themeColor="text1"/>
        </w:rPr>
        <w:t>y-o-y).</w:t>
      </w:r>
    </w:p>
    <w:p w:rsidR="00BA543A" w:rsidRPr="00C8268A" w:rsidRDefault="00BA543A"/>
    <w:p w:rsidR="00BA543A" w:rsidRDefault="00A803C1">
      <w:pPr>
        <w:pStyle w:val="Nadpis1"/>
        <w:rPr>
          <w:b w:val="0"/>
          <w:color w:val="0D0D0D"/>
        </w:rPr>
      </w:pPr>
      <w:r>
        <w:rPr>
          <w:color w:val="0D0D0D"/>
        </w:rPr>
        <w:t>Cattle and pig numbers</w:t>
      </w:r>
    </w:p>
    <w:p w:rsidR="00BA543A" w:rsidRDefault="00A803C1">
      <w:r>
        <w:t>The number of cattle in the Czech Republic at the beginning of Q3 2020 were 1 406.9 thous. head, i.e. by 1.1% less, y-o-y. A slight y-o-y decrease (</w:t>
      </w:r>
      <w:r>
        <w:rPr>
          <w:sz w:val="18"/>
        </w:rPr>
        <w:t>−</w:t>
      </w:r>
      <w:r>
        <w:t>1.9%) was recorded for cows. The number of fattening bulls aged 1 to 2 years declined as well (</w:t>
      </w:r>
      <w:r>
        <w:rPr>
          <w:sz w:val="18"/>
        </w:rPr>
        <w:t>−</w:t>
      </w:r>
      <w:r>
        <w:t>5.9%). The numbers in categories intended to immediate slaughter (i.e. bulls and not mated heifers aged over 2 years and heifers for slaughter) were higher, y-o-y (+22.4% in total) due to reduced activity of slaughterhouses as well as exports of animals for slaughter during spring.</w:t>
      </w:r>
    </w:p>
    <w:p w:rsidR="00BA543A" w:rsidRDefault="00A803C1">
      <w:r>
        <w:t>According to the results of the Pig Production Survey, the number of pigs amounted to 1 521.1</w:t>
      </w:r>
      <w:r w:rsidR="00C8268A">
        <w:t> </w:t>
      </w:r>
      <w:r>
        <w:t>thous. head (</w:t>
      </w:r>
      <w:r>
        <w:rPr>
          <w:szCs w:val="18"/>
        </w:rPr>
        <w:t>+</w:t>
      </w:r>
      <w:r>
        <w:t>0.7%, y-o-y). The number of sows went down (</w:t>
      </w:r>
      <w:r>
        <w:rPr>
          <w:sz w:val="18"/>
          <w:szCs w:val="18"/>
        </w:rPr>
        <w:t>−</w:t>
      </w:r>
      <w:r>
        <w:t xml:space="preserve">0.9%) but the number of mated gilts rose by 11.2%. The number of fattening pigs immediately before slaughter, i.e. in the category of pigs having a live weight of 110 kg and over, went up as well (+18.9%) </w:t>
      </w:r>
    </w:p>
    <w:p w:rsidR="00BA543A" w:rsidRDefault="00BA543A">
      <w:pPr>
        <w:rPr>
          <w:color w:val="0D0D0D"/>
        </w:rPr>
      </w:pPr>
    </w:p>
    <w:p w:rsidR="00BA543A" w:rsidRDefault="00A803C1">
      <w:pPr>
        <w:pStyle w:val="Nadpis1"/>
        <w:jc w:val="both"/>
      </w:pPr>
      <w:r>
        <w:t>Agricultural producer prices of cattle, pigs and chicken for slaughter</w:t>
      </w:r>
    </w:p>
    <w:p w:rsidR="00BA543A" w:rsidRDefault="00A803C1">
      <w:r>
        <w:t>Year-on-year decreases were observed in Q3 2020 in all animal products surveyed.</w:t>
      </w:r>
    </w:p>
    <w:p w:rsidR="00BA543A" w:rsidRDefault="00A803C1">
      <w:r>
        <w:t>Agricultural producer prices of cattle for slaughter went down by 4.9%, y-o-y, of which among important categories those of cows for slaughter (</w:t>
      </w:r>
      <w:r>
        <w:rPr>
          <w:color w:val="0D0D0D"/>
          <w:sz w:val="18"/>
        </w:rPr>
        <w:t>−</w:t>
      </w:r>
      <w:r>
        <w:rPr>
          <w:color w:val="0D0D0D"/>
        </w:rPr>
        <w:t>7.4%) and heifers for slaughter (</w:t>
      </w:r>
      <w:r>
        <w:rPr>
          <w:color w:val="0D0D0D"/>
          <w:sz w:val="18"/>
        </w:rPr>
        <w:t>−</w:t>
      </w:r>
      <w:r>
        <w:rPr>
          <w:color w:val="0D0D0D"/>
        </w:rPr>
        <w:t xml:space="preserve">6.8%) </w:t>
      </w:r>
      <w:r>
        <w:t xml:space="preserve">the </w:t>
      </w:r>
      <w:r>
        <w:lastRenderedPageBreak/>
        <w:t>most</w:t>
      </w:r>
      <w:r>
        <w:rPr>
          <w:color w:val="0D0D0D"/>
        </w:rPr>
        <w:t>.</w:t>
      </w:r>
      <w:r>
        <w:t xml:space="preserve"> </w:t>
      </w:r>
      <w:r>
        <w:rPr>
          <w:color w:val="0D0D0D"/>
        </w:rPr>
        <w:t xml:space="preserve">Prices of bulls for slaughter decreased </w:t>
      </w:r>
      <w:r>
        <w:t>by 1.6%. Producers sold bulls for slaughter on average for 45.07 CZK per kg of live weight or 82.02 CZK per kg of carcass weight.</w:t>
      </w:r>
    </w:p>
    <w:p w:rsidR="00BA543A" w:rsidRDefault="00A803C1">
      <w:pPr>
        <w:rPr>
          <w:highlight w:val="yellow"/>
        </w:rPr>
      </w:pPr>
      <w:r>
        <w:t xml:space="preserve">Agricultural producer prices of pigs for slaughter in Q3 2020 dropped by 13.9% in comparison with Q3 2019 and reached on average 29.46 CZK per kg of live weight or 38.30 CZK per kg of carcass weight. In comparison with Q2 2020, the average price in carcass weight went down by 5.79 CZK per kg of carcass weight. </w:t>
      </w:r>
    </w:p>
    <w:p w:rsidR="00BA543A" w:rsidRDefault="00A803C1">
      <w:r>
        <w:t>Agricultural producer prices of chicken for slaughter in Q3 2020 recorded a slight y-o-y decrease (</w:t>
      </w:r>
      <w:r>
        <w:rPr>
          <w:color w:val="0D0D0D"/>
          <w:sz w:val="18"/>
        </w:rPr>
        <w:t>−</w:t>
      </w:r>
      <w:r>
        <w:t>1.0%). Producers sold chicken for slaughter of the first quality class on average for 22.84 CZK per kg of live weight.</w:t>
      </w:r>
    </w:p>
    <w:p w:rsidR="00BA543A" w:rsidRDefault="00BA543A"/>
    <w:p w:rsidR="00BA543A" w:rsidRDefault="00A803C1">
      <w:pPr>
        <w:pStyle w:val="Nadpis1"/>
      </w:pPr>
      <w:r>
        <w:t>Cross border movements</w:t>
      </w:r>
      <w:r>
        <w:rPr>
          <w:rStyle w:val="FootnoteAnchor"/>
        </w:rPr>
        <w:footnoteReference w:id="1"/>
      </w:r>
      <w:r>
        <w:rPr>
          <w:vertAlign w:val="superscript"/>
        </w:rPr>
        <w:t>)</w:t>
      </w:r>
      <w:r>
        <w:t xml:space="preserve"> – live animals and meat</w:t>
      </w:r>
    </w:p>
    <w:p w:rsidR="00BA543A" w:rsidRDefault="00A803C1">
      <w:r>
        <w:t>According to preliminary results of cross border movements statistics, less live cattle and live poultry were traded, y-o-y, in the period from June to August 2020 because of declined exports. On the contrary, the turnover of trade in live pigs was higher due to increased imports.</w:t>
      </w:r>
    </w:p>
    <w:p w:rsidR="00BA543A" w:rsidRDefault="00A803C1">
      <w:pPr>
        <w:rPr>
          <w:highlight w:val="yellow"/>
        </w:rPr>
      </w:pPr>
      <w:r>
        <w:t>In total 47.5 thous. head of live cattle (</w:t>
      </w:r>
      <w:r>
        <w:rPr>
          <w:color w:val="0D0D0D"/>
          <w:sz w:val="18"/>
        </w:rPr>
        <w:t>−</w:t>
      </w:r>
      <w:r>
        <w:rPr>
          <w:color w:val="0D0D0D"/>
        </w:rPr>
        <w:t>9.1%) were exported, of which 15.0 thous. head (</w:t>
      </w:r>
      <w:r>
        <w:rPr>
          <w:color w:val="0D0D0D"/>
          <w:sz w:val="18"/>
        </w:rPr>
        <w:t>−</w:t>
      </w:r>
      <w:r>
        <w:rPr>
          <w:color w:val="0D0D0D"/>
        </w:rPr>
        <w:t>1.7%) were for slaughter and 32.6 thous. head (</w:t>
      </w:r>
      <w:r>
        <w:rPr>
          <w:color w:val="0D0D0D"/>
          <w:sz w:val="18"/>
        </w:rPr>
        <w:t>−</w:t>
      </w:r>
      <w:r>
        <w:rPr>
          <w:color w:val="0D0D0D"/>
        </w:rPr>
        <w:t xml:space="preserve">12.2%) were for further rearing, including animals for breeding. Imports of animals for slaughter continued to grow (1.9 thous. head; +21.1%). Live cattle were imported mainly from Slovakia and exported to Austria and Germany; exports outside the EU went down by more than one half because a significant part of cattle for further rearing </w:t>
      </w:r>
      <w:r w:rsidR="00047F9C">
        <w:rPr>
          <w:color w:val="0D0D0D"/>
        </w:rPr>
        <w:t xml:space="preserve">formerly exported </w:t>
      </w:r>
      <w:r>
        <w:rPr>
          <w:color w:val="0D0D0D"/>
        </w:rPr>
        <w:t xml:space="preserve">to Turkey was </w:t>
      </w:r>
      <w:r w:rsidR="002C167F">
        <w:rPr>
          <w:color w:val="0D0D0D"/>
        </w:rPr>
        <w:t xml:space="preserve">directed </w:t>
      </w:r>
      <w:r>
        <w:rPr>
          <w:color w:val="0D0D0D"/>
        </w:rPr>
        <w:t>to Bulgaria.</w:t>
      </w:r>
    </w:p>
    <w:p w:rsidR="00BA543A" w:rsidRDefault="00A803C1">
      <w:r>
        <w:t>Cross border movements of live pigs recorded a lower surplus, y-o-y, which was caused by increased imports (25.4 thous. head; +4.5%) together with almost unchanged exports (101.3</w:t>
      </w:r>
      <w:r w:rsidR="00A86604">
        <w:t> </w:t>
      </w:r>
      <w:r>
        <w:t xml:space="preserve">thous. head; </w:t>
      </w:r>
      <w:r>
        <w:rPr>
          <w:sz w:val="18"/>
        </w:rPr>
        <w:t>−</w:t>
      </w:r>
      <w:r>
        <w:t>0.8%). In comparison with Q3 2019, during which no pigs for slaughter were imported, their imports recovered to 1.0 thous. head. Their exports increased as well (to 61.0</w:t>
      </w:r>
      <w:r w:rsidR="00A86604">
        <w:t> </w:t>
      </w:r>
      <w:r>
        <w:t xml:space="preserve">thous. head; +12.4%), while exports of young pigs having an average weight of 27.4 kg declined (to 38.9 thous. head; </w:t>
      </w:r>
      <w:r>
        <w:rPr>
          <w:color w:val="0D0D0D"/>
          <w:sz w:val="18"/>
        </w:rPr>
        <w:t>−</w:t>
      </w:r>
      <w:r>
        <w:rPr>
          <w:color w:val="0D0D0D"/>
        </w:rPr>
        <w:t xml:space="preserve">16.8%). </w:t>
      </w:r>
      <w:r>
        <w:t>Live pigs came from Germany, Slovakia, and Denmark; they were exported mostly to Slovakia, Hungary, and Germany.</w:t>
      </w:r>
    </w:p>
    <w:p w:rsidR="00BA543A" w:rsidRDefault="00A803C1">
      <w:r>
        <w:t>According to the statistics of cross border movements, the commodity live poultry showed a y-o</w:t>
      </w:r>
      <w:r w:rsidR="00A86604">
        <w:noBreakHyphen/>
      </w:r>
      <w:r>
        <w:t>y plummet in exports of chick</w:t>
      </w:r>
      <w:r w:rsidR="002443F5">
        <w:t>en</w:t>
      </w:r>
      <w:r>
        <w:t xml:space="preserve"> and hens for slaughter: by 24.1% to 4 608 tonnes of live weight. The surplus of the trade in day-old juveniles stayed at the same level. In total 22.9 million chicks and 2.2 million ducklings were exported and 1.4 million chicks, 97 thous. ducklings (3 times more, y-o-y), and 75 thous. turkey poults</w:t>
      </w:r>
      <w:r>
        <w:rPr>
          <w:color w:val="FF0000"/>
        </w:rPr>
        <w:t xml:space="preserve"> </w:t>
      </w:r>
      <w:r>
        <w:t xml:space="preserve">(one half, y-o-y) were imported. Main partners in imports of live poultry were </w:t>
      </w:r>
      <w:r>
        <w:rPr>
          <w:color w:val="0D0D0D"/>
        </w:rPr>
        <w:t>Hungary, Slovakia, and Germany; exports were directed to Slovakia, Poland, Romania, and Germany.</w:t>
      </w:r>
    </w:p>
    <w:p w:rsidR="00BA543A" w:rsidRDefault="00A803C1">
      <w:pPr>
        <w:rPr>
          <w:highlight w:val="yellow"/>
        </w:rPr>
      </w:pPr>
      <w:r>
        <w:t xml:space="preserve">The statistics of cross border movements of the commodity meat improved for beef (to </w:t>
      </w:r>
      <w:r>
        <w:rPr>
          <w:sz w:val="18"/>
        </w:rPr>
        <w:t>−</w:t>
      </w:r>
      <w:r>
        <w:t>6</w:t>
      </w:r>
      <w:r w:rsidR="00A86604">
        <w:t> </w:t>
      </w:r>
      <w:r>
        <w:t>015</w:t>
      </w:r>
      <w:r w:rsidR="00A86604">
        <w:t> </w:t>
      </w:r>
      <w:r>
        <w:t>tonnes), negligibly deepened in pigmeat (</w:t>
      </w:r>
      <w:r>
        <w:rPr>
          <w:sz w:val="18"/>
        </w:rPr>
        <w:t>−</w:t>
      </w:r>
      <w:r>
        <w:t>60 345 tonnes), and a distinct y-o-y deficit was recorded for poultrymeat (</w:t>
      </w:r>
      <w:r>
        <w:rPr>
          <w:sz w:val="18"/>
        </w:rPr>
        <w:t>−</w:t>
      </w:r>
      <w:r>
        <w:t>23 158 tonnes).</w:t>
      </w:r>
    </w:p>
    <w:p w:rsidR="00BA543A" w:rsidRDefault="00A803C1">
      <w:r>
        <w:t>Imports of beef amounted to 9 475 tonnes (</w:t>
      </w:r>
      <w:r>
        <w:rPr>
          <w:sz w:val="18"/>
        </w:rPr>
        <w:t>−</w:t>
      </w:r>
      <w:r>
        <w:t>11.8%) and its exports went up to 3 460 tonnes (+10.2%). Imported beef came above mostly from the Netherlands, Poland, and Germany. Exports went above all to Slovakia and Poland.</w:t>
      </w:r>
    </w:p>
    <w:p w:rsidR="00BA543A" w:rsidRDefault="00A803C1">
      <w:r>
        <w:lastRenderedPageBreak/>
        <w:t>Imports of pigmeat slightly grew to 68 853 tonnes (+2.3%) as well as its exports (8 508 tonnes; +17.5%); i.e. the deficit of movements of goods negligibly increased, y-o-y. Pigmeat was imported traditionally from Germany, Spain, Poland, and Belgium; most of it was exported to Slovakia.</w:t>
      </w:r>
    </w:p>
    <w:p w:rsidR="00BA543A" w:rsidRPr="00C8268A" w:rsidRDefault="00A803C1">
      <w:r>
        <w:t xml:space="preserve">Cross border movements of poultrymeat, similarly to the situation in Q2 2020, recorded different trends. Increased imports (26 953 tonnes; +7.2%) and lower exports (3 794 tonnes; </w:t>
      </w:r>
      <w:r>
        <w:rPr>
          <w:sz w:val="18"/>
        </w:rPr>
        <w:t>−</w:t>
      </w:r>
      <w:r>
        <w:t xml:space="preserve">12.5%) resulted in y-o-y deepened deficit of the trade in poultrymeat. More than half of imported poultrymeat came from Poland; imports from Hungary slightly rose. Exports were directed to Slovakia, Germany, Austria and </w:t>
      </w:r>
      <w:r w:rsidRPr="00C8268A">
        <w:t>Hungary.</w:t>
      </w:r>
    </w:p>
    <w:p w:rsidR="00BA543A" w:rsidRDefault="00BA543A"/>
    <w:p w:rsidR="00BA543A" w:rsidRDefault="00A803C1">
      <w:pPr>
        <w:pStyle w:val="Nadpis1"/>
      </w:pPr>
      <w:r>
        <w:t>Milk collection and agricultural producer prices of milk</w:t>
      </w:r>
    </w:p>
    <w:p w:rsidR="00BA543A" w:rsidRDefault="00A803C1">
      <w:r>
        <w:t xml:space="preserve">According to the statistical survey of the Ministry of Agriculture of the Czech Republic, in total </w:t>
      </w:r>
      <w:r>
        <w:rPr>
          <w:color w:val="000000"/>
        </w:rPr>
        <w:t>775 736 thousand litres of milk (+3.9%)</w:t>
      </w:r>
      <w:r>
        <w:rPr>
          <w:color w:val="FF0000"/>
        </w:rPr>
        <w:t xml:space="preserve"> </w:t>
      </w:r>
      <w:r>
        <w:t xml:space="preserve">were collected from domestic producers in Q3 2020, of which </w:t>
      </w:r>
      <w:r>
        <w:rPr>
          <w:color w:val="000000"/>
        </w:rPr>
        <w:t xml:space="preserve">653 736 thousand litres (+6.4%) were </w:t>
      </w:r>
      <w:r>
        <w:t xml:space="preserve">purchased by dairies from producers and collection centres for processing. </w:t>
      </w:r>
    </w:p>
    <w:p w:rsidR="00BA543A" w:rsidRDefault="00A803C1">
      <w:r>
        <w:t>Agricultural producer prices of milk slightly declined, y-o-y (</w:t>
      </w:r>
      <w:r>
        <w:rPr>
          <w:sz w:val="18"/>
        </w:rPr>
        <w:t>−</w:t>
      </w:r>
      <w:r>
        <w:t>4.4%). The average price of milk of Q quality class was 8.24 CZK per litre, i.e. also by 0.35 CZK per litre less than in Q2 2020.</w:t>
      </w:r>
    </w:p>
    <w:p w:rsidR="00BA543A" w:rsidRDefault="00BA543A"/>
    <w:p w:rsidR="00BA543A" w:rsidRDefault="00A803C1">
      <w:pPr>
        <w:pStyle w:val="Nadpis1"/>
      </w:pPr>
      <w:r>
        <w:t>Cross border movements</w:t>
      </w:r>
      <w:r>
        <w:rPr>
          <w:vertAlign w:val="superscript"/>
        </w:rPr>
        <w:t>1)</w:t>
      </w:r>
      <w:r>
        <w:t xml:space="preserve"> – milk and milk products</w:t>
      </w:r>
    </w:p>
    <w:p w:rsidR="00BA543A" w:rsidRDefault="00A803C1">
      <w:r>
        <w:t>In total 72.6 thous. tonnes (+</w:t>
      </w:r>
      <w:r>
        <w:rPr>
          <w:szCs w:val="20"/>
        </w:rPr>
        <w:t>17.</w:t>
      </w:r>
      <w:r>
        <w:t>7%) of milk and milk products were imported and 298.4 thous. tonnes (+4.6%) were exported during the reference period. Considerable surplus in cross border movements of milk and milk products grew again, y-o-y, mainly due to increased exports of milk and cream (+10 110 tonnes), and despite the fact that their imports went up as well (+6</w:t>
      </w:r>
      <w:r w:rsidR="00A86604">
        <w:t> </w:t>
      </w:r>
      <w:r>
        <w:t>402</w:t>
      </w:r>
      <w:r w:rsidR="00A86604">
        <w:t> </w:t>
      </w:r>
      <w:bookmarkStart w:id="0" w:name="_GoBack"/>
      <w:bookmarkEnd w:id="0"/>
      <w:r>
        <w:t xml:space="preserve">tonnes). The deficit of the trade in cheese and curd went slightly down, y-o-y, to </w:t>
      </w:r>
      <w:r>
        <w:rPr>
          <w:sz w:val="18"/>
        </w:rPr>
        <w:t>−</w:t>
      </w:r>
      <w:r>
        <w:t>11 391 tonnes and the surplus of the trade in acidified milk products declined as well (+4 740 tonnes). The trade in whey rose: by 1 492 tonnes directed to Czechia and by 1 757 from Czechia. Milk and milk products were imported the most from Germany, Poland, and Slovakia. Exports went above all to Germany, Slovakia and Italy.</w:t>
      </w:r>
    </w:p>
    <w:p w:rsidR="00BA543A" w:rsidRDefault="00A803C1">
      <w:pPr>
        <w:pStyle w:val="Poznmky"/>
        <w:jc w:val="both"/>
        <w:rPr>
          <w:i/>
          <w:spacing w:val="-2"/>
          <w:lang w:val="en-GB"/>
        </w:rPr>
      </w:pPr>
      <w:r>
        <w:rPr>
          <w:i/>
          <w:spacing w:val="-2"/>
          <w:lang w:val="en-GB"/>
        </w:rPr>
        <w:t>Notes:</w:t>
      </w:r>
    </w:p>
    <w:p w:rsidR="00BA543A" w:rsidRDefault="00A803C1">
      <w:pPr>
        <w:spacing w:before="60" w:line="240" w:lineRule="exact"/>
        <w:ind w:left="3600" w:hanging="3600"/>
        <w:jc w:val="left"/>
        <w:rPr>
          <w:rFonts w:cs="ArialMT"/>
          <w:i/>
          <w:iCs/>
          <w:color w:val="000000"/>
          <w:sz w:val="18"/>
          <w:szCs w:val="18"/>
        </w:rPr>
      </w:pPr>
      <w:r>
        <w:rPr>
          <w:rFonts w:cs="ArialMT"/>
          <w:i/>
          <w:iCs/>
          <w:color w:val="000000"/>
          <w:sz w:val="18"/>
          <w:szCs w:val="18"/>
        </w:rPr>
        <w:t xml:space="preserve">Published data are final, </w:t>
      </w:r>
      <w:r>
        <w:rPr>
          <w:rFonts w:cs="ArialMT"/>
          <w:i/>
          <w:iCs/>
          <w:sz w:val="18"/>
          <w:szCs w:val="18"/>
        </w:rPr>
        <w:t xml:space="preserve">except statistics of </w:t>
      </w:r>
      <w:r>
        <w:rPr>
          <w:i/>
          <w:sz w:val="18"/>
          <w:szCs w:val="18"/>
        </w:rPr>
        <w:t>cross border movements of goods</w:t>
      </w:r>
      <w:r>
        <w:rPr>
          <w:rFonts w:cs="ArialMT"/>
          <w:i/>
          <w:iCs/>
          <w:sz w:val="18"/>
          <w:szCs w:val="18"/>
        </w:rPr>
        <w:t>.</w:t>
      </w:r>
    </w:p>
    <w:p w:rsidR="00BA543A" w:rsidRDefault="00BA543A">
      <w:pPr>
        <w:spacing w:line="240" w:lineRule="exact"/>
        <w:ind w:left="3600" w:hanging="3600"/>
        <w:jc w:val="left"/>
        <w:rPr>
          <w:rFonts w:cs="ArialMT"/>
          <w:i/>
          <w:iCs/>
          <w:color w:val="000000"/>
          <w:sz w:val="18"/>
          <w:szCs w:val="18"/>
        </w:rPr>
      </w:pPr>
    </w:p>
    <w:p w:rsidR="00BA543A" w:rsidRDefault="00A803C1">
      <w:pPr>
        <w:pStyle w:val="Poznamkytexty"/>
        <w:ind w:left="2127" w:hanging="2127"/>
        <w:jc w:val="left"/>
        <w:rPr>
          <w:lang w:val="en-GB"/>
        </w:rPr>
      </w:pPr>
      <w:r>
        <w:rPr>
          <w:rStyle w:val="Zdraznn"/>
          <w:i/>
          <w:lang w:val="en-GB"/>
        </w:rPr>
        <w:t>Responsible head:</w:t>
      </w:r>
      <w:r>
        <w:rPr>
          <w:rStyle w:val="Zdraznn"/>
          <w:i/>
          <w:lang w:val="en-GB"/>
        </w:rPr>
        <w:tab/>
        <w:t>Radek Matějka</w:t>
      </w:r>
      <w:r>
        <w:rPr>
          <w:lang w:val="en-GB"/>
        </w:rPr>
        <w:t>, Director of Agricultural and Forestry, Industrial, Construction and Energy Statistics Department, phone (+420) </w:t>
      </w:r>
      <w:r>
        <w:rPr>
          <w:color w:val="auto"/>
        </w:rPr>
        <w:t xml:space="preserve">736 168 543, </w:t>
      </w:r>
      <w:r>
        <w:rPr>
          <w:lang w:val="en-GB"/>
        </w:rPr>
        <w:t>e</w:t>
      </w:r>
      <w:r>
        <w:rPr>
          <w:lang w:val="en-GB"/>
        </w:rPr>
        <w:noBreakHyphen/>
        <w:t xml:space="preserve">mail </w:t>
      </w:r>
      <w:hyperlink r:id="rId7">
        <w:r>
          <w:rPr>
            <w:rStyle w:val="Hypertextovodkaz"/>
            <w:lang w:val="en-GB"/>
          </w:rPr>
          <w:t>radek.matejka@czso.cz</w:t>
        </w:r>
      </w:hyperlink>
    </w:p>
    <w:p w:rsidR="00BA543A" w:rsidRDefault="00A803C1">
      <w:pPr>
        <w:pStyle w:val="Poznamkytexty"/>
        <w:ind w:left="2127" w:hanging="2127"/>
        <w:jc w:val="left"/>
        <w:rPr>
          <w:lang w:val="en-GB"/>
        </w:rPr>
      </w:pPr>
      <w:r>
        <w:rPr>
          <w:lang w:val="en-GB"/>
        </w:rPr>
        <w:t>Contact person:</w:t>
      </w:r>
      <w:r>
        <w:rPr>
          <w:lang w:val="en-GB"/>
        </w:rPr>
        <w:tab/>
        <w:t xml:space="preserve">Renata Vodičková, Head of Agricultural and Forestry Statistics Unit, phone (+420) </w:t>
      </w:r>
      <w:r>
        <w:rPr>
          <w:color w:val="auto"/>
        </w:rPr>
        <w:t>703 824 173,</w:t>
      </w:r>
      <w:r>
        <w:rPr>
          <w:lang w:val="en-GB"/>
        </w:rPr>
        <w:t xml:space="preserve"> e-mail </w:t>
      </w:r>
      <w:hyperlink r:id="rId8">
        <w:r>
          <w:rPr>
            <w:rStyle w:val="Hypertextovodkaz"/>
            <w:lang w:val="en-GB"/>
          </w:rPr>
          <w:t>renata.vodickova@czso.cz</w:t>
        </w:r>
      </w:hyperlink>
    </w:p>
    <w:p w:rsidR="00BA543A" w:rsidRDefault="00A803C1">
      <w:pPr>
        <w:pStyle w:val="Poznamkytexty"/>
        <w:ind w:left="2127" w:hanging="2127"/>
        <w:jc w:val="left"/>
        <w:rPr>
          <w:i w:val="0"/>
        </w:rPr>
      </w:pPr>
      <w:r>
        <w:rPr>
          <w:lang w:val="en-GB"/>
        </w:rPr>
        <w:t>Data source:</w:t>
      </w:r>
      <w:r>
        <w:rPr>
          <w:lang w:val="en-GB"/>
        </w:rPr>
        <w:tab/>
        <w:t>Statistical</w:t>
      </w:r>
      <w:r>
        <w:rPr>
          <w:color w:val="auto"/>
          <w:lang w:val="en-GB"/>
        </w:rPr>
        <w:t xml:space="preserve"> survey of the CZSO on livestock slaughtering (Zem 1-12), on cattle production (Zem 1-02), and on pig production (Zem 2-02)</w:t>
      </w:r>
    </w:p>
    <w:p w:rsidR="00BA543A" w:rsidRDefault="00A803C1">
      <w:pPr>
        <w:pStyle w:val="Poznamkytexty"/>
        <w:ind w:left="2127"/>
        <w:jc w:val="left"/>
        <w:rPr>
          <w:lang w:val="en-GB"/>
        </w:rPr>
      </w:pPr>
      <w:r>
        <w:rPr>
          <w:color w:val="auto"/>
          <w:lang w:val="en-GB"/>
        </w:rPr>
        <w:t xml:space="preserve">Public Database of the CZSO: Prices of Agriculture (table </w:t>
      </w:r>
      <w:r>
        <w:rPr>
          <w:lang w:val="en-GB"/>
        </w:rPr>
        <w:t>Agricultural Producer Price Indices and table Average Agricultural Price</w:t>
      </w:r>
      <w:r>
        <w:rPr>
          <w:color w:val="auto"/>
          <w:lang w:val="en-GB"/>
        </w:rPr>
        <w:t>)</w:t>
      </w:r>
    </w:p>
    <w:p w:rsidR="00BA543A" w:rsidRDefault="00A803C1">
      <w:pPr>
        <w:pStyle w:val="Poznamkytexty"/>
        <w:ind w:left="2127"/>
        <w:jc w:val="left"/>
        <w:rPr>
          <w:color w:val="auto"/>
          <w:lang w:val="en-GB"/>
        </w:rPr>
      </w:pPr>
      <w:r>
        <w:rPr>
          <w:color w:val="auto"/>
          <w:lang w:val="en-GB"/>
        </w:rPr>
        <w:t>Database of the CZSO - Cross Border Movements of Goods</w:t>
      </w:r>
    </w:p>
    <w:p w:rsidR="00BA543A" w:rsidRDefault="00A803C1">
      <w:pPr>
        <w:pStyle w:val="Poznamkytexty"/>
        <w:ind w:left="2127"/>
        <w:jc w:val="left"/>
        <w:rPr>
          <w:color w:val="auto"/>
          <w:lang w:val="en-GB"/>
        </w:rPr>
      </w:pPr>
      <w:r>
        <w:rPr>
          <w:color w:val="auto"/>
          <w:lang w:val="en-GB"/>
        </w:rPr>
        <w:t>Outcomes of statistical surveys of the Ministry of Agriculture of the Czech Republic on milk collection (Mlék(MZe) 6-12, Odbyt(MZe) 6-12) and on poultry purchase (Drůb(MZe) 4-12)</w:t>
      </w:r>
    </w:p>
    <w:p w:rsidR="00BA543A" w:rsidRDefault="00A803C1">
      <w:pPr>
        <w:pStyle w:val="Poznamkytexty"/>
        <w:ind w:left="2127" w:hanging="2127"/>
        <w:jc w:val="left"/>
        <w:rPr>
          <w:lang w:val="en-GB"/>
        </w:rPr>
      </w:pPr>
      <w:r>
        <w:rPr>
          <w:lang w:val="en-GB"/>
        </w:rPr>
        <w:lastRenderedPageBreak/>
        <w:t>End of data collection:</w:t>
      </w:r>
      <w:r>
        <w:rPr>
          <w:lang w:val="en-GB"/>
        </w:rPr>
        <w:tab/>
        <w:t>9 October 2020</w:t>
      </w:r>
    </w:p>
    <w:p w:rsidR="00BA543A" w:rsidRDefault="00A803C1">
      <w:pPr>
        <w:pStyle w:val="Poznamkytexty"/>
        <w:ind w:left="2127" w:hanging="2127"/>
        <w:jc w:val="left"/>
        <w:rPr>
          <w:lang w:val="en-GB"/>
        </w:rPr>
      </w:pPr>
      <w:r>
        <w:rPr>
          <w:lang w:val="en-GB"/>
        </w:rPr>
        <w:t>End of data processing:</w:t>
      </w:r>
      <w:r>
        <w:rPr>
          <w:lang w:val="en-GB"/>
        </w:rPr>
        <w:tab/>
        <w:t>27 October 2020</w:t>
      </w:r>
    </w:p>
    <w:p w:rsidR="00BA543A" w:rsidRDefault="00A803C1">
      <w:pPr>
        <w:pStyle w:val="Poznamkytexty"/>
        <w:ind w:left="2127" w:hanging="2127"/>
        <w:jc w:val="left"/>
        <w:rPr>
          <w:lang w:val="en-GB"/>
        </w:rPr>
      </w:pPr>
      <w:r>
        <w:rPr>
          <w:lang w:val="en-GB"/>
        </w:rPr>
        <w:t>Related outcomes:</w:t>
      </w:r>
      <w:r>
        <w:rPr>
          <w:lang w:val="en-GB"/>
        </w:rPr>
        <w:tab/>
        <w:t xml:space="preserve">Livestock Slaughtering: </w:t>
      </w:r>
      <w:hyperlink r:id="rId9">
        <w:r>
          <w:rPr>
            <w:rStyle w:val="Hypertextovodkaz"/>
            <w:lang w:val="en-GB"/>
          </w:rPr>
          <w:t>https://www.czso.cz/csu/czso/livestock-slaughtering-august-2020</w:t>
        </w:r>
      </w:hyperlink>
      <w:r>
        <w:rPr>
          <w:lang w:val="en-GB"/>
        </w:rPr>
        <w:t>; publication date of the detailed September figures: 4 November 2020</w:t>
      </w:r>
    </w:p>
    <w:p w:rsidR="00BA543A" w:rsidRDefault="00A803C1">
      <w:pPr>
        <w:pStyle w:val="Poznamkytexty"/>
        <w:ind w:left="2127" w:hanging="2127"/>
        <w:jc w:val="left"/>
        <w:rPr>
          <w:lang w:val="en-GB"/>
        </w:rPr>
      </w:pPr>
      <w:r>
        <w:rPr>
          <w:lang w:val="en-GB"/>
        </w:rPr>
        <w:tab/>
        <w:t xml:space="preserve">Cattle production: </w:t>
      </w:r>
      <w:hyperlink r:id="rId10">
        <w:r>
          <w:rPr>
            <w:rStyle w:val="Hypertextovodkaz"/>
            <w:lang w:val="en-GB"/>
          </w:rPr>
          <w:t>https://www.czso.cz/csu/czso/cattle-production-1st-half-of-2020</w:t>
        </w:r>
      </w:hyperlink>
      <w:r>
        <w:rPr>
          <w:lang w:val="en-GB"/>
        </w:rPr>
        <w:t xml:space="preserve"> </w:t>
      </w:r>
    </w:p>
    <w:p w:rsidR="00BA543A" w:rsidRDefault="00A803C1">
      <w:pPr>
        <w:pStyle w:val="Poznamkytexty"/>
        <w:ind w:left="2127" w:hanging="2127"/>
        <w:jc w:val="left"/>
        <w:rPr>
          <w:lang w:val="en-GB"/>
        </w:rPr>
      </w:pPr>
      <w:r>
        <w:rPr>
          <w:lang w:val="en-GB"/>
        </w:rPr>
        <w:tab/>
        <w:t xml:space="preserve">Pig production: </w:t>
      </w:r>
      <w:hyperlink r:id="rId11">
        <w:r>
          <w:rPr>
            <w:rStyle w:val="Hypertextovodkaz"/>
            <w:lang w:val="en-GB"/>
          </w:rPr>
          <w:t>https://www.czso.cz/csu/czso/pig-production-1st-half-of-2020</w:t>
        </w:r>
      </w:hyperlink>
      <w:r>
        <w:rPr>
          <w:lang w:val="en-GB"/>
        </w:rPr>
        <w:t xml:space="preserve"> </w:t>
      </w:r>
    </w:p>
    <w:p w:rsidR="00BA543A" w:rsidRDefault="00BA543A">
      <w:pPr>
        <w:pStyle w:val="Poznamkytexty"/>
        <w:jc w:val="left"/>
        <w:rPr>
          <w:i w:val="0"/>
          <w:lang w:val="en-GB"/>
        </w:rPr>
      </w:pPr>
    </w:p>
    <w:p w:rsidR="00BA543A" w:rsidRDefault="00A803C1">
      <w:pPr>
        <w:spacing w:line="240" w:lineRule="exact"/>
        <w:jc w:val="left"/>
        <w:rPr>
          <w:i/>
          <w:sz w:val="18"/>
          <w:szCs w:val="18"/>
        </w:rPr>
      </w:pPr>
      <w:r>
        <w:rPr>
          <w:i/>
          <w:sz w:val="18"/>
          <w:szCs w:val="18"/>
        </w:rPr>
        <w:t>Date of the next News Release publication: 1 February 2021</w:t>
      </w:r>
    </w:p>
    <w:p w:rsidR="00BA543A" w:rsidRDefault="00BA543A">
      <w:pPr>
        <w:spacing w:line="240" w:lineRule="exact"/>
        <w:rPr>
          <w:i/>
          <w:sz w:val="18"/>
          <w:szCs w:val="18"/>
        </w:rPr>
      </w:pPr>
    </w:p>
    <w:p w:rsidR="00BA543A" w:rsidRDefault="00A803C1">
      <w:pPr>
        <w:spacing w:line="240" w:lineRule="exact"/>
        <w:ind w:left="3600" w:hanging="3600"/>
        <w:jc w:val="left"/>
        <w:rPr>
          <w:rFonts w:cs="ArialMT"/>
          <w:i/>
          <w:iCs/>
          <w:color w:val="000000"/>
          <w:sz w:val="18"/>
          <w:szCs w:val="18"/>
        </w:rPr>
      </w:pPr>
      <w:r>
        <w:rPr>
          <w:rFonts w:cs="ArialMT"/>
          <w:i/>
          <w:iCs/>
          <w:color w:val="000000"/>
          <w:sz w:val="18"/>
          <w:szCs w:val="18"/>
        </w:rPr>
        <w:t>Text was not edited for language.</w:t>
      </w:r>
    </w:p>
    <w:p w:rsidR="00BA543A" w:rsidRDefault="00BA543A">
      <w:pPr>
        <w:spacing w:line="240" w:lineRule="exact"/>
        <w:rPr>
          <w:i/>
          <w:sz w:val="18"/>
          <w:szCs w:val="18"/>
        </w:rPr>
      </w:pPr>
    </w:p>
    <w:p w:rsidR="00BA543A" w:rsidRDefault="00A803C1">
      <w:pPr>
        <w:rPr>
          <w:b/>
        </w:rPr>
      </w:pPr>
      <w:r>
        <w:rPr>
          <w:b/>
        </w:rPr>
        <w:t>Annexes:</w:t>
      </w:r>
    </w:p>
    <w:p w:rsidR="00BA543A" w:rsidRDefault="00A803C1">
      <w:r>
        <w:t>Table 1 Meat production and milk collection</w:t>
      </w:r>
    </w:p>
    <w:p w:rsidR="00BA543A" w:rsidRDefault="00A803C1">
      <w:r>
        <w:t>Chart 1 Beef – production and average agricultural producer price</w:t>
      </w:r>
    </w:p>
    <w:p w:rsidR="00BA543A" w:rsidRDefault="00A803C1">
      <w:r>
        <w:t>Chart 2 Pigmeat – production and average agricultural producer price</w:t>
      </w:r>
    </w:p>
    <w:p w:rsidR="00BA543A" w:rsidRDefault="00A803C1">
      <w:r>
        <w:t>Chart 3 Poultrymeat – production and average agricultural producer price</w:t>
      </w:r>
    </w:p>
    <w:p w:rsidR="00BA543A" w:rsidRDefault="00A803C1">
      <w:r>
        <w:t>Chart 4 Milk – collection and average agricultural producer price</w:t>
      </w:r>
    </w:p>
    <w:sectPr w:rsidR="00BA543A">
      <w:headerReference w:type="default" r:id="rId12"/>
      <w:footerReference w:type="default" r:id="rId13"/>
      <w:pgSz w:w="11906" w:h="16838"/>
      <w:pgMar w:top="2948" w:right="1418" w:bottom="1985" w:left="1985" w:header="720" w:footer="168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DF8" w:rsidRDefault="00416DF8">
      <w:pPr>
        <w:spacing w:line="240" w:lineRule="auto"/>
      </w:pPr>
      <w:r>
        <w:separator/>
      </w:r>
    </w:p>
  </w:endnote>
  <w:endnote w:type="continuationSeparator" w:id="0">
    <w:p w:rsidR="00416DF8" w:rsidRDefault="00416D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Times New Roman"/>
    <w:charset w:val="EE"/>
    <w:family w:val="roman"/>
    <w:pitch w:val="variable"/>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NewRomanPSMT">
    <w:charset w:val="EE"/>
    <w:family w:val="auto"/>
    <w:pitch w:val="default"/>
  </w:font>
  <w:font w:name="ArialMT">
    <w:altName w:val="Arial"/>
    <w:panose1 w:val="00000000000000000000"/>
    <w:charset w:val="B2"/>
    <w:family w:val="swiss"/>
    <w:notTrueType/>
    <w:pitch w:val="default"/>
    <w:sig w:usb0="00002001" w:usb1="00000000" w:usb2="00000000" w:usb3="00000000" w:csb0="0000004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43A" w:rsidRDefault="00A803C1">
    <w:pPr>
      <w:pStyle w:val="Zpat"/>
    </w:pPr>
    <w:r>
      <w:rPr>
        <w:noProof/>
        <w:lang w:val="cs-CZ" w:eastAsia="cs-CZ"/>
      </w:rPr>
      <mc:AlternateContent>
        <mc:Choice Requires="wps">
          <w:drawing>
            <wp:anchor distT="0" distB="0" distL="0" distR="0" simplePos="0" relativeHeight="5" behindDoc="1" locked="0" layoutInCell="1" allowOverlap="1">
              <wp:simplePos x="0" y="0"/>
              <wp:positionH relativeFrom="page">
                <wp:posOffset>1242060</wp:posOffset>
              </wp:positionH>
              <wp:positionV relativeFrom="page">
                <wp:posOffset>9613265</wp:posOffset>
              </wp:positionV>
              <wp:extent cx="5438140" cy="1270"/>
              <wp:effectExtent l="13335" t="12065" r="17780" b="16510"/>
              <wp:wrapNone/>
              <wp:docPr id="11" name="Přímá spojnice 11"/>
              <wp:cNvGraphicFramePr/>
              <a:graphic xmlns:a="http://schemas.openxmlformats.org/drawingml/2006/main">
                <a:graphicData uri="http://schemas.microsoft.com/office/word/2010/wordprocessingShape">
                  <wps:wsp>
                    <wps:cNvCnPr/>
                    <wps:spPr>
                      <a:xfrm>
                        <a:off x="0" y="0"/>
                        <a:ext cx="5437440" cy="0"/>
                      </a:xfrm>
                      <a:prstGeom prst="line">
                        <a:avLst/>
                      </a:prstGeom>
                      <a:ln w="19080">
                        <a:solidFill>
                          <a:srgbClr val="0071BC"/>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97.8pt,756.95pt" to="525.9pt,756.95pt" ID="Přímá spojnice 2" stroked="t" style="position:absolute;mso-position-horizontal-relative:page;mso-position-vertical-relative:page">
              <v:stroke color="#0071bc" weight="19080" joinstyle="round" endcap="flat"/>
              <v:fill o:detectmouseclick="t" on="false"/>
            </v:line>
          </w:pict>
        </mc:Fallback>
      </mc:AlternateContent>
    </w:r>
    <w:r>
      <w:rPr>
        <w:noProof/>
        <w:lang w:val="cs-CZ" w:eastAsia="cs-CZ"/>
      </w:rPr>
      <mc:AlternateContent>
        <mc:Choice Requires="wps">
          <w:drawing>
            <wp:anchor distT="0" distB="0" distL="0" distR="0" simplePos="0" relativeHeight="9" behindDoc="1" locked="0" layoutInCell="1" allowOverlap="1">
              <wp:simplePos x="0" y="0"/>
              <wp:positionH relativeFrom="page">
                <wp:posOffset>1261110</wp:posOffset>
              </wp:positionH>
              <wp:positionV relativeFrom="page">
                <wp:posOffset>9692640</wp:posOffset>
              </wp:positionV>
              <wp:extent cx="5414645" cy="584835"/>
              <wp:effectExtent l="0" t="0" r="0" b="0"/>
              <wp:wrapNone/>
              <wp:docPr id="12" name="Textové pole 2"/>
              <wp:cNvGraphicFramePr/>
              <a:graphic xmlns:a="http://schemas.openxmlformats.org/drawingml/2006/main">
                <a:graphicData uri="http://schemas.microsoft.com/office/word/2010/wordprocessingShape">
                  <wps:wsp>
                    <wps:cNvSpPr/>
                    <wps:spPr>
                      <a:xfrm>
                        <a:off x="0" y="0"/>
                        <a:ext cx="5414040" cy="584280"/>
                      </a:xfrm>
                      <a:prstGeom prst="rect">
                        <a:avLst/>
                      </a:prstGeom>
                      <a:noFill/>
                      <a:ln w="9360">
                        <a:noFill/>
                      </a:ln>
                    </wps:spPr>
                    <wps:style>
                      <a:lnRef idx="0">
                        <a:scrgbClr r="0" g="0" b="0"/>
                      </a:lnRef>
                      <a:fillRef idx="0">
                        <a:scrgbClr r="0" g="0" b="0"/>
                      </a:fillRef>
                      <a:effectRef idx="0">
                        <a:scrgbClr r="0" g="0" b="0"/>
                      </a:effectRef>
                      <a:fontRef idx="minor"/>
                    </wps:style>
                    <wps:txbx>
                      <w:txbxContent>
                        <w:p w:rsidR="00BA543A" w:rsidRDefault="00A803C1">
                          <w:pPr>
                            <w:pStyle w:val="FrameContents"/>
                            <w:spacing w:line="220" w:lineRule="atLeast"/>
                            <w:rPr>
                              <w:rFonts w:cs="Arial"/>
                              <w:b/>
                              <w:bCs/>
                              <w:sz w:val="15"/>
                              <w:szCs w:val="15"/>
                            </w:rPr>
                          </w:pPr>
                          <w:r>
                            <w:rPr>
                              <w:rFonts w:cs="Arial"/>
                              <w:b/>
                              <w:bCs/>
                              <w:sz w:val="15"/>
                              <w:szCs w:val="15"/>
                            </w:rPr>
                            <w:t>Information Services Unit – Headquarters</w:t>
                          </w:r>
                        </w:p>
                        <w:p w:rsidR="00BA543A" w:rsidRDefault="00A803C1">
                          <w:pPr>
                            <w:pStyle w:val="FrameContents"/>
                            <w:spacing w:line="220" w:lineRule="atLeast"/>
                            <w:rPr>
                              <w:rFonts w:cs="Arial"/>
                              <w:sz w:val="15"/>
                              <w:szCs w:val="15"/>
                            </w:rPr>
                          </w:pPr>
                          <w:r>
                            <w:rPr>
                              <w:rFonts w:cs="Arial"/>
                              <w:sz w:val="15"/>
                              <w:szCs w:val="15"/>
                            </w:rPr>
                            <w:t xml:space="preserve">Are you interested in the latest data connected with inflation, GDP, population, wages in industry and much more? </w:t>
                          </w:r>
                        </w:p>
                        <w:p w:rsidR="00BA543A" w:rsidRDefault="00A803C1">
                          <w:pPr>
                            <w:pStyle w:val="FrameContents"/>
                            <w:spacing w:line="220" w:lineRule="atLeast"/>
                            <w:rPr>
                              <w:rFonts w:cs="Arial"/>
                              <w:sz w:val="15"/>
                              <w:szCs w:val="15"/>
                            </w:rPr>
                          </w:pPr>
                          <w:r>
                            <w:rPr>
                              <w:rFonts w:cs="Arial"/>
                              <w:sz w:val="15"/>
                              <w:szCs w:val="15"/>
                            </w:rPr>
                            <w:t xml:space="preserve">You can find them on pages of the Czech Statistical Office on the Internet: </w:t>
                          </w:r>
                          <w:r>
                            <w:rPr>
                              <w:rFonts w:cs="Arial"/>
                              <w:b/>
                              <w:color w:val="BD1B21"/>
                              <w:sz w:val="15"/>
                              <w:szCs w:val="15"/>
                            </w:rPr>
                            <w:t>www.czso.cz</w:t>
                          </w:r>
                          <w:r>
                            <w:rPr>
                              <w:rFonts w:cs="Arial"/>
                              <w:color w:val="BD1B21"/>
                              <w:sz w:val="15"/>
                              <w:szCs w:val="15"/>
                            </w:rPr>
                            <w:t xml:space="preserve"> </w:t>
                          </w:r>
                        </w:p>
                        <w:p w:rsidR="00BA543A" w:rsidRDefault="00A803C1">
                          <w:pPr>
                            <w:pStyle w:val="FrameContents"/>
                            <w:tabs>
                              <w:tab w:val="center" w:pos="4703"/>
                              <w:tab w:val="right" w:pos="8505"/>
                              <w:tab w:val="right" w:pos="9406"/>
                            </w:tabs>
                            <w:spacing w:line="220" w:lineRule="atLeast"/>
                            <w:rPr>
                              <w:rFonts w:cs="Arial"/>
                              <w:lang w:val="de-DE"/>
                            </w:rPr>
                          </w:pPr>
                          <w:r>
                            <w:rPr>
                              <w:rFonts w:cs="Arial"/>
                              <w:sz w:val="15"/>
                              <w:szCs w:val="15"/>
                              <w:lang w:val="de-DE"/>
                            </w:rPr>
                            <w:t xml:space="preserve">tel: +420 274 052 304, +420 274 052 425, e-mail: </w:t>
                          </w:r>
                          <w:hyperlink r:id="rId1">
                            <w:r>
                              <w:rPr>
                                <w:rStyle w:val="Hypertextovodkaz"/>
                                <w:rFonts w:cs="Arial"/>
                                <w:color w:val="0071BC"/>
                                <w:sz w:val="15"/>
                                <w:szCs w:val="15"/>
                                <w:lang w:val="de-DE"/>
                              </w:rPr>
                              <w:t>infoservis@czso.cz</w:t>
                            </w:r>
                          </w:hyperlink>
                          <w:r>
                            <w:rPr>
                              <w:rFonts w:cs="Arial"/>
                              <w:sz w:val="15"/>
                              <w:szCs w:val="15"/>
                              <w:lang w:val="de-DE"/>
                            </w:rPr>
                            <w:tab/>
                          </w:r>
                          <w:r>
                            <w:rPr>
                              <w:rFonts w:cs="Arial"/>
                              <w:szCs w:val="15"/>
                            </w:rPr>
                            <w:fldChar w:fldCharType="begin"/>
                          </w:r>
                          <w:r>
                            <w:rPr>
                              <w:rFonts w:cs="Arial"/>
                              <w:szCs w:val="15"/>
                            </w:rPr>
                            <w:instrText>PAGE</w:instrText>
                          </w:r>
                          <w:r>
                            <w:rPr>
                              <w:rFonts w:cs="Arial"/>
                              <w:szCs w:val="15"/>
                            </w:rPr>
                            <w:fldChar w:fldCharType="separate"/>
                          </w:r>
                          <w:r w:rsidR="00A86604">
                            <w:rPr>
                              <w:rFonts w:cs="Arial"/>
                              <w:noProof/>
                              <w:szCs w:val="15"/>
                            </w:rPr>
                            <w:t>1</w:t>
                          </w:r>
                          <w:r>
                            <w:rPr>
                              <w:rFonts w:cs="Arial"/>
                              <w:szCs w:val="15"/>
                            </w:rPr>
                            <w:fldChar w:fldCharType="end"/>
                          </w:r>
                        </w:p>
                      </w:txbxContent>
                    </wps:txbx>
                    <wps:bodyPr lIns="0" tIns="0" rIns="0" bIns="0">
                      <a:noAutofit/>
                    </wps:bodyPr>
                  </wps:wsp>
                </a:graphicData>
              </a:graphic>
            </wp:anchor>
          </w:drawing>
        </mc:Choice>
        <mc:Fallback>
          <w:pict>
            <v:rect id="Textové pole 2" o:spid="_x0000_s1026" style="position:absolute;left:0;text-align:left;margin-left:99.3pt;margin-top:763.2pt;width:426.35pt;height:46.05pt;z-index:-50331647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" filled="f" stroked="f" strokeweight=".26mm">
              <v:textbox inset="0,0,0,0">
                <w:txbxContent>
                  <w:p w:rsidR="00BA543A" w:rsidRDefault="00A803C1">
                    <w:pPr>
                      <w:pStyle w:val="FrameContents"/>
                      <w:spacing w:line="220" w:lineRule="atLeast"/>
                      <w:rPr>
                        <w:rFonts w:cs="Arial"/>
                        <w:b/>
                        <w:bCs/>
                        <w:sz w:val="15"/>
                        <w:szCs w:val="15"/>
                      </w:rPr>
                    </w:pPr>
                    <w:r>
                      <w:rPr>
                        <w:rFonts w:cs="Arial"/>
                        <w:b/>
                        <w:bCs/>
                        <w:sz w:val="15"/>
                        <w:szCs w:val="15"/>
                      </w:rPr>
                      <w:t>Information Services Unit – Headquarters</w:t>
                    </w:r>
                  </w:p>
                  <w:p w:rsidR="00BA543A" w:rsidRDefault="00A803C1">
                    <w:pPr>
                      <w:pStyle w:val="FrameContents"/>
                      <w:spacing w:line="220" w:lineRule="atLeast"/>
                      <w:rPr>
                        <w:rFonts w:cs="Arial"/>
                        <w:sz w:val="15"/>
                        <w:szCs w:val="15"/>
                      </w:rPr>
                    </w:pPr>
                    <w:r>
                      <w:rPr>
                        <w:rFonts w:cs="Arial"/>
                        <w:sz w:val="15"/>
                        <w:szCs w:val="15"/>
                      </w:rPr>
                      <w:t xml:space="preserve">Are you interested in the latest data connected with inflation, GDP, population, wages in industry and much more? </w:t>
                    </w:r>
                  </w:p>
                  <w:p w:rsidR="00BA543A" w:rsidRDefault="00A803C1">
                    <w:pPr>
                      <w:pStyle w:val="FrameContents"/>
                      <w:spacing w:line="220" w:lineRule="atLeast"/>
                      <w:rPr>
                        <w:rFonts w:cs="Arial"/>
                        <w:sz w:val="15"/>
                        <w:szCs w:val="15"/>
                      </w:rPr>
                    </w:pPr>
                    <w:r>
                      <w:rPr>
                        <w:rFonts w:cs="Arial"/>
                        <w:sz w:val="15"/>
                        <w:szCs w:val="15"/>
                      </w:rPr>
                      <w:t xml:space="preserve">You can find them on pages of the Czech Statistical Office on the Internet: </w:t>
                    </w:r>
                    <w:r>
                      <w:rPr>
                        <w:rFonts w:cs="Arial"/>
                        <w:b/>
                        <w:color w:val="BD1B21"/>
                        <w:sz w:val="15"/>
                        <w:szCs w:val="15"/>
                      </w:rPr>
                      <w:t>www.czso.cz</w:t>
                    </w:r>
                    <w:r>
                      <w:rPr>
                        <w:rFonts w:cs="Arial"/>
                        <w:color w:val="BD1B21"/>
                        <w:sz w:val="15"/>
                        <w:szCs w:val="15"/>
                      </w:rPr>
                      <w:t xml:space="preserve"> </w:t>
                    </w:r>
                  </w:p>
                  <w:p w:rsidR="00BA543A" w:rsidRDefault="00A803C1">
                    <w:pPr>
                      <w:pStyle w:val="FrameContents"/>
                      <w:tabs>
                        <w:tab w:val="center" w:pos="4703"/>
                        <w:tab w:val="right" w:pos="8505"/>
                        <w:tab w:val="right" w:pos="9406"/>
                      </w:tabs>
                      <w:spacing w:line="220" w:lineRule="atLeast"/>
                      <w:rPr>
                        <w:rFonts w:cs="Arial"/>
                        <w:lang w:val="de-DE"/>
                      </w:rPr>
                    </w:pPr>
                    <w:r>
                      <w:rPr>
                        <w:rFonts w:cs="Arial"/>
                        <w:sz w:val="15"/>
                        <w:szCs w:val="15"/>
                        <w:lang w:val="de-DE"/>
                      </w:rPr>
                      <w:t xml:space="preserve">tel: +420 274 052 304, +420 274 052 425, e-mail: </w:t>
                    </w:r>
                    <w:hyperlink r:id="rId2">
                      <w:r>
                        <w:rPr>
                          <w:rStyle w:val="Hypertextovodkaz"/>
                          <w:rFonts w:cs="Arial"/>
                          <w:color w:val="0071BC"/>
                          <w:sz w:val="15"/>
                          <w:szCs w:val="15"/>
                          <w:lang w:val="de-DE"/>
                        </w:rPr>
                        <w:t>infoservis@czso.cz</w:t>
                      </w:r>
                    </w:hyperlink>
                    <w:r>
                      <w:rPr>
                        <w:rFonts w:cs="Arial"/>
                        <w:sz w:val="15"/>
                        <w:szCs w:val="15"/>
                        <w:lang w:val="de-DE"/>
                      </w:rPr>
                      <w:tab/>
                    </w:r>
                    <w:r>
                      <w:rPr>
                        <w:rFonts w:cs="Arial"/>
                        <w:szCs w:val="15"/>
                      </w:rPr>
                      <w:fldChar w:fldCharType="begin"/>
                    </w:r>
                    <w:r>
                      <w:rPr>
                        <w:rFonts w:cs="Arial"/>
                        <w:szCs w:val="15"/>
                      </w:rPr>
                      <w:instrText>PAGE</w:instrText>
                    </w:r>
                    <w:r>
                      <w:rPr>
                        <w:rFonts w:cs="Arial"/>
                        <w:szCs w:val="15"/>
                      </w:rPr>
                      <w:fldChar w:fldCharType="separate"/>
                    </w:r>
                    <w:r w:rsidR="00A86604">
                      <w:rPr>
                        <w:rFonts w:cs="Arial"/>
                        <w:noProof/>
                        <w:szCs w:val="15"/>
                      </w:rPr>
                      <w:t>1</w:t>
                    </w:r>
                    <w:r>
                      <w:rPr>
                        <w:rFonts w:cs="Arial"/>
                        <w:szCs w:val="15"/>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DF8" w:rsidRDefault="00416DF8">
      <w:pPr>
        <w:rPr>
          <w:sz w:val="12"/>
        </w:rPr>
      </w:pPr>
      <w:r>
        <w:separator/>
      </w:r>
    </w:p>
  </w:footnote>
  <w:footnote w:type="continuationSeparator" w:id="0">
    <w:p w:rsidR="00416DF8" w:rsidRDefault="00416DF8">
      <w:pPr>
        <w:rPr>
          <w:sz w:val="12"/>
        </w:rPr>
      </w:pPr>
      <w:r>
        <w:continuationSeparator/>
      </w:r>
    </w:p>
  </w:footnote>
  <w:footnote w:id="1">
    <w:p w:rsidR="00BA543A" w:rsidRDefault="00A803C1">
      <w:pPr>
        <w:pStyle w:val="Textpoznpodarou"/>
        <w:spacing w:line="240" w:lineRule="auto"/>
        <w:rPr>
          <w:sz w:val="18"/>
          <w:szCs w:val="18"/>
        </w:rPr>
      </w:pPr>
      <w:r>
        <w:rPr>
          <w:rStyle w:val="FootnoteCharacters"/>
        </w:rPr>
        <w:footnoteRef/>
      </w:r>
      <w:r>
        <w:rPr>
          <w:i/>
          <w:vertAlign w:val="superscript"/>
        </w:rPr>
        <w:t>)</w:t>
      </w:r>
      <w:r>
        <w:t xml:space="preserve"> </w:t>
      </w:r>
      <w:r>
        <w:rPr>
          <w:i/>
          <w:sz w:val="18"/>
          <w:szCs w:val="18"/>
        </w:rPr>
        <w:t>Intrastat does not include individual trading operations carried out by persons who are not registered for VAT as well as reporting units below the applicable thresholds of CZK 12 million a year for both flows are not under reporting duty for Intrastat.</w:t>
      </w:r>
    </w:p>
    <w:p w:rsidR="00BA543A" w:rsidRDefault="00BA543A">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43A" w:rsidRDefault="00A803C1">
    <w:pPr>
      <w:pStyle w:val="Zhlav"/>
    </w:pPr>
    <w:r>
      <w:rPr>
        <w:noProof/>
        <w:lang w:val="cs-CZ" w:eastAsia="cs-CZ"/>
      </w:rPr>
      <mc:AlternateContent>
        <mc:Choice Requires="wpg">
          <w:drawing>
            <wp:anchor distT="0" distB="0" distL="0" distR="0" simplePos="0" relativeHeight="13" behindDoc="1" locked="0" layoutInCell="1" allowOverlap="1">
              <wp:simplePos x="0" y="0"/>
              <wp:positionH relativeFrom="column">
                <wp:posOffset>-880745</wp:posOffset>
              </wp:positionH>
              <wp:positionV relativeFrom="paragraph">
                <wp:posOffset>100965</wp:posOffset>
              </wp:positionV>
              <wp:extent cx="6313170" cy="1018540"/>
              <wp:effectExtent l="3175" t="5715" r="635" b="0"/>
              <wp:wrapNone/>
              <wp:docPr id="1" name="Group 3"/>
              <wp:cNvGraphicFramePr/>
              <a:graphic xmlns:a="http://schemas.openxmlformats.org/drawingml/2006/main">
                <a:graphicData uri="http://schemas.microsoft.com/office/word/2010/wordprocessingGroup">
                  <wpg:wgp>
                    <wpg:cNvGrpSpPr/>
                    <wpg:grpSpPr>
                      <a:xfrm>
                        <a:off x="0" y="0"/>
                        <a:ext cx="6312600" cy="1018080"/>
                        <a:chOff x="0" y="0"/>
                        <a:chExt cx="0" cy="0"/>
                      </a:xfrm>
                    </wpg:grpSpPr>
                    <wps:wsp>
                      <wps:cNvPr id="2" name="Obdélník 2"/>
                      <wps:cNvSpPr/>
                      <wps:spPr>
                        <a:xfrm>
                          <a:off x="864360" y="657360"/>
                          <a:ext cx="5448240" cy="360720"/>
                        </a:xfrm>
                        <a:prstGeom prst="rect">
                          <a:avLst/>
                        </a:prstGeom>
                        <a:solidFill>
                          <a:srgbClr val="0071BC"/>
                        </a:solidFill>
                        <a:ln>
                          <a:noFill/>
                        </a:ln>
                      </wps:spPr>
                      <wps:style>
                        <a:lnRef idx="0">
                          <a:scrgbClr r="0" g="0" b="0"/>
                        </a:lnRef>
                        <a:fillRef idx="0">
                          <a:scrgbClr r="0" g="0" b="0"/>
                        </a:fillRef>
                        <a:effectRef idx="0">
                          <a:scrgbClr r="0" g="0" b="0"/>
                        </a:effectRef>
                        <a:fontRef idx="minor"/>
                      </wps:style>
                      <wps:bodyPr/>
                    </wps:wsp>
                    <wps:wsp>
                      <wps:cNvPr id="3" name="Volný tvar 3"/>
                      <wps:cNvSpPr/>
                      <wps:spPr>
                        <a:xfrm>
                          <a:off x="1004400" y="781200"/>
                          <a:ext cx="1233000" cy="123840"/>
                        </a:xfrm>
                        <a:custGeom>
                          <a:avLst/>
                          <a:gdLst/>
                          <a:ahLst/>
                          <a:cxnLst/>
                          <a:rect l="l" t="t"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wps:spPr>
                      <wps:style>
                        <a:lnRef idx="0">
                          <a:scrgbClr r="0" g="0" b="0"/>
                        </a:lnRef>
                        <a:fillRef idx="0">
                          <a:scrgbClr r="0" g="0" b="0"/>
                        </a:fillRef>
                        <a:effectRef idx="0">
                          <a:scrgbClr r="0" g="0" b="0"/>
                        </a:effectRef>
                        <a:fontRef idx="minor"/>
                      </wps:style>
                      <wps:bodyPr/>
                    </wps:wsp>
                    <wps:wsp>
                      <wps:cNvPr id="4" name="Obdélník 4"/>
                      <wps:cNvSpPr/>
                      <wps:spPr>
                        <a:xfrm>
                          <a:off x="394920" y="1800"/>
                          <a:ext cx="417240" cy="95400"/>
                        </a:xfrm>
                        <a:prstGeom prst="rect">
                          <a:avLst/>
                        </a:prstGeom>
                        <a:solidFill>
                          <a:srgbClr val="0071BC"/>
                        </a:solidFill>
                        <a:ln>
                          <a:noFill/>
                        </a:ln>
                      </wps:spPr>
                      <wps:style>
                        <a:lnRef idx="0">
                          <a:scrgbClr r="0" g="0" b="0"/>
                        </a:lnRef>
                        <a:fillRef idx="0">
                          <a:scrgbClr r="0" g="0" b="0"/>
                        </a:fillRef>
                        <a:effectRef idx="0">
                          <a:scrgbClr r="0" g="0" b="0"/>
                        </a:effectRef>
                        <a:fontRef idx="minor"/>
                      </wps:style>
                      <wps:bodyPr/>
                    </wps:wsp>
                    <wps:wsp>
                      <wps:cNvPr id="5" name="Obdélník 5"/>
                      <wps:cNvSpPr/>
                      <wps:spPr>
                        <a:xfrm>
                          <a:off x="0" y="147240"/>
                          <a:ext cx="812160" cy="95400"/>
                        </a:xfrm>
                        <a:prstGeom prst="rect">
                          <a:avLst/>
                        </a:prstGeom>
                        <a:solidFill>
                          <a:srgbClr val="0071BC"/>
                        </a:solidFill>
                        <a:ln>
                          <a:noFill/>
                        </a:ln>
                      </wps:spPr>
                      <wps:style>
                        <a:lnRef idx="0">
                          <a:scrgbClr r="0" g="0" b="0"/>
                        </a:lnRef>
                        <a:fillRef idx="0">
                          <a:scrgbClr r="0" g="0" b="0"/>
                        </a:fillRef>
                        <a:effectRef idx="0">
                          <a:scrgbClr r="0" g="0" b="0"/>
                        </a:effectRef>
                        <a:fontRef idx="minor"/>
                      </wps:style>
                      <wps:bodyPr/>
                    </wps:wsp>
                    <wps:wsp>
                      <wps:cNvPr id="6" name="Obdélník 6"/>
                      <wps:cNvSpPr/>
                      <wps:spPr>
                        <a:xfrm>
                          <a:off x="357480" y="294120"/>
                          <a:ext cx="454680" cy="95400"/>
                        </a:xfrm>
                        <a:prstGeom prst="rect">
                          <a:avLst/>
                        </a:prstGeom>
                        <a:solidFill>
                          <a:srgbClr val="0071BC"/>
                        </a:solidFill>
                        <a:ln>
                          <a:noFill/>
                        </a:ln>
                      </wps:spPr>
                      <wps:style>
                        <a:lnRef idx="0">
                          <a:scrgbClr r="0" g="0" b="0"/>
                        </a:lnRef>
                        <a:fillRef idx="0">
                          <a:scrgbClr r="0" g="0" b="0"/>
                        </a:fillRef>
                        <a:effectRef idx="0">
                          <a:scrgbClr r="0" g="0" b="0"/>
                        </a:effectRef>
                        <a:fontRef idx="minor"/>
                      </wps:style>
                      <wps:bodyPr/>
                    </wps:wsp>
                    <wps:wsp>
                      <wps:cNvPr id="7" name="Volný tvar 7"/>
                      <wps:cNvSpPr/>
                      <wps:spPr>
                        <a:xfrm>
                          <a:off x="858600" y="290880"/>
                          <a:ext cx="453960" cy="101520"/>
                        </a:xfrm>
                        <a:custGeom>
                          <a:avLst/>
                          <a:gdLst/>
                          <a:ahLst/>
                          <a:cxnLst/>
                          <a:rect l="l" t="t"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wps:spPr>
                      <wps:style>
                        <a:lnRef idx="0">
                          <a:scrgbClr r="0" g="0" b="0"/>
                        </a:lnRef>
                        <a:fillRef idx="0">
                          <a:scrgbClr r="0" g="0" b="0"/>
                        </a:fillRef>
                        <a:effectRef idx="0">
                          <a:scrgbClr r="0" g="0" b="0"/>
                        </a:effectRef>
                        <a:fontRef idx="minor"/>
                      </wps:style>
                      <wps:bodyPr/>
                    </wps:wsp>
                    <wps:wsp>
                      <wps:cNvPr id="8" name="Volný tvar 8"/>
                      <wps:cNvSpPr/>
                      <wps:spPr>
                        <a:xfrm>
                          <a:off x="858600" y="144720"/>
                          <a:ext cx="808200" cy="100440"/>
                        </a:xfrm>
                        <a:custGeom>
                          <a:avLst/>
                          <a:gdLst/>
                          <a:ahLst/>
                          <a:cxnLst/>
                          <a:rect l="l" t="t"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wps:spPr>
                      <wps:style>
                        <a:lnRef idx="0">
                          <a:scrgbClr r="0" g="0" b="0"/>
                        </a:lnRef>
                        <a:fillRef idx="0">
                          <a:scrgbClr r="0" g="0" b="0"/>
                        </a:fillRef>
                        <a:effectRef idx="0">
                          <a:scrgbClr r="0" g="0" b="0"/>
                        </a:effectRef>
                        <a:fontRef idx="minor"/>
                      </wps:style>
                      <wps:bodyPr/>
                    </wps:wsp>
                    <wps:wsp>
                      <wps:cNvPr id="9" name="Volný tvar 9"/>
                      <wps:cNvSpPr/>
                      <wps:spPr>
                        <a:xfrm>
                          <a:off x="858600" y="0"/>
                          <a:ext cx="419760" cy="99720"/>
                        </a:xfrm>
                        <a:custGeom>
                          <a:avLst/>
                          <a:gdLst/>
                          <a:ahLst/>
                          <a:cxnLst/>
                          <a:rect l="l" t="t"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wps:spPr>
                      <wps:style>
                        <a:lnRef idx="0">
                          <a:scrgbClr r="0" g="0" b="0"/>
                        </a:lnRef>
                        <a:fillRef idx="0">
                          <a:scrgbClr r="0" g="0" b="0"/>
                        </a:fillRef>
                        <a:effectRef idx="0">
                          <a:scrgbClr r="0" g="0" b="0"/>
                        </a:effectRef>
                        <a:fontRef idx="minor"/>
                      </wps:style>
                      <wps:bodyPr/>
                    </wps:wsp>
                    <wps:wsp>
                      <wps:cNvPr id="10" name="Volný tvar 10"/>
                      <wps:cNvSpPr/>
                      <wps:spPr>
                        <a:xfrm>
                          <a:off x="3754080" y="318600"/>
                          <a:ext cx="2549520" cy="97200"/>
                        </a:xfrm>
                        <a:custGeom>
                          <a:avLst/>
                          <a:gdLst/>
                          <a:ahLst/>
                          <a:cxnLst/>
                          <a:rect l="l" t="t"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Group 3" style="position:absolute;margin-left:-69.35pt;margin-top:7.95pt;width:497.05pt;height:80.15pt" coordorigin="-1387,159" coordsize="9941,1603">
              <v:rect id="shape_0" fillcolor="#0071bc" stroked="f" style="position:absolute;left:-26;top:1194;width:8579;height:567">
                <w10:wrap type="none"/>
                <v:fill o:detectmouseclick="t" type="solid" color2="#ff8e43"/>
                <v:stroke color="#3465a4" joinstyle="round" endcap="flat"/>
              </v:rect>
              <v:rect id="shape_0" fillcolor="#0071bc" stroked="f" style="position:absolute;left:-765;top:162;width:656;height:149">
                <w10:wrap type="none"/>
                <v:fill o:detectmouseclick="t" type="solid" color2="#ff8e43"/>
                <v:stroke color="#3465a4" joinstyle="round" endcap="flat"/>
              </v:rect>
              <v:rect id="shape_0" fillcolor="#0071bc" stroked="f" style="position:absolute;left:-1387;top:391;width:1278;height:149">
                <w10:wrap type="none"/>
                <v:fill o:detectmouseclick="t" type="solid" color2="#ff8e43"/>
                <v:stroke color="#3465a4" joinstyle="round" endcap="flat"/>
              </v:rect>
              <v:rect id="shape_0" fillcolor="#0071bc" stroked="f" style="position:absolute;left:-824;top:622;width:715;height:149">
                <w10:wrap type="none"/>
                <v:fill o:detectmouseclick="t" type="solid" color2="#ff8e43"/>
                <v:stroke color="#3465a4" joinstyle="round" endcap="flat"/>
              </v:rect>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43A"/>
    <w:rsid w:val="00047F9C"/>
    <w:rsid w:val="00164A47"/>
    <w:rsid w:val="002443F5"/>
    <w:rsid w:val="002C167F"/>
    <w:rsid w:val="00416DF8"/>
    <w:rsid w:val="00876EFB"/>
    <w:rsid w:val="009821CA"/>
    <w:rsid w:val="00A803C1"/>
    <w:rsid w:val="00A86604"/>
    <w:rsid w:val="00A91B7E"/>
    <w:rsid w:val="00B958F3"/>
    <w:rsid w:val="00BA543A"/>
    <w:rsid w:val="00C8268A"/>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6373D"/>
  <w15:docId w15:val="{F867FA56-84DC-4808-9307-B57B2CCC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80178"/>
    <w:pPr>
      <w:spacing w:line="276" w:lineRule="auto"/>
      <w:jc w:val="both"/>
    </w:pPr>
    <w:rPr>
      <w:rFonts w:ascii="Arial" w:hAnsi="Arial"/>
      <w:szCs w:val="22"/>
      <w:lang w:val="en-GB" w:eastAsia="en-US"/>
    </w:rPr>
  </w:style>
  <w:style w:type="paragraph" w:styleId="Nadpis1">
    <w:name w:val="heading 1"/>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qFormat/>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basedOn w:val="Normln"/>
    <w:next w:val="Normln"/>
    <w:link w:val="Nadpis3Char"/>
    <w:uiPriority w:val="9"/>
    <w:unhideWhenUsed/>
    <w:qFormat/>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BA6370"/>
  </w:style>
  <w:style w:type="character" w:customStyle="1" w:styleId="ZpatChar">
    <w:name w:val="Zápatí Char"/>
    <w:basedOn w:val="Standardnpsmoodstavce"/>
    <w:link w:val="Zpat"/>
    <w:uiPriority w:val="99"/>
    <w:qFormat/>
    <w:rsid w:val="00BA6370"/>
  </w:style>
  <w:style w:type="character" w:customStyle="1" w:styleId="TextbublinyChar">
    <w:name w:val="Text bubliny Char"/>
    <w:link w:val="Textbubliny"/>
    <w:uiPriority w:val="99"/>
    <w:semiHidden/>
    <w:qFormat/>
    <w:rsid w:val="00BA6370"/>
    <w:rPr>
      <w:rFonts w:ascii="Tahoma" w:hAnsi="Tahoma" w:cs="Tahoma"/>
      <w:sz w:val="16"/>
      <w:szCs w:val="16"/>
    </w:rPr>
  </w:style>
  <w:style w:type="character" w:customStyle="1" w:styleId="Nadpis1Char">
    <w:name w:val="Nadpis 1 Char"/>
    <w:link w:val="Nadpis1"/>
    <w:uiPriority w:val="9"/>
    <w:qFormat/>
    <w:rsid w:val="00380178"/>
    <w:rPr>
      <w:rFonts w:ascii="Arial" w:eastAsia="Times New Roman" w:hAnsi="Arial"/>
      <w:b/>
      <w:bCs/>
      <w:szCs w:val="28"/>
      <w:lang w:val="en-GB" w:eastAsia="en-US" w:bidi="ar-SA"/>
    </w:rPr>
  </w:style>
  <w:style w:type="character" w:customStyle="1" w:styleId="Nadpis2Char">
    <w:name w:val="Nadpis 2 Char"/>
    <w:link w:val="Nadpis2"/>
    <w:uiPriority w:val="9"/>
    <w:qFormat/>
    <w:rsid w:val="00A4343D"/>
    <w:rPr>
      <w:rFonts w:ascii="Arial" w:eastAsia="Times New Roman" w:hAnsi="Arial"/>
      <w:b/>
      <w:bCs/>
      <w:sz w:val="28"/>
      <w:szCs w:val="26"/>
      <w:lang w:eastAsia="en-US" w:bidi="ar-SA"/>
    </w:rPr>
  </w:style>
  <w:style w:type="character" w:customStyle="1" w:styleId="Nadpis3Char">
    <w:name w:val="Nadpis 3 Char"/>
    <w:link w:val="Nadpis3"/>
    <w:uiPriority w:val="9"/>
    <w:qFormat/>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character" w:customStyle="1" w:styleId="NzevChar">
    <w:name w:val="Název Char"/>
    <w:link w:val="Nzev"/>
    <w:uiPriority w:val="10"/>
    <w:qFormat/>
    <w:rsid w:val="00380178"/>
    <w:rPr>
      <w:rFonts w:ascii="Arial" w:eastAsia="Times New Roman" w:hAnsi="Arial"/>
      <w:b/>
      <w:bCs/>
      <w:color w:val="BD1B21"/>
      <w:sz w:val="32"/>
      <w:szCs w:val="32"/>
      <w:lang w:val="en-GB" w:eastAsia="en-US" w:bidi="ar-SA"/>
    </w:rPr>
  </w:style>
  <w:style w:type="character" w:styleId="Odkazjemn">
    <w:name w:val="Subtle Reference"/>
    <w:uiPriority w:val="31"/>
    <w:qFormat/>
    <w:rsid w:val="003A45C8"/>
    <w:rPr>
      <w:smallCaps/>
      <w:color w:val="C0504D"/>
      <w:u w:val="single"/>
    </w:rPr>
  </w:style>
  <w:style w:type="character" w:customStyle="1" w:styleId="TabulkaGrafChar">
    <w:name w:val="Tabulka/Graf_ Char"/>
    <w:link w:val="TabulkaGraf"/>
    <w:qFormat/>
    <w:rsid w:val="00380178"/>
    <w:rPr>
      <w:rFonts w:ascii="Arial" w:eastAsia="Times New Roman" w:hAnsi="Arial"/>
      <w:b/>
      <w:bCs/>
      <w:szCs w:val="28"/>
      <w:lang w:val="en-GB" w:eastAsia="en-US" w:bidi="ar-SA"/>
    </w:rPr>
  </w:style>
  <w:style w:type="character" w:customStyle="1" w:styleId="PodtitulekChar">
    <w:name w:val="Podtitulek_ Char"/>
    <w:link w:val="Podtitulek"/>
    <w:qFormat/>
    <w:rsid w:val="00380178"/>
    <w:rPr>
      <w:rFonts w:ascii="Arial" w:eastAsia="Times New Roman" w:hAnsi="Arial"/>
      <w:b/>
      <w:bCs/>
      <w:sz w:val="28"/>
      <w:szCs w:val="28"/>
      <w:lang w:val="en-GB" w:eastAsia="en-US" w:bidi="ar-SA"/>
    </w:rPr>
  </w:style>
  <w:style w:type="character" w:customStyle="1" w:styleId="TextpoznpodarouChar">
    <w:name w:val="Text pozn. pod čarou Char"/>
    <w:link w:val="Textpoznpodarou"/>
    <w:semiHidden/>
    <w:qFormat/>
    <w:rsid w:val="00937C22"/>
    <w:rPr>
      <w:rFonts w:ascii="Arial" w:hAnsi="Arial"/>
      <w:lang w:val="en-GB" w:eastAsia="en-US"/>
    </w:rPr>
  </w:style>
  <w:style w:type="character" w:customStyle="1" w:styleId="FootnoteCharacters">
    <w:name w:val="Footnote Characters"/>
    <w:semiHidden/>
    <w:qFormat/>
    <w:rsid w:val="00937C22"/>
    <w:rPr>
      <w:vertAlign w:val="superscript"/>
    </w:rPr>
  </w:style>
  <w:style w:type="character" w:customStyle="1" w:styleId="FootnoteAnchor">
    <w:name w:val="Footnote Anchor"/>
    <w:rPr>
      <w:vertAlign w:val="superscript"/>
    </w:rPr>
  </w:style>
  <w:style w:type="character" w:styleId="Sledovanodkaz">
    <w:name w:val="FollowedHyperlink"/>
    <w:uiPriority w:val="99"/>
    <w:semiHidden/>
    <w:unhideWhenUsed/>
    <w:rsid w:val="006A6060"/>
    <w:rPr>
      <w:color w:val="800080"/>
      <w:u w:val="single"/>
    </w:rPr>
  </w:style>
  <w:style w:type="character" w:styleId="Zdraznn">
    <w:name w:val="Emphasis"/>
    <w:uiPriority w:val="20"/>
    <w:qFormat/>
    <w:rsid w:val="001810A6"/>
    <w:rPr>
      <w:i/>
      <w:iCs/>
    </w:rPr>
  </w:style>
  <w:style w:type="character" w:customStyle="1" w:styleId="shorttext">
    <w:name w:val="short_text"/>
    <w:basedOn w:val="Standardnpsmoodstavce"/>
    <w:qFormat/>
    <w:rsid w:val="00FC3662"/>
  </w:style>
  <w:style w:type="character" w:customStyle="1" w:styleId="spelle">
    <w:name w:val="spelle"/>
    <w:basedOn w:val="Standardnpsmoodstavce"/>
    <w:qFormat/>
    <w:rsid w:val="001E4A82"/>
  </w:style>
  <w:style w:type="character" w:customStyle="1" w:styleId="content">
    <w:name w:val="content"/>
    <w:qFormat/>
    <w:rsid w:val="00380F1B"/>
  </w:style>
  <w:style w:type="character" w:styleId="Siln">
    <w:name w:val="Strong"/>
    <w:uiPriority w:val="22"/>
    <w:qFormat/>
    <w:rsid w:val="00FD0984"/>
    <w:rPr>
      <w:b/>
      <w:bCs/>
    </w:rPr>
  </w:style>
  <w:style w:type="character" w:styleId="Odkaznakoment">
    <w:name w:val="annotation reference"/>
    <w:uiPriority w:val="99"/>
    <w:semiHidden/>
    <w:unhideWhenUsed/>
    <w:qFormat/>
    <w:rsid w:val="00BB2F6B"/>
    <w:rPr>
      <w:sz w:val="16"/>
      <w:szCs w:val="16"/>
    </w:rPr>
  </w:style>
  <w:style w:type="character" w:customStyle="1" w:styleId="TextkomenteChar">
    <w:name w:val="Text komentáře Char"/>
    <w:link w:val="Textkomente"/>
    <w:uiPriority w:val="99"/>
    <w:semiHidden/>
    <w:qFormat/>
    <w:rsid w:val="00BB2F6B"/>
    <w:rPr>
      <w:rFonts w:ascii="Arial" w:hAnsi="Arial"/>
      <w:lang w:val="en-GB" w:eastAsia="en-US"/>
    </w:rPr>
  </w:style>
  <w:style w:type="character" w:customStyle="1" w:styleId="PedmtkomenteChar">
    <w:name w:val="Předmět komentáře Char"/>
    <w:link w:val="Pedmtkomente"/>
    <w:uiPriority w:val="99"/>
    <w:semiHidden/>
    <w:qFormat/>
    <w:rsid w:val="00BB2F6B"/>
    <w:rPr>
      <w:rFonts w:ascii="Arial" w:hAnsi="Arial"/>
      <w:b/>
      <w:bCs/>
      <w:lang w:val="en-GB" w:eastAsia="en-US"/>
    </w:rPr>
  </w:style>
  <w:style w:type="character" w:customStyle="1" w:styleId="alt-edited">
    <w:name w:val="alt-edited"/>
    <w:basedOn w:val="Standardnpsmoodstavce"/>
    <w:qFormat/>
    <w:rsid w:val="00B956AB"/>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Bullets">
    <w:name w:val="Bullets"/>
    <w:qFormat/>
    <w:rPr>
      <w:rFonts w:ascii="OpenSymbol" w:eastAsia="OpenSymbol" w:hAnsi="OpenSymbol" w:cs="OpenSymbol"/>
    </w:rPr>
  </w:style>
  <w:style w:type="paragraph" w:customStyle="1" w:styleId="Heading">
    <w:name w:val="Heading"/>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Index">
    <w:name w:val="Index"/>
    <w:basedOn w:val="Normln"/>
    <w:qFormat/>
    <w:pPr>
      <w:suppressLineNumbers/>
    </w:pPr>
    <w:rPr>
      <w:rFonts w:cs="Lucida Sans"/>
    </w:rPr>
  </w:style>
  <w:style w:type="paragraph" w:customStyle="1" w:styleId="HeaderandFooter">
    <w:name w:val="Header and Footer"/>
    <w:basedOn w:val="Normln"/>
    <w:qFormat/>
  </w:style>
  <w:style w:type="paragraph" w:styleId="Zhlav">
    <w:name w:val="header"/>
    <w:basedOn w:val="Normln"/>
    <w:link w:val="ZhlavChar"/>
    <w:uiPriority w:val="99"/>
    <w:unhideWhenUsed/>
    <w:rsid w:val="00BA6370"/>
    <w:pPr>
      <w:tabs>
        <w:tab w:val="center" w:pos="4703"/>
        <w:tab w:val="right" w:pos="9406"/>
      </w:tabs>
      <w:spacing w:line="240" w:lineRule="auto"/>
    </w:pPr>
  </w:style>
  <w:style w:type="paragraph" w:styleId="Zpat">
    <w:name w:val="footer"/>
    <w:basedOn w:val="Normln"/>
    <w:link w:val="ZpatChar"/>
    <w:uiPriority w:val="99"/>
    <w:unhideWhenUsed/>
    <w:rsid w:val="00BA6370"/>
    <w:pPr>
      <w:tabs>
        <w:tab w:val="center" w:pos="4703"/>
        <w:tab w:val="right" w:pos="9406"/>
      </w:tabs>
      <w:spacing w:line="240" w:lineRule="auto"/>
    </w:pPr>
  </w:style>
  <w:style w:type="paragraph" w:styleId="Textbubliny">
    <w:name w:val="Balloon Text"/>
    <w:basedOn w:val="Normln"/>
    <w:link w:val="TextbublinyChar"/>
    <w:uiPriority w:val="99"/>
    <w:semiHidden/>
    <w:unhideWhenUsed/>
    <w:qFormat/>
    <w:rsid w:val="00BA6370"/>
    <w:pPr>
      <w:spacing w:line="240" w:lineRule="auto"/>
    </w:pPr>
    <w:rPr>
      <w:rFonts w:ascii="Tahoma" w:hAnsi="Tahoma"/>
      <w:sz w:val="16"/>
      <w:szCs w:val="16"/>
    </w:rPr>
  </w:style>
  <w:style w:type="paragraph" w:customStyle="1" w:styleId="Zkladnodstavec">
    <w:name w:val="[Základní odstavec]"/>
    <w:basedOn w:val="Normln"/>
    <w:uiPriority w:val="99"/>
    <w:qFormat/>
    <w:rsid w:val="00BA6370"/>
    <w:pPr>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paragraph" w:customStyle="1" w:styleId="Poznmky">
    <w:name w:val="Poznámky"/>
    <w:next w:val="Poznmky0"/>
    <w:qFormat/>
    <w:rsid w:val="008C384C"/>
    <w:pPr>
      <w:pBdr>
        <w:top w:val="single" w:sz="4" w:space="9" w:color="000000"/>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000000"/>
      </w:pBdr>
      <w:spacing w:before="280" w:line="276" w:lineRule="auto"/>
      <w:jc w:val="both"/>
    </w:pPr>
    <w:rPr>
      <w:rFonts w:ascii="Arial" w:hAnsi="Arial" w:cs="ArialMT"/>
      <w:i/>
      <w:sz w:val="18"/>
      <w:szCs w:val="18"/>
      <w:lang w:val="en-GB" w:eastAsia="en-US"/>
    </w:rPr>
  </w:style>
  <w:style w:type="paragraph" w:customStyle="1" w:styleId="Perex">
    <w:name w:val="Perex_"/>
    <w:next w:val="Normln"/>
    <w:qFormat/>
    <w:rsid w:val="00380178"/>
    <w:pPr>
      <w:spacing w:after="280" w:line="276" w:lineRule="auto"/>
      <w:jc w:val="both"/>
    </w:pPr>
    <w:rPr>
      <w:rFonts w:ascii="Arial" w:hAnsi="Arial" w:cs="Arial"/>
      <w:b/>
      <w:szCs w:val="18"/>
      <w:lang w:val="en-GB" w:eastAsia="en-US"/>
    </w:rPr>
  </w:style>
  <w:style w:type="paragraph" w:styleId="Nzev">
    <w:name w:val="Title"/>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paragraph" w:styleId="Textpoznpodarou">
    <w:name w:val="footnote text"/>
    <w:basedOn w:val="Normln"/>
    <w:link w:val="TextpoznpodarouChar"/>
    <w:semiHidden/>
    <w:unhideWhenUsed/>
    <w:rsid w:val="00937C22"/>
    <w:rPr>
      <w:szCs w:val="20"/>
    </w:rPr>
  </w:style>
  <w:style w:type="paragraph" w:styleId="Textkomente">
    <w:name w:val="annotation text"/>
    <w:basedOn w:val="Normln"/>
    <w:link w:val="TextkomenteChar"/>
    <w:uiPriority w:val="99"/>
    <w:semiHidden/>
    <w:unhideWhenUsed/>
    <w:qFormat/>
    <w:rsid w:val="00BB2F6B"/>
    <w:rPr>
      <w:szCs w:val="20"/>
    </w:rPr>
  </w:style>
  <w:style w:type="paragraph" w:styleId="Pedmtkomente">
    <w:name w:val="annotation subject"/>
    <w:basedOn w:val="Textkomente"/>
    <w:next w:val="Textkomente"/>
    <w:link w:val="PedmtkomenteChar"/>
    <w:uiPriority w:val="99"/>
    <w:semiHidden/>
    <w:unhideWhenUsed/>
    <w:qFormat/>
    <w:rsid w:val="00BB2F6B"/>
    <w:rPr>
      <w:b/>
      <w:bCs/>
    </w:rPr>
  </w:style>
  <w:style w:type="paragraph" w:styleId="Revize">
    <w:name w:val="Revision"/>
    <w:uiPriority w:val="99"/>
    <w:semiHidden/>
    <w:qFormat/>
    <w:rsid w:val="00BB2F6B"/>
    <w:rPr>
      <w:rFonts w:ascii="Arial" w:hAnsi="Arial"/>
      <w:szCs w:val="22"/>
      <w:lang w:val="en-GB" w:eastAsia="en-US"/>
    </w:rPr>
  </w:style>
  <w:style w:type="paragraph" w:styleId="Normlnweb">
    <w:name w:val="Normal (Web)"/>
    <w:basedOn w:val="Normln"/>
    <w:uiPriority w:val="99"/>
    <w:semiHidden/>
    <w:unhideWhenUsed/>
    <w:qFormat/>
    <w:rsid w:val="0046638F"/>
    <w:pPr>
      <w:spacing w:beforeAutospacing="1" w:afterAutospacing="1" w:line="240" w:lineRule="auto"/>
      <w:jc w:val="left"/>
    </w:pPr>
    <w:rPr>
      <w:rFonts w:ascii="Times New Roman" w:eastAsia="Times New Roman" w:hAnsi="Times New Roman"/>
      <w:sz w:val="24"/>
      <w:szCs w:val="24"/>
      <w:lang w:val="cs-CZ" w:eastAsia="cs-CZ"/>
    </w:rPr>
  </w:style>
  <w:style w:type="paragraph" w:customStyle="1" w:styleId="Poznamkytexty">
    <w:name w:val="Poznamky texty"/>
    <w:basedOn w:val="Poznmky"/>
    <w:qFormat/>
    <w:rsid w:val="000474FA"/>
    <w:pPr>
      <w:pBdr>
        <w:top w:val="nil"/>
      </w:pBdr>
      <w:spacing w:before="0"/>
      <w:jc w:val="both"/>
    </w:pPr>
    <w:rPr>
      <w:i/>
    </w:rPr>
  </w:style>
  <w:style w:type="paragraph" w:customStyle="1" w:styleId="FrameContents">
    <w:name w:val="Frame Contents"/>
    <w:basedOn w:val="Norml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enata.vodickova@czso.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adek.matejka@czso.c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zso.cz/csu/czso/pig-production-1st-half-of-202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zso.cz/csu/czso/cattle-production-1st-half-of-2020" TargetMode="External"/><Relationship Id="rId4" Type="http://schemas.openxmlformats.org/officeDocument/2006/relationships/webSettings" Target="webSettings.xml"/><Relationship Id="rId9" Type="http://schemas.openxmlformats.org/officeDocument/2006/relationships/hyperlink" Target="https://www.czso.cz/csu/czso/livestock-slaughtering-august-2020"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C5C96-4224-4314-A6E5-547671E83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1492</Words>
  <Characters>8806</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dc:creator>
  <dc:description/>
  <cp:lastModifiedBy>fiedlerova1875</cp:lastModifiedBy>
  <cp:revision>4</cp:revision>
  <cp:lastPrinted>2020-10-19T12:26:00Z</cp:lastPrinted>
  <dcterms:created xsi:type="dcterms:W3CDTF">2020-10-29T07:56:00Z</dcterms:created>
  <dcterms:modified xsi:type="dcterms:W3CDTF">2020-10-29T07:58:00Z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ČSÚ</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