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4A1AB" w14:textId="7ECDAB15" w:rsidR="00867569" w:rsidRDefault="001559C0" w:rsidP="00270F84">
      <w:pPr>
        <w:pStyle w:val="Datum"/>
      </w:pPr>
      <w:r>
        <w:t>5</w:t>
      </w:r>
      <w:r w:rsidR="00304176">
        <w:t>.</w:t>
      </w:r>
      <w:r w:rsidR="00915A3B">
        <w:t xml:space="preserve"> </w:t>
      </w:r>
      <w:r>
        <w:t>10</w:t>
      </w:r>
      <w:r w:rsidR="00A93DE1">
        <w:t>.</w:t>
      </w:r>
      <w:r w:rsidR="00022194">
        <w:t xml:space="preserve"> </w:t>
      </w:r>
      <w:r w:rsidR="00304176">
        <w:t>20</w:t>
      </w:r>
      <w:r w:rsidR="0070617B">
        <w:t>20</w:t>
      </w:r>
    </w:p>
    <w:p w14:paraId="57EAE61A" w14:textId="4DE86F92" w:rsidR="00542EBD" w:rsidRDefault="00865670" w:rsidP="00542EBD">
      <w:pPr>
        <w:pStyle w:val="Podtitulek"/>
        <w:spacing w:before="240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 xml:space="preserve">Deficit i dluh </w:t>
      </w:r>
      <w:r w:rsidR="00D52D0D">
        <w:rPr>
          <w:color w:val="BD1B21"/>
          <w:sz w:val="32"/>
          <w:szCs w:val="32"/>
        </w:rPr>
        <w:t xml:space="preserve">vládních institucí </w:t>
      </w:r>
      <w:r>
        <w:rPr>
          <w:color w:val="BD1B21"/>
          <w:sz w:val="32"/>
          <w:szCs w:val="32"/>
        </w:rPr>
        <w:t>vzrostly</w:t>
      </w:r>
    </w:p>
    <w:p w14:paraId="698A55A3" w14:textId="01EB32A5" w:rsidR="00DB7DDE" w:rsidRDefault="00DB7DDE" w:rsidP="00DB7DDE">
      <w:pPr>
        <w:pStyle w:val="Podtitulek"/>
      </w:pPr>
      <w:r>
        <w:t>Deficit a dluh vládní</w:t>
      </w:r>
      <w:r w:rsidR="00B973E6">
        <w:t xml:space="preserve">ch institucí – </w:t>
      </w:r>
      <w:r w:rsidR="001559C0">
        <w:t>2</w:t>
      </w:r>
      <w:r w:rsidR="00407901">
        <w:t>. čtvrtletí 2020</w:t>
      </w:r>
    </w:p>
    <w:p w14:paraId="7B043CCE" w14:textId="1D0901AE" w:rsidR="00053474" w:rsidRDefault="00053474" w:rsidP="00053474">
      <w:pPr>
        <w:rPr>
          <w:b/>
        </w:rPr>
      </w:pPr>
      <w:r w:rsidRPr="002A63D2">
        <w:rPr>
          <w:b/>
        </w:rPr>
        <w:t>Saldo hospodaření sekto</w:t>
      </w:r>
      <w:r w:rsidR="00474243">
        <w:rPr>
          <w:b/>
        </w:rPr>
        <w:t>ru vládních institucí dosáhlo ve druhém</w:t>
      </w:r>
      <w:r w:rsidR="00CD4356">
        <w:rPr>
          <w:b/>
        </w:rPr>
        <w:t xml:space="preserve"> čtvrtletí 2020</w:t>
      </w:r>
      <w:r w:rsidRPr="002A63D2">
        <w:rPr>
          <w:b/>
        </w:rPr>
        <w:t xml:space="preserve"> </w:t>
      </w:r>
      <w:r w:rsidR="006D6BFF">
        <w:rPr>
          <w:b/>
        </w:rPr>
        <w:t>schodku</w:t>
      </w:r>
      <w:r w:rsidRPr="002A63D2">
        <w:rPr>
          <w:b/>
        </w:rPr>
        <w:t xml:space="preserve"> </w:t>
      </w:r>
      <w:r w:rsidR="00474243">
        <w:rPr>
          <w:b/>
        </w:rPr>
        <w:t>100,4</w:t>
      </w:r>
      <w:r w:rsidR="00E92D16">
        <w:rPr>
          <w:b/>
        </w:rPr>
        <w:t> </w:t>
      </w:r>
      <w:r w:rsidRPr="002A63D2">
        <w:rPr>
          <w:b/>
        </w:rPr>
        <w:t xml:space="preserve">mld. Kč, </w:t>
      </w:r>
      <w:r w:rsidRPr="006D6BFF">
        <w:rPr>
          <w:b/>
        </w:rPr>
        <w:t>což představ</w:t>
      </w:r>
      <w:r w:rsidR="00292BC3">
        <w:rPr>
          <w:b/>
        </w:rPr>
        <w:t>ovalo</w:t>
      </w:r>
      <w:r w:rsidRPr="006D6BFF">
        <w:rPr>
          <w:b/>
        </w:rPr>
        <w:t xml:space="preserve"> </w:t>
      </w:r>
      <w:r w:rsidR="00AA502D">
        <w:rPr>
          <w:b/>
        </w:rPr>
        <w:t>7,5</w:t>
      </w:r>
      <w:r w:rsidR="006179B0">
        <w:rPr>
          <w:b/>
        </w:rPr>
        <w:t>0</w:t>
      </w:r>
      <w:r w:rsidRPr="006D6BFF">
        <w:rPr>
          <w:b/>
        </w:rPr>
        <w:t xml:space="preserve"> % HDP. Příjmy</w:t>
      </w:r>
      <w:r w:rsidRPr="003E37C7">
        <w:rPr>
          <w:b/>
        </w:rPr>
        <w:t xml:space="preserve"> sektoru vládních institucí dosáhly </w:t>
      </w:r>
      <w:r w:rsidR="00CD4356">
        <w:rPr>
          <w:b/>
        </w:rPr>
        <w:t>4</w:t>
      </w:r>
      <w:r w:rsidR="00AA502D">
        <w:rPr>
          <w:b/>
        </w:rPr>
        <w:t>2,61</w:t>
      </w:r>
      <w:r w:rsidR="006D6BFF">
        <w:rPr>
          <w:b/>
        </w:rPr>
        <w:t> </w:t>
      </w:r>
      <w:r w:rsidRPr="003E37C7">
        <w:rPr>
          <w:b/>
        </w:rPr>
        <w:t xml:space="preserve">% HDP, zatímco výdaje </w:t>
      </w:r>
      <w:r w:rsidR="00AA502D">
        <w:rPr>
          <w:b/>
        </w:rPr>
        <w:t>50,12</w:t>
      </w:r>
      <w:r w:rsidRPr="003E37C7">
        <w:rPr>
          <w:b/>
        </w:rPr>
        <w:t xml:space="preserve"> % HDP</w:t>
      </w:r>
      <w:r w:rsidRPr="00811BF3">
        <w:rPr>
          <w:b/>
        </w:rPr>
        <w:t xml:space="preserve">. Míra zadlužení sektoru vládních institucí </w:t>
      </w:r>
      <w:r w:rsidR="00AA502D">
        <w:rPr>
          <w:b/>
        </w:rPr>
        <w:t>vzrostla</w:t>
      </w:r>
      <w:r w:rsidRPr="00811BF3">
        <w:rPr>
          <w:b/>
        </w:rPr>
        <w:t xml:space="preserve"> meziročně o </w:t>
      </w:r>
      <w:r w:rsidR="00AA502D">
        <w:rPr>
          <w:b/>
        </w:rPr>
        <w:t>7,31</w:t>
      </w:r>
      <w:r w:rsidRPr="00811BF3">
        <w:rPr>
          <w:b/>
        </w:rPr>
        <w:t xml:space="preserve"> p. b. na 3</w:t>
      </w:r>
      <w:r w:rsidR="00AA502D">
        <w:rPr>
          <w:b/>
        </w:rPr>
        <w:t>9,9</w:t>
      </w:r>
      <w:r w:rsidR="006179B0" w:rsidRPr="006179B0">
        <w:rPr>
          <w:b/>
        </w:rPr>
        <w:t>2</w:t>
      </w:r>
      <w:r w:rsidR="006179B0">
        <w:rPr>
          <w:b/>
        </w:rPr>
        <w:t xml:space="preserve"> </w:t>
      </w:r>
      <w:r w:rsidRPr="00811BF3">
        <w:rPr>
          <w:b/>
        </w:rPr>
        <w:t>% HDP.</w:t>
      </w:r>
    </w:p>
    <w:p w14:paraId="6C9DAEEF" w14:textId="77777777" w:rsidR="00A94B28" w:rsidRDefault="00A94B28" w:rsidP="00043BF4"/>
    <w:p w14:paraId="784CE9A7" w14:textId="0C1EC3A3" w:rsidR="00053474" w:rsidRDefault="00F66212" w:rsidP="00053474">
      <w:r>
        <w:t>Ve druhém</w:t>
      </w:r>
      <w:r w:rsidR="003C7864">
        <w:t xml:space="preserve"> čtvrtletí</w:t>
      </w:r>
      <w:r w:rsidR="007E04BF">
        <w:t xml:space="preserve"> 20</w:t>
      </w:r>
      <w:r w:rsidR="003C039E">
        <w:t>20</w:t>
      </w:r>
      <w:r w:rsidR="003C7864">
        <w:t xml:space="preserve"> došlo meziročně ke </w:t>
      </w:r>
      <w:r w:rsidR="003C039E">
        <w:t>zhoršení</w:t>
      </w:r>
      <w:r w:rsidR="003C7864">
        <w:t xml:space="preserve"> salda</w:t>
      </w:r>
      <w:r w:rsidR="00053474">
        <w:t xml:space="preserve"> hospodaření vládních institucí o</w:t>
      </w:r>
      <w:r w:rsidR="00E92D16">
        <w:t> </w:t>
      </w:r>
      <w:r>
        <w:t>126,2</w:t>
      </w:r>
      <w:r w:rsidR="009906E9">
        <w:t> </w:t>
      </w:r>
      <w:r w:rsidR="003C7864">
        <w:t xml:space="preserve">mld. Kč., </w:t>
      </w:r>
      <w:r w:rsidR="00060E33">
        <w:t xml:space="preserve">k čemuž přispěly zejména ústřední vládní instituce, jejichž saldo hospodaření se zhoršilo o </w:t>
      </w:r>
      <w:r>
        <w:t>109,0</w:t>
      </w:r>
      <w:r w:rsidR="00060E33">
        <w:t xml:space="preserve"> mld. Kč a skončilo v deficitu </w:t>
      </w:r>
      <w:r>
        <w:t>116,0</w:t>
      </w:r>
      <w:r w:rsidR="00060E33">
        <w:t xml:space="preserve"> mld. Kč. </w:t>
      </w:r>
      <w:r w:rsidR="00EB6243">
        <w:t>M</w:t>
      </w:r>
      <w:r w:rsidR="003C7864">
        <w:t>ístní vládní</w:t>
      </w:r>
      <w:r w:rsidR="00EB6243">
        <w:t xml:space="preserve"> instituce hospodař</w:t>
      </w:r>
      <w:r w:rsidR="00E92D16">
        <w:t>ily s </w:t>
      </w:r>
      <w:r w:rsidR="00136D80">
        <w:t>přebytkem</w:t>
      </w:r>
      <w:r w:rsidR="0036612E">
        <w:t xml:space="preserve"> 1</w:t>
      </w:r>
      <w:r w:rsidR="008B06BD">
        <w:t>4,8</w:t>
      </w:r>
      <w:r w:rsidR="0036612E">
        <w:t xml:space="preserve"> m</w:t>
      </w:r>
      <w:r w:rsidR="00136D80">
        <w:t xml:space="preserve">ld. Kč, který byl meziročně o </w:t>
      </w:r>
      <w:r w:rsidR="00667BEA">
        <w:t>13,2</w:t>
      </w:r>
      <w:r w:rsidR="0036612E">
        <w:t xml:space="preserve"> mld. </w:t>
      </w:r>
      <w:r w:rsidR="00660D90">
        <w:t>n</w:t>
      </w:r>
      <w:r w:rsidR="0036612E">
        <w:t>ižší</w:t>
      </w:r>
      <w:r w:rsidR="00660D90">
        <w:t>.</w:t>
      </w:r>
      <w:r w:rsidR="000933DC">
        <w:t xml:space="preserve"> </w:t>
      </w:r>
      <w:r w:rsidR="00660D90">
        <w:t xml:space="preserve">Hospodaření fondů sociálního zabezpečení se meziročně zhoršilo o </w:t>
      </w:r>
      <w:r w:rsidR="00B3711F">
        <w:t>4,0</w:t>
      </w:r>
      <w:r w:rsidR="00660D90">
        <w:t xml:space="preserve"> mld. Kč </w:t>
      </w:r>
      <w:r w:rsidR="009906E9">
        <w:t xml:space="preserve">a </w:t>
      </w:r>
      <w:r w:rsidR="00DC368D">
        <w:t>skončilo v</w:t>
      </w:r>
      <w:r w:rsidR="00B3711F">
        <w:t xml:space="preserve"> přebytku</w:t>
      </w:r>
      <w:r w:rsidR="00660D90">
        <w:t xml:space="preserve"> </w:t>
      </w:r>
      <w:r w:rsidR="00B3711F">
        <w:t>0,9</w:t>
      </w:r>
      <w:r w:rsidR="00660D90">
        <w:t xml:space="preserve"> mld. Kč.</w:t>
      </w:r>
    </w:p>
    <w:p w14:paraId="39AC9BFC" w14:textId="77777777" w:rsidR="00053474" w:rsidRDefault="00053474" w:rsidP="00043BF4"/>
    <w:p w14:paraId="2DE8F72D" w14:textId="53B33333" w:rsidR="00A94B28" w:rsidRPr="0037782A" w:rsidRDefault="00A94B28" w:rsidP="00A94B28">
      <w:pPr>
        <w:pStyle w:val="TabulkaGraf"/>
      </w:pPr>
      <w:r w:rsidRPr="0037782A">
        <w:t xml:space="preserve">Saldo hospodaření sektoru vládních institucí, </w:t>
      </w:r>
      <w:r w:rsidR="00A86B4D">
        <w:t>2</w:t>
      </w:r>
      <w:r w:rsidR="00B7752A" w:rsidRPr="0037782A">
        <w:t>.</w:t>
      </w:r>
      <w:r w:rsidR="00A60967" w:rsidRPr="0037782A">
        <w:t xml:space="preserve"> čtvrtletí</w:t>
      </w:r>
      <w:r w:rsidR="00B7752A" w:rsidRPr="0037782A">
        <w:t xml:space="preserve"> 201</w:t>
      </w:r>
      <w:r w:rsidR="004060DD">
        <w:t>8</w:t>
      </w:r>
      <w:r w:rsidR="00B85D5E" w:rsidRPr="0037782A">
        <w:t xml:space="preserve"> </w:t>
      </w:r>
      <w:r w:rsidR="000A2AF1" w:rsidRPr="0037782A">
        <w:t xml:space="preserve">– </w:t>
      </w:r>
      <w:r w:rsidR="00A86B4D">
        <w:t>2</w:t>
      </w:r>
      <w:r w:rsidRPr="0037782A">
        <w:t>.</w:t>
      </w:r>
      <w:r w:rsidR="00A60967" w:rsidRPr="0037782A">
        <w:t xml:space="preserve"> čtvrtletí</w:t>
      </w:r>
      <w:r w:rsidR="00990C86" w:rsidRPr="0037782A">
        <w:t xml:space="preserve"> </w:t>
      </w:r>
      <w:r w:rsidRPr="0037782A">
        <w:t>20</w:t>
      </w:r>
      <w:r w:rsidR="004060DD">
        <w:t>20</w:t>
      </w:r>
    </w:p>
    <w:tbl>
      <w:tblPr>
        <w:tblW w:w="8480" w:type="dxa"/>
        <w:tblInd w:w="98" w:type="dxa"/>
        <w:tblLook w:val="04A0" w:firstRow="1" w:lastRow="0" w:firstColumn="1" w:lastColumn="0" w:noHBand="0" w:noVBand="1"/>
      </w:tblPr>
      <w:tblGrid>
        <w:gridCol w:w="92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57705" w:rsidRPr="0037782A" w14:paraId="6F02BBDD" w14:textId="77777777" w:rsidTr="00753F6E">
        <w:trPr>
          <w:trHeight w:val="480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F5103" w14:textId="77777777" w:rsidR="00157705" w:rsidRPr="0037782A" w:rsidRDefault="00157705" w:rsidP="0015770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Období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3CDDC" w14:textId="4E05E7D2" w:rsidR="00157705" w:rsidRPr="0037782A" w:rsidRDefault="00157705" w:rsidP="00157705">
            <w:pPr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cs-CZ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2.Q 2018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4EBC" w14:textId="05990BC2" w:rsidR="00157705" w:rsidRPr="0037782A" w:rsidRDefault="00157705" w:rsidP="00157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3.Q 2018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245A9" w14:textId="454066AA" w:rsidR="00157705" w:rsidRPr="0037782A" w:rsidRDefault="00157705" w:rsidP="00157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4.Q 2018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7232E" w14:textId="2D319CE7" w:rsidR="00157705" w:rsidRPr="0037782A" w:rsidRDefault="00157705" w:rsidP="00157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1.Q 2019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DA428" w14:textId="04771A94" w:rsidR="00157705" w:rsidRPr="0037782A" w:rsidRDefault="00157705" w:rsidP="00157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2.Q 2019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F6387" w14:textId="7A645D1D" w:rsidR="00157705" w:rsidRPr="0037782A" w:rsidRDefault="00157705" w:rsidP="00157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3.Q 2019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A1972" w14:textId="17A30558" w:rsidR="00157705" w:rsidRPr="0037782A" w:rsidRDefault="00157705" w:rsidP="00157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4.Q 2019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EF75D" w14:textId="71BEB5E0" w:rsidR="00157705" w:rsidRPr="0037782A" w:rsidRDefault="00157705" w:rsidP="0015770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1.Q 2020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49987" w14:textId="06533329" w:rsidR="00157705" w:rsidRPr="0037782A" w:rsidRDefault="00157705" w:rsidP="00157705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2.Q 2020</w:t>
            </w:r>
          </w:p>
        </w:tc>
      </w:tr>
      <w:tr w:rsidR="00157705" w:rsidRPr="0037782A" w14:paraId="32ABB801" w14:textId="77777777" w:rsidTr="00753F6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F5CF" w14:textId="77777777" w:rsidR="00157705" w:rsidRPr="0037782A" w:rsidRDefault="00157705" w:rsidP="0015770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mld. Kč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BEF07" w14:textId="2C9C0118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41,6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D9771" w14:textId="4EA9C784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790DC" w14:textId="61B6BE55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2B5A" w14:textId="24E08BDD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4F6F5" w14:textId="3873527F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25,8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2F7FC" w14:textId="516593FB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15,3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0565C" w14:textId="0CFE21BC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-23,3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0320" w14:textId="7C38DBA2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-57,2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ADEA2" w14:textId="63F01170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-100,4</w:t>
            </w:r>
          </w:p>
        </w:tc>
      </w:tr>
      <w:tr w:rsidR="00157705" w:rsidRPr="0037782A" w14:paraId="52B163B8" w14:textId="77777777" w:rsidTr="00753F6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EDF53" w14:textId="77777777" w:rsidR="00157705" w:rsidRPr="0037782A" w:rsidRDefault="00157705" w:rsidP="00157705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37782A">
              <w:rPr>
                <w:rFonts w:eastAsia="Times New Roman" w:cs="Arial"/>
                <w:color w:val="000000"/>
                <w:sz w:val="18"/>
                <w:szCs w:val="18"/>
              </w:rPr>
              <w:t>% HDP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A2847" w14:textId="43286419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FD52" w14:textId="0C412EB7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DE358" w14:textId="7F5394B9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756A" w14:textId="1ADF9250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-0,20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06A88" w14:textId="3339B58E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1,79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A32C" w14:textId="65F19A6A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9891" w14:textId="09886A7B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-1,54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464" w14:textId="5B758575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-4,22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F45" w14:textId="46091E6C" w:rsidR="00157705" w:rsidRPr="0037782A" w:rsidRDefault="00157705" w:rsidP="00157705">
            <w:pPr>
              <w:jc w:val="right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-7,50</w:t>
            </w:r>
          </w:p>
        </w:tc>
      </w:tr>
    </w:tbl>
    <w:p w14:paraId="7A4B78E2" w14:textId="77777777" w:rsidR="008D7FDA" w:rsidRPr="000A18CB" w:rsidRDefault="000A18CB" w:rsidP="00043BF4">
      <w:pPr>
        <w:rPr>
          <w:i/>
        </w:rPr>
      </w:pPr>
      <w:r w:rsidRPr="0037782A">
        <w:rPr>
          <w:i/>
        </w:rPr>
        <w:t xml:space="preserve">Poznámka: </w:t>
      </w:r>
      <w:r w:rsidR="000A2AF1" w:rsidRPr="0037782A">
        <w:rPr>
          <w:i/>
        </w:rPr>
        <w:t>Ú</w:t>
      </w:r>
      <w:r w:rsidRPr="0037782A">
        <w:rPr>
          <w:i/>
        </w:rPr>
        <w:t xml:space="preserve">daje v tabulce nejsou sezónně očištěny, nelze je srovnávat </w:t>
      </w:r>
      <w:proofErr w:type="spellStart"/>
      <w:r w:rsidRPr="0037782A">
        <w:rPr>
          <w:i/>
        </w:rPr>
        <w:t>mezičtvrtletně</w:t>
      </w:r>
      <w:proofErr w:type="spellEnd"/>
      <w:r w:rsidR="000A2AF1" w:rsidRPr="0037782A">
        <w:rPr>
          <w:i/>
        </w:rPr>
        <w:t>.</w:t>
      </w:r>
    </w:p>
    <w:p w14:paraId="3C697DA6" w14:textId="77777777" w:rsidR="000A18CB" w:rsidRDefault="000A18CB" w:rsidP="00043BF4"/>
    <w:p w14:paraId="6EDF0558" w14:textId="71563049" w:rsidR="00E225DE" w:rsidRDefault="00601F81" w:rsidP="00601F81">
      <w:r w:rsidRPr="00E736BE">
        <w:t xml:space="preserve">Celkové příjmy sektoru vládních institucí </w:t>
      </w:r>
      <w:r w:rsidR="002C529C">
        <w:t>klesly</w:t>
      </w:r>
      <w:r w:rsidRPr="00E736BE">
        <w:t xml:space="preserve"> meziročně o </w:t>
      </w:r>
      <w:r w:rsidR="004D3FBC">
        <w:t>7,17</w:t>
      </w:r>
      <w:r w:rsidRPr="00E736BE">
        <w:t xml:space="preserve"> %. Na meziročním </w:t>
      </w:r>
      <w:r w:rsidR="0062459A">
        <w:t>poklesu</w:t>
      </w:r>
      <w:r w:rsidRPr="00E736BE">
        <w:t xml:space="preserve"> příjmů se </w:t>
      </w:r>
      <w:r w:rsidR="009906E9">
        <w:t>podílel</w:t>
      </w:r>
      <w:r w:rsidR="0062459A">
        <w:t>o</w:t>
      </w:r>
      <w:r w:rsidR="009906E9">
        <w:t xml:space="preserve"> </w:t>
      </w:r>
      <w:r w:rsidR="000C2F30" w:rsidRPr="00E736BE">
        <w:t>zejména</w:t>
      </w:r>
      <w:r w:rsidRPr="00E736BE">
        <w:t xml:space="preserve"> </w:t>
      </w:r>
      <w:r w:rsidR="0062459A">
        <w:t>snížení</w:t>
      </w:r>
      <w:r w:rsidRPr="00E736BE">
        <w:t xml:space="preserve"> příjmů </w:t>
      </w:r>
      <w:r w:rsidR="000C2F30" w:rsidRPr="00E736BE">
        <w:t>z</w:t>
      </w:r>
      <w:r w:rsidR="00E225DE">
        <w:t xml:space="preserve"> objemově významných </w:t>
      </w:r>
      <w:r w:rsidR="0062459A">
        <w:t>daní</w:t>
      </w:r>
      <w:r w:rsidR="00E225DE">
        <w:t>: daně</w:t>
      </w:r>
      <w:r w:rsidR="0062459A">
        <w:t xml:space="preserve"> z příjmu </w:t>
      </w:r>
      <w:r w:rsidR="00E736BE">
        <w:t>(</w:t>
      </w:r>
      <w:r w:rsidR="004D3FBC">
        <w:t>-21,0</w:t>
      </w:r>
      <w:r w:rsidR="000C2F30" w:rsidRPr="00E736BE">
        <w:t xml:space="preserve"> % n</w:t>
      </w:r>
      <w:r w:rsidR="00B35C47" w:rsidRPr="00E736BE">
        <w:t xml:space="preserve">a </w:t>
      </w:r>
      <w:r w:rsidR="0062459A">
        <w:t>10</w:t>
      </w:r>
      <w:r w:rsidR="004D3FBC">
        <w:t>2,3</w:t>
      </w:r>
      <w:r w:rsidR="004D07BE">
        <w:t xml:space="preserve"> mld. Kč), dan</w:t>
      </w:r>
      <w:r w:rsidR="002F219C">
        <w:t>ě</w:t>
      </w:r>
      <w:r w:rsidR="00B35C47" w:rsidRPr="00E736BE">
        <w:t xml:space="preserve"> z</w:t>
      </w:r>
      <w:r w:rsidR="00E736BE">
        <w:t xml:space="preserve"> výroby a dovozu </w:t>
      </w:r>
      <w:r w:rsidR="001D0297">
        <w:t>(</w:t>
      </w:r>
      <w:r w:rsidR="004D3FBC">
        <w:t>-8,5</w:t>
      </w:r>
      <w:r w:rsidR="000C2F30" w:rsidRPr="00E736BE">
        <w:t xml:space="preserve"> % na </w:t>
      </w:r>
      <w:r w:rsidR="004D3FBC">
        <w:t>158,4</w:t>
      </w:r>
      <w:r w:rsidR="000C2F30" w:rsidRPr="00E736BE">
        <w:t xml:space="preserve"> mld. Kč)</w:t>
      </w:r>
      <w:r w:rsidR="00E736BE">
        <w:t xml:space="preserve">. </w:t>
      </w:r>
      <w:r w:rsidR="00E225DE">
        <w:t>Naopak nejvíce vzrostly příjmy</w:t>
      </w:r>
      <w:r w:rsidR="004D3FBC">
        <w:t xml:space="preserve"> z kapitálových transferů (+45,7</w:t>
      </w:r>
      <w:r w:rsidR="00E225DE">
        <w:t xml:space="preserve"> % na </w:t>
      </w:r>
      <w:r w:rsidR="004D3FBC">
        <w:t>14,9</w:t>
      </w:r>
      <w:r w:rsidR="00E225DE">
        <w:t xml:space="preserve"> mld. Kč) a </w:t>
      </w:r>
      <w:r w:rsidR="004D3FBC">
        <w:t>důchodů z vlastnictví</w:t>
      </w:r>
      <w:r w:rsidR="00E225DE">
        <w:t xml:space="preserve"> (+</w:t>
      </w:r>
      <w:r w:rsidR="004D3FBC">
        <w:t>43,0 % na 22</w:t>
      </w:r>
      <w:r w:rsidR="00E225DE">
        <w:t>,6 mld. Kč).</w:t>
      </w:r>
    </w:p>
    <w:p w14:paraId="0F87F324" w14:textId="77777777" w:rsidR="00E225DE" w:rsidRDefault="00E225DE" w:rsidP="00601F81"/>
    <w:p w14:paraId="2EA608BE" w14:textId="0980E076" w:rsidR="00601F81" w:rsidRDefault="00E706EA" w:rsidP="00A94B28">
      <w:r w:rsidRPr="00E736BE">
        <w:t xml:space="preserve">Celkové výdaje vládních institucí vzrostly meziročně o </w:t>
      </w:r>
      <w:r w:rsidR="008459CB">
        <w:t>14</w:t>
      </w:r>
      <w:r w:rsidR="00681501">
        <w:t>,</w:t>
      </w:r>
      <w:r w:rsidR="008459CB">
        <w:t>0</w:t>
      </w:r>
      <w:r w:rsidRPr="00E736BE">
        <w:t xml:space="preserve"> %. </w:t>
      </w:r>
      <w:r w:rsidR="008A0350">
        <w:t>Nejvíce vzrostly</w:t>
      </w:r>
      <w:r w:rsidR="00E225DE">
        <w:t xml:space="preserve"> </w:t>
      </w:r>
      <w:r w:rsidR="008A0350">
        <w:t>kapitálové transfery (+136,5</w:t>
      </w:r>
      <w:r w:rsidR="00E74FAA">
        <w:t xml:space="preserve"> % na </w:t>
      </w:r>
      <w:r w:rsidR="008A0350">
        <w:t>31,9</w:t>
      </w:r>
      <w:r w:rsidR="00E74FAA">
        <w:t xml:space="preserve"> mld. Kč</w:t>
      </w:r>
      <w:r w:rsidR="00681501">
        <w:t>)</w:t>
      </w:r>
      <w:r w:rsidR="00E225DE">
        <w:t xml:space="preserve">, </w:t>
      </w:r>
      <w:r w:rsidR="00E96CC6">
        <w:t>dotace (+</w:t>
      </w:r>
      <w:r w:rsidR="00681501">
        <w:t>50,6</w:t>
      </w:r>
      <w:r w:rsidR="00E96CC6" w:rsidRPr="00E736BE">
        <w:t xml:space="preserve"> % na </w:t>
      </w:r>
      <w:r w:rsidR="00681501">
        <w:t>50,9</w:t>
      </w:r>
      <w:r w:rsidR="00E96CC6">
        <w:t xml:space="preserve"> </w:t>
      </w:r>
      <w:r w:rsidR="00E96CC6" w:rsidRPr="00E736BE">
        <w:t>mld</w:t>
      </w:r>
      <w:r w:rsidR="00B5095F">
        <w:t>. Kč)</w:t>
      </w:r>
      <w:r w:rsidR="00681501">
        <w:t>, zaplacené běžné daně (+47,5 % na 3,1 mld. Kč)</w:t>
      </w:r>
      <w:r w:rsidR="00B5095F">
        <w:t xml:space="preserve"> a </w:t>
      </w:r>
      <w:r w:rsidR="00681501">
        <w:t>běžné transfery</w:t>
      </w:r>
      <w:r w:rsidR="00B5095F">
        <w:t xml:space="preserve"> (+</w:t>
      </w:r>
      <w:r w:rsidR="00681501">
        <w:t>16,8</w:t>
      </w:r>
      <w:r w:rsidR="002A77F8">
        <w:t xml:space="preserve"> </w:t>
      </w:r>
      <w:r w:rsidR="00681501">
        <w:t>% na 33,8</w:t>
      </w:r>
      <w:r w:rsidR="00B5095F">
        <w:t xml:space="preserve"> mld. Kč).</w:t>
      </w:r>
      <w:r w:rsidR="003F5DB2">
        <w:t xml:space="preserve"> Pokles byl zaznamenán u </w:t>
      </w:r>
      <w:proofErr w:type="spellStart"/>
      <w:r w:rsidR="004A0F29">
        <w:t>mezispotřeby</w:t>
      </w:r>
      <w:proofErr w:type="spellEnd"/>
      <w:r w:rsidR="004A0F29">
        <w:t xml:space="preserve"> (-1,5 % na 79,7</w:t>
      </w:r>
      <w:r w:rsidR="003F5DB2">
        <w:t xml:space="preserve"> mld. Kč).</w:t>
      </w:r>
    </w:p>
    <w:p w14:paraId="4D6C7360" w14:textId="77777777" w:rsidR="00B81175" w:rsidRDefault="00B81175" w:rsidP="00A94B28"/>
    <w:p w14:paraId="4D31A60A" w14:textId="09B8C819" w:rsidR="00AF42B6" w:rsidRDefault="00425ADB" w:rsidP="00425ADB">
      <w:r w:rsidRPr="00EF5A70">
        <w:t>Míra zadlužení sektoru vládn</w:t>
      </w:r>
      <w:r w:rsidR="001557F3">
        <w:t>ích institucí meziročně vzrostla</w:t>
      </w:r>
      <w:r w:rsidRPr="00EF5A70">
        <w:t xml:space="preserve"> </w:t>
      </w:r>
      <w:r w:rsidR="00006D9A" w:rsidRPr="00EF5A70">
        <w:t>z</w:t>
      </w:r>
      <w:r w:rsidR="001557F3">
        <w:t> </w:t>
      </w:r>
      <w:r w:rsidRPr="00EF5A70">
        <w:t>3</w:t>
      </w:r>
      <w:r w:rsidR="001557F3">
        <w:t>2,6</w:t>
      </w:r>
      <w:r w:rsidR="00115EAD">
        <w:t>0</w:t>
      </w:r>
      <w:r w:rsidRPr="00EF5A70">
        <w:t xml:space="preserve"> </w:t>
      </w:r>
      <w:r w:rsidR="00823594">
        <w:t xml:space="preserve">% </w:t>
      </w:r>
      <w:r w:rsidRPr="00EF5A70">
        <w:t xml:space="preserve">na </w:t>
      </w:r>
      <w:r w:rsidR="00ED1573">
        <w:t>3</w:t>
      </w:r>
      <w:r w:rsidR="001557F3">
        <w:t>9,9</w:t>
      </w:r>
      <w:r w:rsidR="00115EAD">
        <w:t>2</w:t>
      </w:r>
      <w:r w:rsidR="00696FCF" w:rsidRPr="00EF5A70">
        <w:t xml:space="preserve"> % HDP</w:t>
      </w:r>
      <w:r w:rsidR="00CD21CC" w:rsidRPr="00EF5A70">
        <w:t>,</w:t>
      </w:r>
      <w:r w:rsidR="00696FCF" w:rsidRPr="00EF5A70">
        <w:t xml:space="preserve"> přičemž</w:t>
      </w:r>
      <w:r w:rsidR="00E00AFE" w:rsidRPr="00EF5A70">
        <w:t xml:space="preserve"> </w:t>
      </w:r>
      <w:r w:rsidRPr="00EF5A70">
        <w:t xml:space="preserve">rostoucí </w:t>
      </w:r>
      <w:r w:rsidR="00322825" w:rsidRPr="00EF5A70">
        <w:t xml:space="preserve">nominální </w:t>
      </w:r>
      <w:r w:rsidRPr="00EF5A70">
        <w:t xml:space="preserve">HDP </w:t>
      </w:r>
      <w:r w:rsidR="00CD21CC" w:rsidRPr="00EF5A70">
        <w:t>přispěl k poklesu</w:t>
      </w:r>
      <w:r w:rsidRPr="00EF5A70">
        <w:t xml:space="preserve"> zadlužení o </w:t>
      </w:r>
      <w:r w:rsidR="001557F3">
        <w:t>0,</w:t>
      </w:r>
      <w:r w:rsidR="00935766">
        <w:t>57</w:t>
      </w:r>
      <w:r w:rsidRPr="00EF5A70">
        <w:t xml:space="preserve"> p.</w:t>
      </w:r>
      <w:r w:rsidR="00E16796" w:rsidRPr="00EF5A70">
        <w:t xml:space="preserve"> </w:t>
      </w:r>
      <w:r w:rsidRPr="00EF5A70">
        <w:t xml:space="preserve">b. </w:t>
      </w:r>
      <w:r w:rsidR="00FA1B2C" w:rsidRPr="00EF5A70">
        <w:t xml:space="preserve">Nominální dluh vládních institucí meziročně vzrostl o </w:t>
      </w:r>
      <w:r w:rsidR="00935766">
        <w:t>446,9</w:t>
      </w:r>
      <w:r w:rsidR="001D1A8D" w:rsidRPr="00EF5A70">
        <w:t xml:space="preserve"> mld. na </w:t>
      </w:r>
      <w:r w:rsidR="00935766">
        <w:t>2 263,5</w:t>
      </w:r>
      <w:r w:rsidR="00FA1B2C" w:rsidRPr="00EF5A70">
        <w:t xml:space="preserve"> mld. a jeho příspěvek činil </w:t>
      </w:r>
      <w:r w:rsidR="00935766">
        <w:t>7,88</w:t>
      </w:r>
      <w:r w:rsidR="00FA1B2C" w:rsidRPr="00EF5A70">
        <w:t xml:space="preserve"> p. b. </w:t>
      </w:r>
      <w:proofErr w:type="spellStart"/>
      <w:r w:rsidR="00ED1573">
        <w:t>Mezičtvrtletně</w:t>
      </w:r>
      <w:proofErr w:type="spellEnd"/>
      <w:r w:rsidR="00ED1573">
        <w:t xml:space="preserve"> došlo k nárůstu</w:t>
      </w:r>
      <w:r w:rsidRPr="00EF5A70">
        <w:t xml:space="preserve"> míry zadlužení o </w:t>
      </w:r>
      <w:r w:rsidR="002E1D66">
        <w:t>7,23</w:t>
      </w:r>
      <w:r w:rsidRPr="00EF5A70">
        <w:t xml:space="preserve"> p.</w:t>
      </w:r>
      <w:r w:rsidR="00E16796" w:rsidRPr="00EF5A70">
        <w:t xml:space="preserve"> </w:t>
      </w:r>
      <w:r w:rsidRPr="00EF5A70">
        <w:t xml:space="preserve">b. </w:t>
      </w:r>
      <w:r w:rsidR="0040272A" w:rsidRPr="00EF5A70">
        <w:t>N</w:t>
      </w:r>
      <w:r w:rsidR="003577F6" w:rsidRPr="00EF5A70">
        <w:t>ominální</w:t>
      </w:r>
      <w:r w:rsidR="0040272A" w:rsidRPr="00EF5A70">
        <w:t xml:space="preserve"> dluh </w:t>
      </w:r>
      <w:r w:rsidR="00ED1573">
        <w:t>vzrostl</w:t>
      </w:r>
      <w:r w:rsidR="0080678E">
        <w:t xml:space="preserve"> </w:t>
      </w:r>
      <w:proofErr w:type="spellStart"/>
      <w:r w:rsidR="0080678E">
        <w:t>mezičtvrtletně</w:t>
      </w:r>
      <w:proofErr w:type="spellEnd"/>
      <w:r w:rsidR="0040272A" w:rsidRPr="00EF5A70">
        <w:t xml:space="preserve"> o </w:t>
      </w:r>
      <w:r w:rsidR="003577F6" w:rsidRPr="00EF5A70">
        <w:t xml:space="preserve"> </w:t>
      </w:r>
      <w:r w:rsidR="002E1D66">
        <w:t>376,1</w:t>
      </w:r>
      <w:r w:rsidR="00EF5A70" w:rsidRPr="00EF5A70">
        <w:t xml:space="preserve"> mld. Kč</w:t>
      </w:r>
      <w:r w:rsidR="002E1D66">
        <w:t xml:space="preserve"> a přispěl</w:t>
      </w:r>
      <w:r w:rsidR="00D86B7D">
        <w:t xml:space="preserve"> k</w:t>
      </w:r>
      <w:r w:rsidR="00AE3EE0">
        <w:t xml:space="preserve"> nárůstu míry zadlužení </w:t>
      </w:r>
      <w:r w:rsidR="002E1D66">
        <w:t xml:space="preserve">o 6,51 </w:t>
      </w:r>
      <w:r w:rsidR="00641B4A">
        <w:t xml:space="preserve">p. b., zatímco </w:t>
      </w:r>
      <w:r w:rsidR="00B97B4A">
        <w:t>příspěvek klesajícího</w:t>
      </w:r>
      <w:r w:rsidR="00641B4A" w:rsidRPr="00EF5A70">
        <w:t xml:space="preserve"> nominální</w:t>
      </w:r>
      <w:r w:rsidR="00B97B4A">
        <w:t>ho</w:t>
      </w:r>
      <w:r w:rsidR="00641B4A" w:rsidRPr="00EF5A70">
        <w:t xml:space="preserve"> HDP </w:t>
      </w:r>
      <w:r w:rsidR="00B97B4A">
        <w:t xml:space="preserve">činil </w:t>
      </w:r>
      <w:r w:rsidR="00641B4A" w:rsidRPr="00EF5A70">
        <w:t xml:space="preserve"> </w:t>
      </w:r>
      <w:r w:rsidR="00B97B4A">
        <w:t>0,71</w:t>
      </w:r>
      <w:r w:rsidR="00641B4A" w:rsidRPr="00EF5A70">
        <w:t xml:space="preserve"> p. b</w:t>
      </w:r>
      <w:r w:rsidR="00B31B71">
        <w:t>.</w:t>
      </w:r>
    </w:p>
    <w:p w14:paraId="407DA08B" w14:textId="762BF90A" w:rsidR="001955F2" w:rsidRDefault="001955F2" w:rsidP="00425ADB"/>
    <w:p w14:paraId="507A9302" w14:textId="1725C151" w:rsidR="00AF42B6" w:rsidRDefault="001955F2" w:rsidP="00425ADB">
      <w:r>
        <w:lastRenderedPageBreak/>
        <w:t xml:space="preserve">Ve druhém čtvrtletí 2020 </w:t>
      </w:r>
      <w:r w:rsidR="00D22EA9">
        <w:t>byl nárůst dluhu (376,1</w:t>
      </w:r>
      <w:r w:rsidR="00D22EA9" w:rsidRPr="00EF5A70">
        <w:t xml:space="preserve"> mld. Kč</w:t>
      </w:r>
      <w:r w:rsidR="00D22EA9">
        <w:t xml:space="preserve">) výrazně vyšší než deficit </w:t>
      </w:r>
      <w:r w:rsidR="003D468E">
        <w:t xml:space="preserve">hospodaření </w:t>
      </w:r>
      <w:r w:rsidR="00D22EA9">
        <w:t>(100,4 mld. Kč)</w:t>
      </w:r>
      <w:r w:rsidR="007F0C04">
        <w:t>.</w:t>
      </w:r>
      <w:r w:rsidR="00D22EA9">
        <w:t xml:space="preserve"> </w:t>
      </w:r>
      <w:r w:rsidR="000206EA">
        <w:t>V</w:t>
      </w:r>
      <w:r w:rsidR="00D22EA9">
        <w:t>ládní instituce si vypůjčily o 275,7 mld. Kč více</w:t>
      </w:r>
      <w:r w:rsidR="007E3701">
        <w:t>,</w:t>
      </w:r>
      <w:r w:rsidR="003D468E">
        <w:t xml:space="preserve"> než </w:t>
      </w:r>
      <w:r w:rsidR="000206EA">
        <w:t>byla jejich potřeba financování, což se projevilo nárůstem hodnoty</w:t>
      </w:r>
      <w:r w:rsidR="00747ECC">
        <w:t xml:space="preserve"> držených</w:t>
      </w:r>
      <w:r w:rsidR="000206EA">
        <w:t xml:space="preserve"> aktiv, zejména vkladů.</w:t>
      </w:r>
    </w:p>
    <w:p w14:paraId="471CC7E8" w14:textId="18FF54AE" w:rsidR="009336F8" w:rsidRPr="00417673" w:rsidRDefault="0040272A" w:rsidP="00425ADB">
      <w:pPr>
        <w:rPr>
          <w:highlight w:val="yellow"/>
        </w:rPr>
      </w:pPr>
      <w:r w:rsidRPr="00EF5A70">
        <w:t xml:space="preserve"> </w:t>
      </w:r>
    </w:p>
    <w:p w14:paraId="5CEBB18B" w14:textId="21D291BF" w:rsidR="00607E62" w:rsidRDefault="009336F8" w:rsidP="00D95B91">
      <w:r w:rsidRPr="0075058C">
        <w:t>Z hlediska jednotlivých komponent dluhu byl meziroční nárůst</w:t>
      </w:r>
      <w:r w:rsidR="00607E62">
        <w:t xml:space="preserve"> zaznamenán u všech hlavních složek. Obj</w:t>
      </w:r>
      <w:r w:rsidR="00747ECC">
        <w:t>em přijatých úvěrů vzrostl o 8,3 mld. Kč, vkladů o 4,9</w:t>
      </w:r>
      <w:r w:rsidR="00607E62">
        <w:t xml:space="preserve"> mld. Kč a emitovaných cenných papírů o 4</w:t>
      </w:r>
      <w:r w:rsidR="00747ECC">
        <w:t>33</w:t>
      </w:r>
      <w:r w:rsidR="00EF24E8">
        <w:t>,7 mld. Kč, které s podílem 92,6</w:t>
      </w:r>
      <w:r w:rsidR="00607E62">
        <w:t xml:space="preserve"> %</w:t>
      </w:r>
      <w:r w:rsidR="006C4DDE">
        <w:t xml:space="preserve"> </w:t>
      </w:r>
      <w:r w:rsidR="00607E62">
        <w:t>zůstávají hlavní komponentou dluhu.</w:t>
      </w:r>
      <w:r w:rsidR="008C6D93">
        <w:t xml:space="preserve"> V mezičtvrtletním srov</w:t>
      </w:r>
      <w:r w:rsidR="00EF24E8">
        <w:t xml:space="preserve">nání vzrostla hodnota </w:t>
      </w:r>
      <w:r w:rsidR="008C6D93">
        <w:t xml:space="preserve">emitovaných cenných papírů o </w:t>
      </w:r>
      <w:r w:rsidR="00EF24E8">
        <w:t>384,2</w:t>
      </w:r>
      <w:r w:rsidR="008C6D93">
        <w:t xml:space="preserve"> mld. Kč.</w:t>
      </w:r>
      <w:r w:rsidR="00EF24E8">
        <w:t>, zatímco hodnota přijatých úvěrů klesla o 8,2 mld. K</w:t>
      </w:r>
      <w:r w:rsidR="00105B76">
        <w:t>č.</w:t>
      </w:r>
    </w:p>
    <w:p w14:paraId="19EDA098" w14:textId="77777777" w:rsidR="00E6431E" w:rsidRPr="00270F84" w:rsidRDefault="00E6431E" w:rsidP="00A94B28"/>
    <w:p w14:paraId="4C369526" w14:textId="70F75884" w:rsidR="00A94B28" w:rsidRPr="00270F84" w:rsidRDefault="00A94B28" w:rsidP="00A94B28">
      <w:pPr>
        <w:pStyle w:val="TabulkaGraf"/>
      </w:pPr>
      <w:r w:rsidRPr="00270F84">
        <w:t xml:space="preserve">Dluh sektoru vládních institucí, </w:t>
      </w:r>
      <w:r w:rsidR="00B16834">
        <w:t>2</w:t>
      </w:r>
      <w:r w:rsidR="00B7752A" w:rsidRPr="00270F84">
        <w:t>.</w:t>
      </w:r>
      <w:r w:rsidR="00A60967" w:rsidRPr="00270F84">
        <w:t xml:space="preserve"> čtvrtletí</w:t>
      </w:r>
      <w:r w:rsidR="00B7752A" w:rsidRPr="00270F84">
        <w:t xml:space="preserve"> 201</w:t>
      </w:r>
      <w:r w:rsidR="008C6D93">
        <w:t>8</w:t>
      </w:r>
      <w:r w:rsidR="00B85D5E" w:rsidRPr="00270F84">
        <w:t xml:space="preserve"> </w:t>
      </w:r>
      <w:r w:rsidR="000A2AF1" w:rsidRPr="00270F84">
        <w:t xml:space="preserve">– </w:t>
      </w:r>
      <w:r w:rsidR="00B16834">
        <w:t>2</w:t>
      </w:r>
      <w:r w:rsidRPr="00270F84">
        <w:t>.</w:t>
      </w:r>
      <w:r w:rsidR="00A60967" w:rsidRPr="00270F84">
        <w:t xml:space="preserve"> čtvrtletí</w:t>
      </w:r>
      <w:r w:rsidR="00990C86" w:rsidRPr="00270F84">
        <w:t xml:space="preserve"> </w:t>
      </w:r>
      <w:r w:rsidR="008C6D93">
        <w:t>2020</w:t>
      </w:r>
    </w:p>
    <w:p w14:paraId="6504B9E7" w14:textId="073A98D0" w:rsidR="00DB5168" w:rsidRDefault="00B57F6E" w:rsidP="007D7C61">
      <w:r>
        <w:rPr>
          <w:noProof/>
          <w:lang w:eastAsia="cs-CZ"/>
        </w:rPr>
        <w:drawing>
          <wp:inline distT="0" distB="0" distL="0" distR="0" wp14:anchorId="6E0529EB" wp14:editId="50B17DB3">
            <wp:extent cx="5381625" cy="2743200"/>
            <wp:effectExtent l="0" t="0" r="9525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15CD0BA" w14:textId="77777777" w:rsidR="005A7C66" w:rsidRDefault="005A7C66" w:rsidP="007D7C61"/>
    <w:p w14:paraId="60C02212" w14:textId="4F51E4FB" w:rsidR="005A7C66" w:rsidRDefault="005A7C66" w:rsidP="005A7C66">
      <w:r w:rsidRPr="0004366C">
        <w:t>Saldo hospodaření vládních institucí po očištění o sezónní a kalendářní vlivy skončilo v </w:t>
      </w:r>
      <w:r w:rsidR="0004366C" w:rsidRPr="0004366C">
        <w:t xml:space="preserve">deficitu </w:t>
      </w:r>
      <w:r w:rsidR="00112FC7">
        <w:t>83,2</w:t>
      </w:r>
      <w:r w:rsidR="0004366C" w:rsidRPr="0004366C">
        <w:t xml:space="preserve"> mld. Kč, který odpovídal </w:t>
      </w:r>
      <w:r w:rsidR="00112FC7">
        <w:t>6,26</w:t>
      </w:r>
      <w:r w:rsidRPr="0004366C">
        <w:t xml:space="preserve"> % HDP. </w:t>
      </w:r>
      <w:proofErr w:type="spellStart"/>
      <w:r w:rsidRPr="0004366C">
        <w:t>Mezičtvrtletně</w:t>
      </w:r>
      <w:proofErr w:type="spellEnd"/>
      <w:r w:rsidRPr="0004366C">
        <w:t xml:space="preserve"> klesl</w:t>
      </w:r>
      <w:r w:rsidR="00823594">
        <w:t>o očištěné</w:t>
      </w:r>
      <w:r w:rsidRPr="0004366C">
        <w:t xml:space="preserve"> </w:t>
      </w:r>
      <w:r w:rsidR="00823594">
        <w:t>saldo</w:t>
      </w:r>
      <w:r w:rsidRPr="0004366C">
        <w:t xml:space="preserve"> hospodaření o </w:t>
      </w:r>
      <w:r w:rsidR="00A73743">
        <w:t>43,3</w:t>
      </w:r>
      <w:r w:rsidR="00CF138C">
        <w:t> </w:t>
      </w:r>
      <w:r w:rsidRPr="0004366C">
        <w:t>mld. Kč. Vývoj salda hospodaření vládních institucí očištěného o sezónní a kalendářní vlivy ilustruje následující graf.</w:t>
      </w:r>
    </w:p>
    <w:p w14:paraId="45E7F6B7" w14:textId="77777777" w:rsidR="005A7C66" w:rsidRDefault="005A7C66" w:rsidP="005A7C66"/>
    <w:p w14:paraId="6EF0982E" w14:textId="4B791B0D" w:rsidR="005A7C66" w:rsidRPr="00706DBC" w:rsidRDefault="005A7C66" w:rsidP="005A7C66">
      <w:pPr>
        <w:pStyle w:val="TabulkaGraf"/>
        <w:keepNext/>
      </w:pPr>
      <w:r>
        <w:lastRenderedPageBreak/>
        <w:t>Sezónně očištěné saldo hospodaření</w:t>
      </w:r>
      <w:r w:rsidRPr="00706DBC">
        <w:t xml:space="preserve"> vládních institucí, </w:t>
      </w:r>
      <w:r w:rsidR="00112FC7">
        <w:t>2</w:t>
      </w:r>
      <w:r w:rsidR="00DE6A49">
        <w:t>. čtvrtletí 2018</w:t>
      </w:r>
      <w:r w:rsidRPr="00706DBC">
        <w:t xml:space="preserve"> – </w:t>
      </w:r>
      <w:r w:rsidR="00112FC7">
        <w:t>2</w:t>
      </w:r>
      <w:r w:rsidR="00DE6A49">
        <w:t>. čtvrtletí 2020</w:t>
      </w:r>
    </w:p>
    <w:p w14:paraId="1F0B046A" w14:textId="6799DF31" w:rsidR="005A7C66" w:rsidRDefault="00A73743" w:rsidP="005A7C66">
      <w:r>
        <w:rPr>
          <w:noProof/>
          <w:lang w:eastAsia="cs-CZ"/>
        </w:rPr>
        <w:drawing>
          <wp:inline distT="0" distB="0" distL="0" distR="0" wp14:anchorId="15145AB5" wp14:editId="2A478207">
            <wp:extent cx="5400040" cy="1946275"/>
            <wp:effectExtent l="0" t="0" r="10160" b="15875"/>
            <wp:docPr id="12" name="Graf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0EBA35D" w14:textId="6B7D3531" w:rsidR="00A66EAC" w:rsidRDefault="00A66EAC" w:rsidP="005A7C66"/>
    <w:p w14:paraId="3D6E8B4B" w14:textId="78F41F28" w:rsidR="00A66EAC" w:rsidRDefault="00A66EAC" w:rsidP="005A7C66">
      <w:r>
        <w:t xml:space="preserve">V důsledku epidemiologické situace v souvislosti s šířením nemoci COVID-19 byla </w:t>
      </w:r>
      <w:r w:rsidR="004F4372">
        <w:t xml:space="preserve">ve 2. čtvrtletí 2020 </w:t>
      </w:r>
      <w:r>
        <w:t>přijata mimořádná vládní opatření, jejichž v</w:t>
      </w:r>
      <w:bookmarkStart w:id="0" w:name="_GoBack"/>
      <w:bookmarkEnd w:id="0"/>
      <w:r>
        <w:t>liv na vládní finanční statistiku je popsán v </w:t>
      </w:r>
      <w:hyperlink r:id="rId10" w:history="1">
        <w:r w:rsidRPr="00F768F5">
          <w:rPr>
            <w:rStyle w:val="Hypertextovodkaz"/>
          </w:rPr>
          <w:t>metodické poznámce</w:t>
        </w:r>
      </w:hyperlink>
      <w:r>
        <w:t>.</w:t>
      </w:r>
    </w:p>
    <w:p w14:paraId="365F29DE" w14:textId="77777777" w:rsidR="005A7C66" w:rsidRPr="004920AD" w:rsidRDefault="005A7C66" w:rsidP="005A7C66">
      <w:pPr>
        <w:pStyle w:val="Poznmky0"/>
      </w:pPr>
      <w:r>
        <w:t>Poznámky:</w:t>
      </w:r>
    </w:p>
    <w:p w14:paraId="7BD5F612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>Kvantifikace fiskálních ukazatelů je založena na metodice Evropského systému národních účtů (ESA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</w:t>
      </w:r>
      <w:r>
        <w:rPr>
          <w:i/>
          <w:sz w:val="18"/>
          <w:szCs w:val="18"/>
        </w:rPr>
        <w:t>statistiky nadměrného dluhu (</w:t>
      </w:r>
      <w:r w:rsidRPr="002C1411">
        <w:rPr>
          <w:i/>
          <w:sz w:val="18"/>
          <w:szCs w:val="18"/>
        </w:rPr>
        <w:t>EDP</w:t>
      </w:r>
      <w:r w:rsidRPr="00130DF5">
        <w:rPr>
          <w:i/>
          <w:sz w:val="18"/>
          <w:szCs w:val="18"/>
          <w:lang w:val="en-GB"/>
        </w:rPr>
        <w:t>, excessive deficit procedure</w:t>
      </w:r>
      <w:r>
        <w:rPr>
          <w:i/>
          <w:sz w:val="18"/>
          <w:szCs w:val="18"/>
        </w:rPr>
        <w:t>)</w:t>
      </w:r>
      <w:r w:rsidRPr="002C1411">
        <w:rPr>
          <w:i/>
          <w:sz w:val="18"/>
          <w:szCs w:val="18"/>
        </w:rPr>
        <w:t xml:space="preserve"> a pro hodnocení plnění maastrichtských konvergenčních kritérií.  </w:t>
      </w:r>
    </w:p>
    <w:p w14:paraId="5A4E1B3B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17788AB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</w:t>
      </w:r>
      <w:r>
        <w:rPr>
          <w:rFonts w:cs="Arial"/>
          <w:i/>
          <w:sz w:val="18"/>
          <w:szCs w:val="18"/>
        </w:rPr>
        <w:t>tých půjček (+) nebo výpůjček (−</w:t>
      </w:r>
      <w:r w:rsidRPr="00CF2071">
        <w:rPr>
          <w:rFonts w:cs="Arial"/>
          <w:i/>
          <w:sz w:val="18"/>
          <w:szCs w:val="18"/>
        </w:rPr>
        <w:t>) v systému národního účetnictví. Ukazatel vyjadřuje schopnost sektoru v daném období financovat (+) jiné sektory ekonomiky nebo potřebu tohoto sektoru být</w:t>
      </w:r>
      <w:r>
        <w:rPr>
          <w:rFonts w:cs="Arial"/>
          <w:i/>
          <w:sz w:val="18"/>
          <w:szCs w:val="18"/>
        </w:rPr>
        <w:t xml:space="preserve"> ostatními sektory financován (−</w:t>
      </w:r>
      <w:r w:rsidRPr="00CF2071">
        <w:rPr>
          <w:rFonts w:cs="Arial"/>
          <w:i/>
          <w:sz w:val="18"/>
          <w:szCs w:val="18"/>
        </w:rPr>
        <w:t>).</w:t>
      </w:r>
    </w:p>
    <w:p w14:paraId="61C2C09E" w14:textId="77777777" w:rsidR="005A7C66" w:rsidRPr="002009DA" w:rsidRDefault="005A7C66" w:rsidP="005A7C66">
      <w:pPr>
        <w:rPr>
          <w:rFonts w:cs="Arial"/>
          <w:i/>
          <w:sz w:val="18"/>
          <w:szCs w:val="18"/>
        </w:rPr>
      </w:pPr>
    </w:p>
    <w:p w14:paraId="07644598" w14:textId="77777777" w:rsidR="005A7C66" w:rsidRPr="002C1411" w:rsidRDefault="005A7C66" w:rsidP="005A7C66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</w:t>
      </w:r>
      <w:r>
        <w:rPr>
          <w:rFonts w:cs="Arial"/>
          <w:i/>
          <w:sz w:val="18"/>
          <w:szCs w:val="18"/>
        </w:rPr>
        <w:t> </w:t>
      </w:r>
      <w:r w:rsidRPr="002C1411">
        <w:rPr>
          <w:rFonts w:cs="Arial"/>
          <w:i/>
          <w:sz w:val="18"/>
          <w:szCs w:val="18"/>
        </w:rPr>
        <w:t xml:space="preserve">přijatých vkladů, emitovaných dluhových cenných papírů a přijatých půjček. U </w:t>
      </w:r>
      <w:proofErr w:type="spellStart"/>
      <w:r w:rsidRPr="002C1411">
        <w:rPr>
          <w:rFonts w:cs="Arial"/>
          <w:i/>
          <w:sz w:val="18"/>
          <w:szCs w:val="18"/>
        </w:rPr>
        <w:t>cizoměnových</w:t>
      </w:r>
      <w:proofErr w:type="spellEnd"/>
      <w:r w:rsidRPr="002C1411">
        <w:rPr>
          <w:rFonts w:cs="Arial"/>
          <w:i/>
          <w:sz w:val="18"/>
          <w:szCs w:val="18"/>
        </w:rPr>
        <w:t xml:space="preserve"> dluhových nástrojů zajištěných proti měnovému riziku je ocenění provedeno na bázi smluvního kurzu.</w:t>
      </w:r>
    </w:p>
    <w:p w14:paraId="2CCE8F25" w14:textId="77777777" w:rsidR="005A7C66" w:rsidRPr="002C1411" w:rsidRDefault="005A7C66" w:rsidP="005A7C66">
      <w:pPr>
        <w:rPr>
          <w:i/>
          <w:sz w:val="18"/>
          <w:szCs w:val="18"/>
        </w:rPr>
      </w:pPr>
    </w:p>
    <w:p w14:paraId="0B563764" w14:textId="77777777" w:rsidR="005A7C66" w:rsidRPr="002C1411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v daném čtvrtletí v běžných cenách. Výše konsolidovaného dluhu vládních institucí je porovnána se součtem </w:t>
      </w:r>
      <w:r>
        <w:rPr>
          <w:i/>
          <w:sz w:val="18"/>
          <w:szCs w:val="18"/>
        </w:rPr>
        <w:t xml:space="preserve">posledních čtyř čtvrtletních </w:t>
      </w:r>
      <w:r w:rsidRPr="002C1411">
        <w:rPr>
          <w:i/>
          <w:sz w:val="18"/>
          <w:szCs w:val="18"/>
        </w:rPr>
        <w:t>HDP v běžných cenách</w:t>
      </w:r>
      <w:r>
        <w:rPr>
          <w:i/>
          <w:sz w:val="18"/>
          <w:szCs w:val="18"/>
        </w:rPr>
        <w:t>.</w:t>
      </w:r>
      <w:r w:rsidRPr="002C1411">
        <w:rPr>
          <w:i/>
          <w:sz w:val="18"/>
          <w:szCs w:val="18"/>
        </w:rPr>
        <w:t xml:space="preserve"> Údaje o saldu hospodaření a dluhu vládních institucí jsou součástí tabulek Transmisního programu (tabulka 25 a</w:t>
      </w:r>
      <w:r>
        <w:rPr>
          <w:i/>
          <w:sz w:val="18"/>
          <w:szCs w:val="18"/>
        </w:rPr>
        <w:t> </w:t>
      </w:r>
      <w:r w:rsidRPr="002C1411">
        <w:rPr>
          <w:i/>
          <w:sz w:val="18"/>
          <w:szCs w:val="18"/>
        </w:rPr>
        <w:t>tabulka 28) publikovaných na stránkách ČSÚ v sekci „HDP, Národní účty“.</w:t>
      </w:r>
    </w:p>
    <w:p w14:paraId="0597AC9B" w14:textId="77777777" w:rsidR="005A7C66" w:rsidRDefault="005A7C66" w:rsidP="005A7C66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11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14:paraId="26C56F68" w14:textId="77777777" w:rsidR="005A7C66" w:rsidRDefault="005A7C66" w:rsidP="005A7C66">
      <w:pPr>
        <w:rPr>
          <w:i/>
          <w:sz w:val="18"/>
          <w:szCs w:val="18"/>
        </w:rPr>
      </w:pPr>
    </w:p>
    <w:p w14:paraId="7F4FABFD" w14:textId="77777777" w:rsidR="005A7C66" w:rsidRPr="002C1411" w:rsidRDefault="005A7C66" w:rsidP="005A7C66">
      <w:pPr>
        <w:rPr>
          <w:i/>
          <w:sz w:val="18"/>
          <w:szCs w:val="18"/>
        </w:rPr>
      </w:pPr>
      <w:r>
        <w:rPr>
          <w:i/>
          <w:sz w:val="18"/>
          <w:szCs w:val="18"/>
        </w:rPr>
        <w:t>Pokud není uvedeno jinak, data nejsou očištěna o sezónní a kalendářní vlivy.</w:t>
      </w:r>
    </w:p>
    <w:p w14:paraId="2E86067E" w14:textId="77777777" w:rsidR="007674A6" w:rsidRPr="002C1411" w:rsidRDefault="007674A6" w:rsidP="007674A6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1"/>
        <w:gridCol w:w="5193"/>
      </w:tblGrid>
      <w:tr w:rsidR="007674A6" w14:paraId="61621A11" w14:textId="77777777" w:rsidTr="00242A34">
        <w:tc>
          <w:tcPr>
            <w:tcW w:w="3369" w:type="dxa"/>
          </w:tcPr>
          <w:p w14:paraId="66B3D3BB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14:paraId="1BCEA379" w14:textId="77777777" w:rsidR="007674A6" w:rsidRDefault="007674A6" w:rsidP="005A7C66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</w:t>
            </w:r>
            <w:r w:rsidR="00F20640">
              <w:rPr>
                <w:i/>
                <w:iCs/>
                <w:sz w:val="18"/>
                <w:szCs w:val="18"/>
              </w:rPr>
              <w:t>Petr Musil</w:t>
            </w:r>
            <w:r w:rsidRPr="002C1411">
              <w:rPr>
                <w:i/>
                <w:iCs/>
                <w:sz w:val="18"/>
                <w:szCs w:val="18"/>
              </w:rPr>
              <w:t>, Ph.D.,</w:t>
            </w:r>
            <w:r w:rsidR="00982CA8">
              <w:rPr>
                <w:i/>
                <w:iCs/>
                <w:sz w:val="18"/>
                <w:szCs w:val="18"/>
              </w:rPr>
              <w:t xml:space="preserve"> ředitel </w:t>
            </w:r>
            <w:r w:rsidR="00F20640">
              <w:rPr>
                <w:i/>
                <w:iCs/>
                <w:sz w:val="18"/>
                <w:szCs w:val="18"/>
              </w:rPr>
              <w:t>odboru vládních a finančních účtů</w:t>
            </w:r>
            <w:r w:rsidR="00982CA8">
              <w:rPr>
                <w:i/>
                <w:iCs/>
                <w:sz w:val="18"/>
                <w:szCs w:val="18"/>
              </w:rPr>
              <w:t>,</w:t>
            </w:r>
            <w:r w:rsidR="00F20640">
              <w:rPr>
                <w:i/>
                <w:iCs/>
                <w:sz w:val="18"/>
                <w:szCs w:val="18"/>
              </w:rPr>
              <w:t xml:space="preserve"> tel.: </w:t>
            </w:r>
            <w:r w:rsidR="005A7C66">
              <w:rPr>
                <w:i/>
                <w:iCs/>
                <w:sz w:val="18"/>
                <w:szCs w:val="18"/>
              </w:rPr>
              <w:t>734352286</w:t>
            </w:r>
            <w:r w:rsidRPr="002C1411">
              <w:rPr>
                <w:i/>
                <w:iCs/>
                <w:sz w:val="18"/>
                <w:szCs w:val="18"/>
              </w:rPr>
              <w:t xml:space="preserve">, e-mail: </w:t>
            </w:r>
            <w:hyperlink r:id="rId12" w:history="1">
              <w:r w:rsidR="00242A34" w:rsidRPr="00A35827">
                <w:rPr>
                  <w:rStyle w:val="Hypertextovodkaz"/>
                  <w:sz w:val="18"/>
                </w:rPr>
                <w:t>petr.musil@czso.cz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228C36AC" w14:textId="77777777" w:rsidTr="00242A34">
        <w:tc>
          <w:tcPr>
            <w:tcW w:w="3369" w:type="dxa"/>
          </w:tcPr>
          <w:p w14:paraId="0B8EF876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14:paraId="06DE8B21" w14:textId="77777777" w:rsidR="007674A6" w:rsidRDefault="007674A6" w:rsidP="00C1677B">
            <w:pPr>
              <w:jc w:val="left"/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Ing. Jaroslav Kahoun, </w:t>
            </w:r>
            <w:r w:rsidR="00982CA8">
              <w:rPr>
                <w:i/>
                <w:iCs/>
                <w:sz w:val="18"/>
                <w:szCs w:val="18"/>
              </w:rPr>
              <w:t xml:space="preserve">vedoucí oddělení vládních účtů, </w:t>
            </w:r>
            <w:r w:rsidRPr="002C1411">
              <w:rPr>
                <w:i/>
                <w:iCs/>
                <w:sz w:val="18"/>
                <w:szCs w:val="18"/>
              </w:rPr>
              <w:t xml:space="preserve">tel.: 274054232, e-mail: </w:t>
            </w:r>
            <w:hyperlink r:id="rId13" w:history="1">
              <w:r w:rsidRPr="003339DD">
                <w:rPr>
                  <w:rStyle w:val="Hypertextovodkaz"/>
                  <w:sz w:val="18"/>
                </w:rPr>
                <w:t>jaroslav.kahoun@czso.cz</w:t>
              </w:r>
            </w:hyperlink>
            <w:r>
              <w:rPr>
                <w:sz w:val="18"/>
              </w:rPr>
              <w:t xml:space="preserve"> </w:t>
            </w:r>
          </w:p>
        </w:tc>
      </w:tr>
      <w:tr w:rsidR="007674A6" w14:paraId="42EC0B32" w14:textId="77777777" w:rsidTr="00242A34">
        <w:tc>
          <w:tcPr>
            <w:tcW w:w="3369" w:type="dxa"/>
          </w:tcPr>
          <w:p w14:paraId="781A3B79" w14:textId="77777777" w:rsidR="007674A6" w:rsidRDefault="007674A6" w:rsidP="00242A34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Termín zveřejnění další RI:</w:t>
            </w:r>
          </w:p>
        </w:tc>
        <w:tc>
          <w:tcPr>
            <w:tcW w:w="5275" w:type="dxa"/>
          </w:tcPr>
          <w:p w14:paraId="21688CBE" w14:textId="7462A0E5" w:rsidR="007674A6" w:rsidRPr="007F7CB9" w:rsidRDefault="001559C0" w:rsidP="001559C0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  <w:r w:rsidR="005A7C66">
              <w:rPr>
                <w:i/>
                <w:iCs/>
                <w:sz w:val="18"/>
                <w:szCs w:val="18"/>
              </w:rPr>
              <w:t>1</w:t>
            </w:r>
            <w:r w:rsidR="007674A6" w:rsidRPr="007F7CB9">
              <w:rPr>
                <w:i/>
                <w:iCs/>
                <w:sz w:val="18"/>
                <w:szCs w:val="18"/>
              </w:rPr>
              <w:t xml:space="preserve">. </w:t>
            </w:r>
            <w:r w:rsidR="00170F69">
              <w:rPr>
                <w:i/>
                <w:iCs/>
                <w:sz w:val="18"/>
                <w:szCs w:val="18"/>
              </w:rPr>
              <w:t>1</w:t>
            </w:r>
            <w:r w:rsidR="00760DE0">
              <w:rPr>
                <w:i/>
                <w:iCs/>
                <w:sz w:val="18"/>
                <w:szCs w:val="18"/>
              </w:rPr>
              <w:t>. 20</w:t>
            </w:r>
            <w:r w:rsidR="005A7C66">
              <w:rPr>
                <w:i/>
                <w:iCs/>
                <w:sz w:val="18"/>
                <w:szCs w:val="18"/>
              </w:rPr>
              <w:t>2</w:t>
            </w:r>
            <w:r>
              <w:rPr>
                <w:i/>
                <w:iCs/>
                <w:sz w:val="18"/>
                <w:szCs w:val="18"/>
              </w:rPr>
              <w:t>1</w:t>
            </w:r>
          </w:p>
        </w:tc>
      </w:tr>
    </w:tbl>
    <w:p w14:paraId="7CD49D6F" w14:textId="77777777" w:rsidR="007674A6" w:rsidRDefault="007674A6" w:rsidP="007674A6">
      <w:pPr>
        <w:rPr>
          <w:i/>
          <w:iCs/>
          <w:sz w:val="18"/>
          <w:szCs w:val="18"/>
        </w:rPr>
      </w:pPr>
    </w:p>
    <w:p w14:paraId="03A8AD7B" w14:textId="77777777" w:rsidR="00EA2DE9" w:rsidRPr="00EA2DE9" w:rsidRDefault="00EA2DE9" w:rsidP="00EA2DE9"/>
    <w:sectPr w:rsidR="00EA2DE9" w:rsidRPr="00EA2DE9" w:rsidSect="00A60967">
      <w:headerReference w:type="default" r:id="rId14"/>
      <w:footerReference w:type="default" r:id="rId15"/>
      <w:pgSz w:w="11907" w:h="16839" w:code="9"/>
      <w:pgMar w:top="2802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D4C4F" w14:textId="77777777" w:rsidR="00B21FCC" w:rsidRDefault="00B21FCC" w:rsidP="00BA6370">
      <w:r>
        <w:separator/>
      </w:r>
    </w:p>
  </w:endnote>
  <w:endnote w:type="continuationSeparator" w:id="0">
    <w:p w14:paraId="5859633F" w14:textId="77777777" w:rsidR="00B21FCC" w:rsidRDefault="00B21FC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AF7F" w14:textId="77777777" w:rsidR="00D77FB9" w:rsidRDefault="00D77FB9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7445A1" wp14:editId="629FF78B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B05EB6" w14:textId="77777777" w:rsidR="00D77FB9" w:rsidRPr="001404AB" w:rsidRDefault="00D77FB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282E40DD" w14:textId="7562656B" w:rsidR="00D77FB9" w:rsidRPr="00A81EB3" w:rsidRDefault="00D77FB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begin"/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instrText xml:space="preserve"> PAGE   \* MERGEFORMAT </w:instrTex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separate"/>
                          </w:r>
                          <w:r w:rsidR="00F768F5">
                            <w:rPr>
                              <w:rFonts w:cs="Arial"/>
                              <w:noProof/>
                              <w:sz w:val="18"/>
                              <w:szCs w:val="15"/>
                            </w:rPr>
                            <w:t>2</w:t>
                          </w:r>
                          <w:r w:rsidRPr="00C1677B">
                            <w:rPr>
                              <w:rFonts w:cs="Arial"/>
                              <w:sz w:val="18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5A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14:paraId="2BB05EB6" w14:textId="77777777" w:rsidR="00D77FB9" w:rsidRPr="001404AB" w:rsidRDefault="00D77FB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282E40DD" w14:textId="7562656B" w:rsidR="00D77FB9" w:rsidRPr="00A81EB3" w:rsidRDefault="00D77FB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begin"/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instrText xml:space="preserve"> PAGE   \* MERGEFORMAT </w:instrTex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separate"/>
                    </w:r>
                    <w:r w:rsidR="00F768F5">
                      <w:rPr>
                        <w:rFonts w:cs="Arial"/>
                        <w:noProof/>
                        <w:sz w:val="18"/>
                        <w:szCs w:val="15"/>
                      </w:rPr>
                      <w:t>2</w:t>
                    </w:r>
                    <w:r w:rsidRPr="00C1677B">
                      <w:rPr>
                        <w:rFonts w:cs="Arial"/>
                        <w:sz w:val="18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DE88955" wp14:editId="4CE942B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6C4D6AA4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7ED20" w14:textId="77777777" w:rsidR="00B21FCC" w:rsidRDefault="00B21FCC" w:rsidP="00BA6370">
      <w:r>
        <w:separator/>
      </w:r>
    </w:p>
  </w:footnote>
  <w:footnote w:type="continuationSeparator" w:id="0">
    <w:p w14:paraId="6DEA0A51" w14:textId="77777777" w:rsidR="00B21FCC" w:rsidRDefault="00B21FC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7063C" w14:textId="77777777" w:rsidR="00D77FB9" w:rsidRDefault="00D77FB9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B0703E1" wp14:editId="472CA9A0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685C1FF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7D57"/>
    <w:multiLevelType w:val="hybridMultilevel"/>
    <w:tmpl w:val="17F43044"/>
    <w:lvl w:ilvl="0" w:tplc="D45A3CA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76"/>
    <w:rsid w:val="00006D9A"/>
    <w:rsid w:val="000078FA"/>
    <w:rsid w:val="000206EA"/>
    <w:rsid w:val="00022194"/>
    <w:rsid w:val="00024DDA"/>
    <w:rsid w:val="00031874"/>
    <w:rsid w:val="00031E89"/>
    <w:rsid w:val="0004366C"/>
    <w:rsid w:val="00043BF4"/>
    <w:rsid w:val="0005106B"/>
    <w:rsid w:val="00053474"/>
    <w:rsid w:val="00060E33"/>
    <w:rsid w:val="00064701"/>
    <w:rsid w:val="000843A5"/>
    <w:rsid w:val="00090EA1"/>
    <w:rsid w:val="000910DA"/>
    <w:rsid w:val="000933DC"/>
    <w:rsid w:val="00096D6C"/>
    <w:rsid w:val="000A18CB"/>
    <w:rsid w:val="000A2AF1"/>
    <w:rsid w:val="000A5146"/>
    <w:rsid w:val="000B2CAC"/>
    <w:rsid w:val="000B6F63"/>
    <w:rsid w:val="000C2F30"/>
    <w:rsid w:val="000D093F"/>
    <w:rsid w:val="000D3CE2"/>
    <w:rsid w:val="000E2FF8"/>
    <w:rsid w:val="000E43CC"/>
    <w:rsid w:val="000F5D76"/>
    <w:rsid w:val="00105B76"/>
    <w:rsid w:val="00112FC7"/>
    <w:rsid w:val="00113C55"/>
    <w:rsid w:val="00115EAD"/>
    <w:rsid w:val="00130DF5"/>
    <w:rsid w:val="00136D80"/>
    <w:rsid w:val="001373DB"/>
    <w:rsid w:val="001404AB"/>
    <w:rsid w:val="00143CB1"/>
    <w:rsid w:val="00150F5D"/>
    <w:rsid w:val="00151F49"/>
    <w:rsid w:val="0015543C"/>
    <w:rsid w:val="001557F3"/>
    <w:rsid w:val="001559C0"/>
    <w:rsid w:val="00156857"/>
    <w:rsid w:val="001570D9"/>
    <w:rsid w:val="00157705"/>
    <w:rsid w:val="001614B5"/>
    <w:rsid w:val="00164ABA"/>
    <w:rsid w:val="00167288"/>
    <w:rsid w:val="00170F69"/>
    <w:rsid w:val="00171765"/>
    <w:rsid w:val="00171CC7"/>
    <w:rsid w:val="0017231D"/>
    <w:rsid w:val="001810DC"/>
    <w:rsid w:val="00194EA9"/>
    <w:rsid w:val="001955F2"/>
    <w:rsid w:val="001B13D2"/>
    <w:rsid w:val="001B1F6A"/>
    <w:rsid w:val="001B607F"/>
    <w:rsid w:val="001B7272"/>
    <w:rsid w:val="001C30B0"/>
    <w:rsid w:val="001D0297"/>
    <w:rsid w:val="001D1A8D"/>
    <w:rsid w:val="001D291B"/>
    <w:rsid w:val="001D369A"/>
    <w:rsid w:val="001D7AFB"/>
    <w:rsid w:val="001F08B3"/>
    <w:rsid w:val="001F2FE0"/>
    <w:rsid w:val="00200854"/>
    <w:rsid w:val="00201FAF"/>
    <w:rsid w:val="002070FB"/>
    <w:rsid w:val="00210C77"/>
    <w:rsid w:val="00213729"/>
    <w:rsid w:val="00233976"/>
    <w:rsid w:val="002406FA"/>
    <w:rsid w:val="002419EE"/>
    <w:rsid w:val="00242A34"/>
    <w:rsid w:val="00255BC3"/>
    <w:rsid w:val="0026107B"/>
    <w:rsid w:val="00264DAF"/>
    <w:rsid w:val="00270F84"/>
    <w:rsid w:val="00271561"/>
    <w:rsid w:val="002733DB"/>
    <w:rsid w:val="00275EEB"/>
    <w:rsid w:val="002773CD"/>
    <w:rsid w:val="002819BE"/>
    <w:rsid w:val="00281B97"/>
    <w:rsid w:val="00292BC3"/>
    <w:rsid w:val="00295A12"/>
    <w:rsid w:val="002A56D6"/>
    <w:rsid w:val="002A6B48"/>
    <w:rsid w:val="002A77F8"/>
    <w:rsid w:val="002B2E47"/>
    <w:rsid w:val="002C48E6"/>
    <w:rsid w:val="002C529C"/>
    <w:rsid w:val="002D06AA"/>
    <w:rsid w:val="002E1D66"/>
    <w:rsid w:val="002E510B"/>
    <w:rsid w:val="002E7C61"/>
    <w:rsid w:val="002F219C"/>
    <w:rsid w:val="00304176"/>
    <w:rsid w:val="00312263"/>
    <w:rsid w:val="00322825"/>
    <w:rsid w:val="00323131"/>
    <w:rsid w:val="003301A3"/>
    <w:rsid w:val="00345AA2"/>
    <w:rsid w:val="00351CA8"/>
    <w:rsid w:val="00353636"/>
    <w:rsid w:val="0035564A"/>
    <w:rsid w:val="00357199"/>
    <w:rsid w:val="003577F6"/>
    <w:rsid w:val="0036141C"/>
    <w:rsid w:val="0036612E"/>
    <w:rsid w:val="0036777B"/>
    <w:rsid w:val="003718C5"/>
    <w:rsid w:val="0037782A"/>
    <w:rsid w:val="0038282A"/>
    <w:rsid w:val="00382E56"/>
    <w:rsid w:val="00390BDA"/>
    <w:rsid w:val="0039376F"/>
    <w:rsid w:val="00394CD0"/>
    <w:rsid w:val="00395349"/>
    <w:rsid w:val="003964A5"/>
    <w:rsid w:val="00397580"/>
    <w:rsid w:val="003A45C8"/>
    <w:rsid w:val="003B416A"/>
    <w:rsid w:val="003C039E"/>
    <w:rsid w:val="003C2DCF"/>
    <w:rsid w:val="003C7864"/>
    <w:rsid w:val="003C7FE7"/>
    <w:rsid w:val="003D0499"/>
    <w:rsid w:val="003D3576"/>
    <w:rsid w:val="003D468E"/>
    <w:rsid w:val="003F4BD3"/>
    <w:rsid w:val="003F526A"/>
    <w:rsid w:val="003F5AA6"/>
    <w:rsid w:val="003F5DB2"/>
    <w:rsid w:val="004011F6"/>
    <w:rsid w:val="0040272A"/>
    <w:rsid w:val="00405244"/>
    <w:rsid w:val="004060DD"/>
    <w:rsid w:val="004060E2"/>
    <w:rsid w:val="00407901"/>
    <w:rsid w:val="004154C7"/>
    <w:rsid w:val="00417673"/>
    <w:rsid w:val="00423779"/>
    <w:rsid w:val="00425ADB"/>
    <w:rsid w:val="00425F10"/>
    <w:rsid w:val="00432C93"/>
    <w:rsid w:val="00441019"/>
    <w:rsid w:val="004436EE"/>
    <w:rsid w:val="00447B75"/>
    <w:rsid w:val="0045547F"/>
    <w:rsid w:val="00471DEF"/>
    <w:rsid w:val="00474243"/>
    <w:rsid w:val="00474A48"/>
    <w:rsid w:val="004920AD"/>
    <w:rsid w:val="004A0F29"/>
    <w:rsid w:val="004A1435"/>
    <w:rsid w:val="004A2FD5"/>
    <w:rsid w:val="004A5D0D"/>
    <w:rsid w:val="004D05B3"/>
    <w:rsid w:val="004D07BE"/>
    <w:rsid w:val="004D3C79"/>
    <w:rsid w:val="004D3FBC"/>
    <w:rsid w:val="004D7CFA"/>
    <w:rsid w:val="004E479E"/>
    <w:rsid w:val="004E785E"/>
    <w:rsid w:val="004F4372"/>
    <w:rsid w:val="004F686C"/>
    <w:rsid w:val="004F78E6"/>
    <w:rsid w:val="0050191A"/>
    <w:rsid w:val="0050420E"/>
    <w:rsid w:val="00506867"/>
    <w:rsid w:val="00511B4C"/>
    <w:rsid w:val="00512D99"/>
    <w:rsid w:val="00514205"/>
    <w:rsid w:val="00526E0E"/>
    <w:rsid w:val="00531DBB"/>
    <w:rsid w:val="00542EBD"/>
    <w:rsid w:val="00545931"/>
    <w:rsid w:val="00546A7F"/>
    <w:rsid w:val="005543FD"/>
    <w:rsid w:val="00560372"/>
    <w:rsid w:val="005652F3"/>
    <w:rsid w:val="00566757"/>
    <w:rsid w:val="00573994"/>
    <w:rsid w:val="0057429D"/>
    <w:rsid w:val="005A4B9C"/>
    <w:rsid w:val="005A5773"/>
    <w:rsid w:val="005A7C66"/>
    <w:rsid w:val="005B0489"/>
    <w:rsid w:val="005B2684"/>
    <w:rsid w:val="005D0C9E"/>
    <w:rsid w:val="005E1A31"/>
    <w:rsid w:val="005F0EFC"/>
    <w:rsid w:val="005F79FB"/>
    <w:rsid w:val="00601F81"/>
    <w:rsid w:val="00604406"/>
    <w:rsid w:val="00604C56"/>
    <w:rsid w:val="00605F4A"/>
    <w:rsid w:val="00607822"/>
    <w:rsid w:val="00607E62"/>
    <w:rsid w:val="006101BB"/>
    <w:rsid w:val="006103AA"/>
    <w:rsid w:val="00613BBF"/>
    <w:rsid w:val="006179B0"/>
    <w:rsid w:val="00622B80"/>
    <w:rsid w:val="0062459A"/>
    <w:rsid w:val="0062466F"/>
    <w:rsid w:val="00627388"/>
    <w:rsid w:val="00635BB1"/>
    <w:rsid w:val="0064139A"/>
    <w:rsid w:val="00641B4A"/>
    <w:rsid w:val="00642760"/>
    <w:rsid w:val="0064756E"/>
    <w:rsid w:val="00660D90"/>
    <w:rsid w:val="00667BEA"/>
    <w:rsid w:val="00667CB5"/>
    <w:rsid w:val="00672348"/>
    <w:rsid w:val="00681501"/>
    <w:rsid w:val="00681750"/>
    <w:rsid w:val="006931CF"/>
    <w:rsid w:val="00696FCF"/>
    <w:rsid w:val="006A1F09"/>
    <w:rsid w:val="006A28A6"/>
    <w:rsid w:val="006A7EAB"/>
    <w:rsid w:val="006C4DDE"/>
    <w:rsid w:val="006D2075"/>
    <w:rsid w:val="006D6BFF"/>
    <w:rsid w:val="006E024F"/>
    <w:rsid w:val="006E4E81"/>
    <w:rsid w:val="006E5508"/>
    <w:rsid w:val="006F2D3A"/>
    <w:rsid w:val="00705916"/>
    <w:rsid w:val="0070617B"/>
    <w:rsid w:val="00707F7D"/>
    <w:rsid w:val="00712924"/>
    <w:rsid w:val="00717EC5"/>
    <w:rsid w:val="00720C71"/>
    <w:rsid w:val="00724DB5"/>
    <w:rsid w:val="00724DF1"/>
    <w:rsid w:val="00747707"/>
    <w:rsid w:val="00747ECC"/>
    <w:rsid w:val="0075058C"/>
    <w:rsid w:val="00754C20"/>
    <w:rsid w:val="00760DE0"/>
    <w:rsid w:val="00765873"/>
    <w:rsid w:val="007674A6"/>
    <w:rsid w:val="00770F10"/>
    <w:rsid w:val="00795F3F"/>
    <w:rsid w:val="007A0CE9"/>
    <w:rsid w:val="007A2048"/>
    <w:rsid w:val="007A57F2"/>
    <w:rsid w:val="007B0AAF"/>
    <w:rsid w:val="007B1333"/>
    <w:rsid w:val="007B3BC2"/>
    <w:rsid w:val="007C435E"/>
    <w:rsid w:val="007C565C"/>
    <w:rsid w:val="007D44DD"/>
    <w:rsid w:val="007D624A"/>
    <w:rsid w:val="007D7C61"/>
    <w:rsid w:val="007E04BF"/>
    <w:rsid w:val="007E146B"/>
    <w:rsid w:val="007E3701"/>
    <w:rsid w:val="007E5A52"/>
    <w:rsid w:val="007F0C04"/>
    <w:rsid w:val="007F4AEB"/>
    <w:rsid w:val="007F712A"/>
    <w:rsid w:val="007F75B2"/>
    <w:rsid w:val="007F7FF7"/>
    <w:rsid w:val="00803993"/>
    <w:rsid w:val="008043C4"/>
    <w:rsid w:val="0080469D"/>
    <w:rsid w:val="00805EC2"/>
    <w:rsid w:val="0080678E"/>
    <w:rsid w:val="00811BF3"/>
    <w:rsid w:val="00815D15"/>
    <w:rsid w:val="00823594"/>
    <w:rsid w:val="008300E7"/>
    <w:rsid w:val="00830643"/>
    <w:rsid w:val="00831B1B"/>
    <w:rsid w:val="008459CB"/>
    <w:rsid w:val="00850C26"/>
    <w:rsid w:val="0085371B"/>
    <w:rsid w:val="00855FB3"/>
    <w:rsid w:val="0085684F"/>
    <w:rsid w:val="00861D0E"/>
    <w:rsid w:val="00865670"/>
    <w:rsid w:val="008662BB"/>
    <w:rsid w:val="00867569"/>
    <w:rsid w:val="00883641"/>
    <w:rsid w:val="00884CF1"/>
    <w:rsid w:val="00885B92"/>
    <w:rsid w:val="008A0350"/>
    <w:rsid w:val="008A750A"/>
    <w:rsid w:val="008B06BD"/>
    <w:rsid w:val="008B3970"/>
    <w:rsid w:val="008C384C"/>
    <w:rsid w:val="008C6D93"/>
    <w:rsid w:val="008D0F11"/>
    <w:rsid w:val="008D1041"/>
    <w:rsid w:val="008D7FDA"/>
    <w:rsid w:val="008E728B"/>
    <w:rsid w:val="008F31E9"/>
    <w:rsid w:val="008F38CA"/>
    <w:rsid w:val="008F7147"/>
    <w:rsid w:val="008F73B4"/>
    <w:rsid w:val="009005B6"/>
    <w:rsid w:val="00906F17"/>
    <w:rsid w:val="00910009"/>
    <w:rsid w:val="00915A3B"/>
    <w:rsid w:val="00917C75"/>
    <w:rsid w:val="00927342"/>
    <w:rsid w:val="00927EFE"/>
    <w:rsid w:val="009336F8"/>
    <w:rsid w:val="00935766"/>
    <w:rsid w:val="00936855"/>
    <w:rsid w:val="00961DC3"/>
    <w:rsid w:val="009828B5"/>
    <w:rsid w:val="00982CA8"/>
    <w:rsid w:val="00986DD7"/>
    <w:rsid w:val="009906E9"/>
    <w:rsid w:val="00990C86"/>
    <w:rsid w:val="00995ACC"/>
    <w:rsid w:val="00996553"/>
    <w:rsid w:val="009B026E"/>
    <w:rsid w:val="009B55B1"/>
    <w:rsid w:val="009B5605"/>
    <w:rsid w:val="009C406F"/>
    <w:rsid w:val="009E79CE"/>
    <w:rsid w:val="00A075A1"/>
    <w:rsid w:val="00A0762A"/>
    <w:rsid w:val="00A11EBE"/>
    <w:rsid w:val="00A12EB7"/>
    <w:rsid w:val="00A132F9"/>
    <w:rsid w:val="00A15D66"/>
    <w:rsid w:val="00A32AB9"/>
    <w:rsid w:val="00A36CFE"/>
    <w:rsid w:val="00A4343D"/>
    <w:rsid w:val="00A4654F"/>
    <w:rsid w:val="00A502F1"/>
    <w:rsid w:val="00A544EE"/>
    <w:rsid w:val="00A60967"/>
    <w:rsid w:val="00A66EAC"/>
    <w:rsid w:val="00A70A83"/>
    <w:rsid w:val="00A73743"/>
    <w:rsid w:val="00A76D07"/>
    <w:rsid w:val="00A81EB3"/>
    <w:rsid w:val="00A86B4D"/>
    <w:rsid w:val="00A86C04"/>
    <w:rsid w:val="00A927E3"/>
    <w:rsid w:val="00A93DE1"/>
    <w:rsid w:val="00A94B28"/>
    <w:rsid w:val="00AA28C8"/>
    <w:rsid w:val="00AA4564"/>
    <w:rsid w:val="00AA502D"/>
    <w:rsid w:val="00AA5204"/>
    <w:rsid w:val="00AA6667"/>
    <w:rsid w:val="00AA66CB"/>
    <w:rsid w:val="00AB3410"/>
    <w:rsid w:val="00AC2B13"/>
    <w:rsid w:val="00AC7D51"/>
    <w:rsid w:val="00AD1D04"/>
    <w:rsid w:val="00AD3DFB"/>
    <w:rsid w:val="00AD450F"/>
    <w:rsid w:val="00AD5011"/>
    <w:rsid w:val="00AE2F0C"/>
    <w:rsid w:val="00AE305A"/>
    <w:rsid w:val="00AE3EE0"/>
    <w:rsid w:val="00AE6907"/>
    <w:rsid w:val="00AE7FAA"/>
    <w:rsid w:val="00AF1501"/>
    <w:rsid w:val="00AF42B6"/>
    <w:rsid w:val="00AF52E4"/>
    <w:rsid w:val="00AF5FB5"/>
    <w:rsid w:val="00B00C1D"/>
    <w:rsid w:val="00B06A45"/>
    <w:rsid w:val="00B16834"/>
    <w:rsid w:val="00B21FCC"/>
    <w:rsid w:val="00B30687"/>
    <w:rsid w:val="00B31B71"/>
    <w:rsid w:val="00B3245E"/>
    <w:rsid w:val="00B330E1"/>
    <w:rsid w:val="00B35C47"/>
    <w:rsid w:val="00B3711F"/>
    <w:rsid w:val="00B5095F"/>
    <w:rsid w:val="00B55375"/>
    <w:rsid w:val="00B56382"/>
    <w:rsid w:val="00B57F6E"/>
    <w:rsid w:val="00B632CC"/>
    <w:rsid w:val="00B70E16"/>
    <w:rsid w:val="00B7682C"/>
    <w:rsid w:val="00B7752A"/>
    <w:rsid w:val="00B81175"/>
    <w:rsid w:val="00B85D5E"/>
    <w:rsid w:val="00B86033"/>
    <w:rsid w:val="00B906F2"/>
    <w:rsid w:val="00B928C6"/>
    <w:rsid w:val="00B973E6"/>
    <w:rsid w:val="00B97B4A"/>
    <w:rsid w:val="00BA0154"/>
    <w:rsid w:val="00BA12F1"/>
    <w:rsid w:val="00BA33CC"/>
    <w:rsid w:val="00BA439F"/>
    <w:rsid w:val="00BA6370"/>
    <w:rsid w:val="00BB2C9A"/>
    <w:rsid w:val="00BD39ED"/>
    <w:rsid w:val="00BD66E4"/>
    <w:rsid w:val="00BF02C9"/>
    <w:rsid w:val="00BF41B9"/>
    <w:rsid w:val="00BF65E6"/>
    <w:rsid w:val="00C05C53"/>
    <w:rsid w:val="00C064EE"/>
    <w:rsid w:val="00C0653F"/>
    <w:rsid w:val="00C135E6"/>
    <w:rsid w:val="00C14348"/>
    <w:rsid w:val="00C1677B"/>
    <w:rsid w:val="00C20061"/>
    <w:rsid w:val="00C2585D"/>
    <w:rsid w:val="00C269D4"/>
    <w:rsid w:val="00C3546B"/>
    <w:rsid w:val="00C37ADB"/>
    <w:rsid w:val="00C4160D"/>
    <w:rsid w:val="00C45D98"/>
    <w:rsid w:val="00C60D47"/>
    <w:rsid w:val="00C65A6E"/>
    <w:rsid w:val="00C762BD"/>
    <w:rsid w:val="00C8406E"/>
    <w:rsid w:val="00C86548"/>
    <w:rsid w:val="00C87D1B"/>
    <w:rsid w:val="00C9073E"/>
    <w:rsid w:val="00CA679D"/>
    <w:rsid w:val="00CB2709"/>
    <w:rsid w:val="00CB2EC7"/>
    <w:rsid w:val="00CB38F2"/>
    <w:rsid w:val="00CB4991"/>
    <w:rsid w:val="00CB6F89"/>
    <w:rsid w:val="00CC08DF"/>
    <w:rsid w:val="00CC0AE9"/>
    <w:rsid w:val="00CC3372"/>
    <w:rsid w:val="00CC6422"/>
    <w:rsid w:val="00CD21CC"/>
    <w:rsid w:val="00CD4356"/>
    <w:rsid w:val="00CE0B66"/>
    <w:rsid w:val="00CE228C"/>
    <w:rsid w:val="00CE5BC2"/>
    <w:rsid w:val="00CE6D97"/>
    <w:rsid w:val="00CE71D9"/>
    <w:rsid w:val="00CF138C"/>
    <w:rsid w:val="00CF5155"/>
    <w:rsid w:val="00CF545B"/>
    <w:rsid w:val="00D208F1"/>
    <w:rsid w:val="00D209A7"/>
    <w:rsid w:val="00D22EA9"/>
    <w:rsid w:val="00D2309A"/>
    <w:rsid w:val="00D27D69"/>
    <w:rsid w:val="00D31861"/>
    <w:rsid w:val="00D33658"/>
    <w:rsid w:val="00D34C7D"/>
    <w:rsid w:val="00D448C2"/>
    <w:rsid w:val="00D52D0D"/>
    <w:rsid w:val="00D666C3"/>
    <w:rsid w:val="00D77FB9"/>
    <w:rsid w:val="00D86B7D"/>
    <w:rsid w:val="00D914A9"/>
    <w:rsid w:val="00D9189F"/>
    <w:rsid w:val="00D95B91"/>
    <w:rsid w:val="00DA6CD7"/>
    <w:rsid w:val="00DB33D4"/>
    <w:rsid w:val="00DB3D52"/>
    <w:rsid w:val="00DB5168"/>
    <w:rsid w:val="00DB67B3"/>
    <w:rsid w:val="00DB7DDE"/>
    <w:rsid w:val="00DC368D"/>
    <w:rsid w:val="00DD2AC3"/>
    <w:rsid w:val="00DD43D0"/>
    <w:rsid w:val="00DD56E4"/>
    <w:rsid w:val="00DE4D61"/>
    <w:rsid w:val="00DE6A49"/>
    <w:rsid w:val="00DF14D2"/>
    <w:rsid w:val="00DF1723"/>
    <w:rsid w:val="00DF1DBF"/>
    <w:rsid w:val="00DF2A26"/>
    <w:rsid w:val="00DF47FE"/>
    <w:rsid w:val="00DF50CE"/>
    <w:rsid w:val="00E00AFE"/>
    <w:rsid w:val="00E0156A"/>
    <w:rsid w:val="00E12E8F"/>
    <w:rsid w:val="00E14573"/>
    <w:rsid w:val="00E16796"/>
    <w:rsid w:val="00E16F11"/>
    <w:rsid w:val="00E225DE"/>
    <w:rsid w:val="00E22A62"/>
    <w:rsid w:val="00E25A9C"/>
    <w:rsid w:val="00E26704"/>
    <w:rsid w:val="00E30385"/>
    <w:rsid w:val="00E30E72"/>
    <w:rsid w:val="00E31980"/>
    <w:rsid w:val="00E3211D"/>
    <w:rsid w:val="00E63083"/>
    <w:rsid w:val="00E6423C"/>
    <w:rsid w:val="00E6431E"/>
    <w:rsid w:val="00E706EA"/>
    <w:rsid w:val="00E736BE"/>
    <w:rsid w:val="00E74FAA"/>
    <w:rsid w:val="00E92B87"/>
    <w:rsid w:val="00E92D16"/>
    <w:rsid w:val="00E93830"/>
    <w:rsid w:val="00E93E0E"/>
    <w:rsid w:val="00E96CC6"/>
    <w:rsid w:val="00EA08B8"/>
    <w:rsid w:val="00EA2DE9"/>
    <w:rsid w:val="00EB1ED3"/>
    <w:rsid w:val="00EB44BC"/>
    <w:rsid w:val="00EB6243"/>
    <w:rsid w:val="00ED1573"/>
    <w:rsid w:val="00ED5CEB"/>
    <w:rsid w:val="00EE06E6"/>
    <w:rsid w:val="00EE2655"/>
    <w:rsid w:val="00EE43EB"/>
    <w:rsid w:val="00EF2155"/>
    <w:rsid w:val="00EF24E8"/>
    <w:rsid w:val="00EF38A3"/>
    <w:rsid w:val="00EF3BAA"/>
    <w:rsid w:val="00EF5A70"/>
    <w:rsid w:val="00EF7CD7"/>
    <w:rsid w:val="00F02061"/>
    <w:rsid w:val="00F07627"/>
    <w:rsid w:val="00F158FD"/>
    <w:rsid w:val="00F20640"/>
    <w:rsid w:val="00F214B3"/>
    <w:rsid w:val="00F26CDA"/>
    <w:rsid w:val="00F376C1"/>
    <w:rsid w:val="00F54EB0"/>
    <w:rsid w:val="00F64D73"/>
    <w:rsid w:val="00F66212"/>
    <w:rsid w:val="00F75711"/>
    <w:rsid w:val="00F75BD5"/>
    <w:rsid w:val="00F75F2A"/>
    <w:rsid w:val="00F768F5"/>
    <w:rsid w:val="00F83F8C"/>
    <w:rsid w:val="00FA1B2C"/>
    <w:rsid w:val="00FA3792"/>
    <w:rsid w:val="00FA5B92"/>
    <w:rsid w:val="00FB1DDD"/>
    <w:rsid w:val="00FB687C"/>
    <w:rsid w:val="00FC25C8"/>
    <w:rsid w:val="00FC3C67"/>
    <w:rsid w:val="00FF3DC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3A60F8F"/>
  <w15:docId w15:val="{47FB5D60-2FCE-469C-A06F-2A99F073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rsid w:val="00B906F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92B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B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B87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B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B87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mailto:jaroslav.kahoun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tr.musil@czs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l.czso.cz/pll/rocenka/rocenka.indexnu_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metodicka-poznamka-k-vladni-financni-statistice-2-ctvrtleti-2020-covid-19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BFS3\BARANNU\nu\vl&#225;da\RYCHL&#193;%20INFORMACE%20-%20Q%20deficit%20a%20dluh\DATA\2Q2020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BFS3\BARANNU\nu\vl&#225;da\RYCHL&#193;%20INFORMACE%20-%20Q%20deficit%20a%20dluh\DATA\2Q202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533573928258968"/>
          <c:y val="5.1400554097404488E-2"/>
          <c:w val="0.79323140857392815"/>
          <c:h val="0.669249416739574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graf!$B$3</c:f>
              <c:strCache>
                <c:ptCount val="1"/>
                <c:pt idx="0">
                  <c:v>mld. Kč</c:v>
                </c:pt>
              </c:strCache>
            </c:strRef>
          </c:tx>
          <c:spPr>
            <a:solidFill>
              <a:srgbClr val="0066CC"/>
            </a:solidFill>
          </c:spPr>
          <c:invertIfNegative val="0"/>
          <c:dLbls>
            <c:dLbl>
              <c:idx val="0"/>
              <c:layout>
                <c:manualLayout>
                  <c:x val="-6.0933253713881812E-6"/>
                  <c:y val="-7.47739865850104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81-47F9-8665-29F1D388FBBB}"/>
                </c:ext>
              </c:extLst>
            </c:dLbl>
            <c:dLbl>
              <c:idx val="1"/>
              <c:layout>
                <c:manualLayout>
                  <c:x val="2.78402417322152E-3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81-47F9-8665-29F1D388FBBB}"/>
                </c:ext>
              </c:extLst>
            </c:dLbl>
            <c:dLbl>
              <c:idx val="2"/>
              <c:layout>
                <c:manualLayout>
                  <c:x val="-2.7777777777778286E-3"/>
                  <c:y val="-1.8518518518518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81-47F9-8665-29F1D388FBBB}"/>
                </c:ext>
              </c:extLst>
            </c:dLbl>
            <c:dLbl>
              <c:idx val="3"/>
              <c:layout>
                <c:manualLayout>
                  <c:x val="0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81-47F9-8665-29F1D388FBBB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graf!$J$2:$R$2</c:f>
              <c:strCache>
                <c:ptCount val="9"/>
                <c:pt idx="0">
                  <c:v>2.Q 2018</c:v>
                </c:pt>
                <c:pt idx="1">
                  <c:v>3.Q 2018</c:v>
                </c:pt>
                <c:pt idx="2">
                  <c:v>4.Q 2018</c:v>
                </c:pt>
                <c:pt idx="3">
                  <c:v>1.Q 2019</c:v>
                </c:pt>
                <c:pt idx="4">
                  <c:v>2.Q 2019</c:v>
                </c:pt>
                <c:pt idx="5">
                  <c:v>3.Q 2019</c:v>
                </c:pt>
                <c:pt idx="6">
                  <c:v>4.Q 2019</c:v>
                </c:pt>
                <c:pt idx="7">
                  <c:v>1.Q 2020</c:v>
                </c:pt>
                <c:pt idx="8">
                  <c:v>2.Q 2020</c:v>
                </c:pt>
              </c:strCache>
            </c:strRef>
          </c:cat>
          <c:val>
            <c:numRef>
              <c:f>graf!$J$3:$R$3</c:f>
              <c:numCache>
                <c:formatCode>#,##0</c:formatCode>
                <c:ptCount val="9"/>
                <c:pt idx="0">
                  <c:v>1829.8330000000001</c:v>
                </c:pt>
                <c:pt idx="1">
                  <c:v>1778.9159999999999</c:v>
                </c:pt>
                <c:pt idx="2">
                  <c:v>1734.6020000000001</c:v>
                </c:pt>
                <c:pt idx="3">
                  <c:v>1835.6489999999999</c:v>
                </c:pt>
                <c:pt idx="4">
                  <c:v>1816.6110000000001</c:v>
                </c:pt>
                <c:pt idx="5">
                  <c:v>1784.5260000000001</c:v>
                </c:pt>
                <c:pt idx="6">
                  <c:v>1738.453</c:v>
                </c:pt>
                <c:pt idx="7">
                  <c:v>1887.4190000000001</c:v>
                </c:pt>
                <c:pt idx="8">
                  <c:v>2263.4760000000001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E81-47F9-8665-29F1D388F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axId val="199040384"/>
        <c:axId val="199062656"/>
      </c:barChart>
      <c:scatterChart>
        <c:scatterStyle val="lineMarker"/>
        <c:varyColors val="0"/>
        <c:ser>
          <c:idx val="1"/>
          <c:order val="1"/>
          <c:tx>
            <c:strRef>
              <c:f>graf!$B$4</c:f>
              <c:strCache>
                <c:ptCount val="1"/>
                <c:pt idx="0">
                  <c:v>% HDP</c:v>
                </c:pt>
              </c:strCache>
            </c:strRef>
          </c:tx>
          <c:spPr>
            <a:ln w="28575">
              <a:noFill/>
            </a:ln>
          </c:spPr>
          <c:marker>
            <c:symbol val="circle"/>
            <c:size val="7"/>
            <c:spPr>
              <a:solidFill>
                <a:srgbClr val="FF0000"/>
              </a:solidFill>
            </c:spPr>
          </c:marker>
          <c:dLbls>
            <c:dLbl>
              <c:idx val="0"/>
              <c:layout>
                <c:manualLayout>
                  <c:x val="-5.4207581226645436E-2"/>
                  <c:y val="9.767388451443569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2454119500839811E-2"/>
                      <c:h val="4.256962671332750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E81-47F9-8665-29F1D388FBBB}"/>
                </c:ext>
              </c:extLst>
            </c:dLbl>
            <c:dLbl>
              <c:idx val="1"/>
              <c:layout>
                <c:manualLayout>
                  <c:x val="-4.7243722853227414E-2"/>
                  <c:y val="4.4433143773694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81-47F9-8665-29F1D388FBBB}"/>
                </c:ext>
              </c:extLst>
            </c:dLbl>
            <c:dLbl>
              <c:idx val="2"/>
              <c:layout>
                <c:manualLayout>
                  <c:x val="-4.4344041065663295E-2"/>
                  <c:y val="4.4433143773694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E81-47F9-8665-29F1D388FBBB}"/>
                </c:ext>
              </c:extLst>
            </c:dLbl>
            <c:dLbl>
              <c:idx val="3"/>
              <c:layout>
                <c:manualLayout>
                  <c:x val="-4.4761944579936361E-2"/>
                  <c:y val="4.44331437736949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E81-47F9-8665-29F1D388FBBB}"/>
                </c:ext>
              </c:extLst>
            </c:dLbl>
            <c:dLbl>
              <c:idx val="4"/>
              <c:layout>
                <c:manualLayout>
                  <c:x val="-4.7243722853227414E-2"/>
                  <c:y val="4.44331437736948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E81-47F9-8665-29F1D388FBBB}"/>
                </c:ext>
              </c:extLst>
            </c:dLbl>
            <c:dLbl>
              <c:idx val="5"/>
              <c:layout>
                <c:manualLayout>
                  <c:x val="-4.8169837177432465E-2"/>
                  <c:y val="4.21412948381451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E81-47F9-8665-29F1D388FBBB}"/>
                </c:ext>
              </c:extLst>
            </c:dLbl>
            <c:dLbl>
              <c:idx val="6"/>
              <c:layout>
                <c:manualLayout>
                  <c:x val="-4.8163519383086051E-2"/>
                  <c:y val="-5.04512977544473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E81-47F9-8665-29F1D388FBBB}"/>
                </c:ext>
              </c:extLst>
            </c:dLbl>
            <c:dLbl>
              <c:idx val="7"/>
              <c:layout>
                <c:manualLayout>
                  <c:x val="-4.7243722853227414E-2"/>
                  <c:y val="5.36924030329542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E81-47F9-8665-29F1D388FBBB}"/>
                </c:ext>
              </c:extLst>
            </c:dLbl>
            <c:dLbl>
              <c:idx val="8"/>
              <c:layout>
                <c:manualLayout>
                  <c:x val="-4.5385733862913329E-2"/>
                  <c:y val="5.14005540974044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E81-47F9-8665-29F1D388FB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cs-CZ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xVal>
            <c:strRef>
              <c:f>graf!$J$2:$R$2</c:f>
              <c:strCache>
                <c:ptCount val="9"/>
                <c:pt idx="0">
                  <c:v>2.Q 2018</c:v>
                </c:pt>
                <c:pt idx="1">
                  <c:v>3.Q 2018</c:v>
                </c:pt>
                <c:pt idx="2">
                  <c:v>4.Q 2018</c:v>
                </c:pt>
                <c:pt idx="3">
                  <c:v>1.Q 2019</c:v>
                </c:pt>
                <c:pt idx="4">
                  <c:v>2.Q 2019</c:v>
                </c:pt>
                <c:pt idx="5">
                  <c:v>3.Q 2019</c:v>
                </c:pt>
                <c:pt idx="6">
                  <c:v>4.Q 2019</c:v>
                </c:pt>
                <c:pt idx="7">
                  <c:v>1.Q 2020</c:v>
                </c:pt>
                <c:pt idx="8">
                  <c:v>2.Q 2020</c:v>
                </c:pt>
              </c:strCache>
            </c:strRef>
          </c:xVal>
          <c:yVal>
            <c:numRef>
              <c:f>graf!$J$4:$R$4</c:f>
              <c:numCache>
                <c:formatCode>0.00</c:formatCode>
                <c:ptCount val="9"/>
                <c:pt idx="0">
                  <c:v>34.770000000000003</c:v>
                </c:pt>
                <c:pt idx="1">
                  <c:v>33.369999999999997</c:v>
                </c:pt>
                <c:pt idx="2">
                  <c:v>32.07</c:v>
                </c:pt>
                <c:pt idx="3">
                  <c:v>33.44</c:v>
                </c:pt>
                <c:pt idx="4">
                  <c:v>32.6</c:v>
                </c:pt>
                <c:pt idx="5">
                  <c:v>31.48</c:v>
                </c:pt>
                <c:pt idx="6">
                  <c:v>30.24</c:v>
                </c:pt>
                <c:pt idx="7">
                  <c:v>32.69</c:v>
                </c:pt>
                <c:pt idx="8">
                  <c:v>39.92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E-3E81-47F9-8665-29F1D388FB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066752"/>
        <c:axId val="199064576"/>
      </c:scatterChart>
      <c:catAx>
        <c:axId val="1990403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062656"/>
        <c:crosses val="autoZero"/>
        <c:auto val="1"/>
        <c:lblAlgn val="ctr"/>
        <c:lblOffset val="100"/>
        <c:noMultiLvlLbl val="0"/>
      </c:catAx>
      <c:valAx>
        <c:axId val="19906265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mld. Kč</a:t>
                </a:r>
                <a:endParaRPr lang="en-US" b="0"/>
              </a:p>
            </c:rich>
          </c:tx>
          <c:layout>
            <c:manualLayout>
              <c:xMode val="edge"/>
              <c:yMode val="edge"/>
              <c:x val="5.5555555555555558E-3"/>
              <c:y val="0.31484470691163602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crossAx val="199040384"/>
        <c:crosses val="autoZero"/>
        <c:crossBetween val="between"/>
      </c:valAx>
      <c:valAx>
        <c:axId val="199064576"/>
        <c:scaling>
          <c:orientation val="minMax"/>
          <c:max val="42"/>
          <c:min val="3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cs-CZ" b="0"/>
                  <a:t>%</a:t>
                </a:r>
                <a:r>
                  <a:rPr lang="cs-CZ" b="0" baseline="0"/>
                  <a:t> H</a:t>
                </a:r>
                <a:r>
                  <a:rPr lang="cs-CZ" b="0"/>
                  <a:t>DP</a:t>
                </a:r>
                <a:endParaRPr lang="en-US" b="0"/>
              </a:p>
            </c:rich>
          </c:tx>
          <c:overlay val="0"/>
        </c:title>
        <c:numFmt formatCode="0" sourceLinked="0"/>
        <c:majorTickMark val="out"/>
        <c:minorTickMark val="none"/>
        <c:tickLblPos val="high"/>
        <c:crossAx val="199066752"/>
        <c:crosses val="max"/>
        <c:crossBetween val="midCat"/>
      </c:valAx>
      <c:valAx>
        <c:axId val="199066752"/>
        <c:scaling>
          <c:orientation val="minMax"/>
        </c:scaling>
        <c:delete val="1"/>
        <c:axPos val="b"/>
        <c:majorTickMark val="out"/>
        <c:minorTickMark val="none"/>
        <c:tickLblPos val="nextTo"/>
        <c:crossAx val="199064576"/>
        <c:crosses val="autoZero"/>
        <c:crossBetween val="midCat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810798642542496E-2"/>
          <c:y val="5.0925925925925923E-2"/>
          <c:w val="0.90350569010863835"/>
          <c:h val="0.83847678435006567"/>
        </c:manualLayout>
      </c:layout>
      <c:lineChart>
        <c:grouping val="standard"/>
        <c:varyColors val="0"/>
        <c:ser>
          <c:idx val="0"/>
          <c:order val="0"/>
          <c:tx>
            <c:strRef>
              <c:f>SEZ!$E$2</c:f>
              <c:strCache>
                <c:ptCount val="1"/>
                <c:pt idx="0">
                  <c:v>% HDP</c:v>
                </c:pt>
              </c:strCache>
            </c:strRef>
          </c:tx>
          <c:spPr>
            <a:ln w="28575" cap="rnd">
              <a:solidFill>
                <a:srgbClr val="0066CC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66CC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9325848495362387E-2"/>
                  <c:y val="-4.4280425649949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6EF-4F82-A0B8-5E1B855BBFE2}"/>
                </c:ext>
              </c:extLst>
            </c:dLbl>
            <c:dLbl>
              <c:idx val="1"/>
              <c:layout>
                <c:manualLayout>
                  <c:x val="-7.4906378086404849E-3"/>
                  <c:y val="-3.0391558283577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6EF-4F82-A0B8-5E1B855BBFE2}"/>
                </c:ext>
              </c:extLst>
            </c:dLbl>
            <c:dLbl>
              <c:idx val="2"/>
              <c:layout>
                <c:manualLayout>
                  <c:x val="-3.1283490835847583E-2"/>
                  <c:y val="-5.60856320157072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800" b="0" i="0" u="none" strike="noStrike" kern="1200" baseline="0">
                      <a:solidFill>
                        <a:schemeClr val="tx1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3921007992533377E-2"/>
                      <c:h val="0.100861389063724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96EF-4F82-A0B8-5E1B855BBFE2}"/>
                </c:ext>
              </c:extLst>
            </c:dLbl>
            <c:dLbl>
              <c:idx val="3"/>
              <c:layout>
                <c:manualLayout>
                  <c:x val="-3.7216049704008977E-2"/>
                  <c:y val="-3.9532766281974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6EF-4F82-A0B8-5E1B855BBFE2}"/>
                </c:ext>
              </c:extLst>
            </c:dLbl>
            <c:dLbl>
              <c:idx val="4"/>
              <c:layout>
                <c:manualLayout>
                  <c:x val="-3.8137660403349217E-3"/>
                  <c:y val="-8.09754555498910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6EF-4F82-A0B8-5E1B855BBFE2}"/>
                </c:ext>
              </c:extLst>
            </c:dLbl>
            <c:dLbl>
              <c:idx val="5"/>
              <c:layout>
                <c:manualLayout>
                  <c:x val="-2.8295174836559987E-2"/>
                  <c:y val="-6.3960614827705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6EF-4F82-A0B8-5E1B855BBFE2}"/>
                </c:ext>
              </c:extLst>
            </c:dLbl>
            <c:dLbl>
              <c:idx val="6"/>
              <c:layout>
                <c:manualLayout>
                  <c:x val="-3.6129848988238358E-2"/>
                  <c:y val="6.9462494455296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6EF-4F82-A0B8-5E1B855BBFE2}"/>
                </c:ext>
              </c:extLst>
            </c:dLbl>
            <c:dLbl>
              <c:idx val="7"/>
              <c:layout>
                <c:manualLayout>
                  <c:x val="-6.8841712283612883E-2"/>
                  <c:y val="5.4016004932499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6EF-4F82-A0B8-5E1B855BBFE2}"/>
                </c:ext>
              </c:extLst>
            </c:dLbl>
            <c:dLbl>
              <c:idx val="8"/>
              <c:layout>
                <c:manualLayout>
                  <c:x val="-1.9220140059772722E-2"/>
                  <c:y val="-4.1666602099116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6EF-4F82-A0B8-5E1B855BBFE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SEZ!$A$68:$A$76</c:f>
              <c:strCache>
                <c:ptCount val="9"/>
                <c:pt idx="0">
                  <c:v>2.Q 2018</c:v>
                </c:pt>
                <c:pt idx="1">
                  <c:v>3.Q 2018</c:v>
                </c:pt>
                <c:pt idx="2">
                  <c:v>4.Q 2018</c:v>
                </c:pt>
                <c:pt idx="3">
                  <c:v>1.Q 2019</c:v>
                </c:pt>
                <c:pt idx="4">
                  <c:v>2.Q 2019</c:v>
                </c:pt>
                <c:pt idx="5">
                  <c:v>3.Q 2019</c:v>
                </c:pt>
                <c:pt idx="6">
                  <c:v>4.Q 2019</c:v>
                </c:pt>
                <c:pt idx="7">
                  <c:v>1.Q 2020</c:v>
                </c:pt>
                <c:pt idx="8">
                  <c:v>2.Q 2020</c:v>
                </c:pt>
              </c:strCache>
            </c:strRef>
          </c:cat>
          <c:val>
            <c:numRef>
              <c:f>SEZ!$E$68:$E$76</c:f>
              <c:numCache>
                <c:formatCode>#,##0.00</c:formatCode>
                <c:ptCount val="9"/>
                <c:pt idx="0">
                  <c:v>1.9074421280703702</c:v>
                </c:pt>
                <c:pt idx="1">
                  <c:v>0.20066074085825802</c:v>
                </c:pt>
                <c:pt idx="2">
                  <c:v>0.37046856957405533</c:v>
                </c:pt>
                <c:pt idx="3">
                  <c:v>1.0561308356155772</c:v>
                </c:pt>
                <c:pt idx="4">
                  <c:v>1.6052131687864033</c:v>
                </c:pt>
                <c:pt idx="5">
                  <c:v>-0.26457113593267728</c:v>
                </c:pt>
                <c:pt idx="6">
                  <c:v>-1.29867283007649</c:v>
                </c:pt>
                <c:pt idx="7">
                  <c:v>-2.7696653321057041</c:v>
                </c:pt>
                <c:pt idx="8">
                  <c:v>-6.2614343178166525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9-96EF-4F82-A0B8-5E1B855BBF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48997200"/>
        <c:axId val="333288000"/>
      </c:lineChart>
      <c:catAx>
        <c:axId val="54899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33288000"/>
        <c:crosses val="autoZero"/>
        <c:auto val="1"/>
        <c:lblAlgn val="ctr"/>
        <c:lblOffset val="100"/>
        <c:noMultiLvlLbl val="0"/>
      </c:catAx>
      <c:valAx>
        <c:axId val="3332880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cs-CZ" sz="80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%</a:t>
                </a:r>
                <a:r>
                  <a:rPr lang="cs-CZ" sz="800" baseline="0">
                    <a:solidFill>
                      <a:schemeClr val="tx1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 HDP</a:t>
                </a:r>
                <a:endParaRPr lang="cs-CZ" sz="800">
                  <a:solidFill>
                    <a:schemeClr val="tx1"/>
                  </a:solidFill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8.3594580109196247E-3"/>
              <c:y val="0.3416895364928043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cs-CZ"/>
            </a:p>
          </c:txPr>
        </c:title>
        <c:numFmt formatCode="#,##0.00" sourceLinked="1"/>
        <c:majorTickMark val="out"/>
        <c:minorTickMark val="none"/>
        <c:tickLblPos val="nextTo"/>
        <c:spPr>
          <a:solidFill>
            <a:sysClr val="window" lastClr="FFFFFF"/>
          </a:solidFill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54899720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45F94-1885-4B66-B535-F4D0A83F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843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5812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kogan4041</cp:lastModifiedBy>
  <cp:revision>46</cp:revision>
  <cp:lastPrinted>2019-01-11T07:42:00Z</cp:lastPrinted>
  <dcterms:created xsi:type="dcterms:W3CDTF">2020-06-28T19:01:00Z</dcterms:created>
  <dcterms:modified xsi:type="dcterms:W3CDTF">2020-10-02T10:09:00Z</dcterms:modified>
</cp:coreProperties>
</file>