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3874F7" w:rsidP="00FC7194">
      <w:pPr>
        <w:pStyle w:val="Datum"/>
      </w:pPr>
      <w:r>
        <w:t>25. </w:t>
      </w:r>
      <w:r w:rsidR="00E813E3">
        <w:t>2</w:t>
      </w:r>
      <w:r w:rsidR="00E813E3" w:rsidRPr="007C01FE">
        <w:t>. 202</w:t>
      </w:r>
      <w:r w:rsidR="00E813E3">
        <w:t>2</w:t>
      </w:r>
    </w:p>
    <w:p w:rsidR="00FC7194" w:rsidRPr="00032806" w:rsidRDefault="00E813E3" w:rsidP="00FC7194">
      <w:pPr>
        <w:pStyle w:val="Nzev"/>
      </w:pPr>
      <w:r>
        <w:t>Sebevraždy</w:t>
      </w:r>
      <w:r w:rsidRPr="002206F6">
        <w:t xml:space="preserve"> </w:t>
      </w:r>
      <w:r w:rsidRPr="007C01FE">
        <w:t xml:space="preserve">v Moravskoslezském </w:t>
      </w:r>
      <w:r>
        <w:t xml:space="preserve">kraji </w:t>
      </w:r>
      <w:r w:rsidR="0063313C">
        <w:br/>
      </w:r>
      <w:r>
        <w:t>v</w:t>
      </w:r>
      <w:r w:rsidR="0063313C">
        <w:t> </w:t>
      </w:r>
      <w:r>
        <w:t>letech</w:t>
      </w:r>
      <w:r w:rsidR="0063313C">
        <w:t> 2011</w:t>
      </w:r>
      <w:r w:rsidR="0095198D">
        <w:t> až </w:t>
      </w:r>
      <w:r>
        <w:t>2020</w:t>
      </w:r>
    </w:p>
    <w:p w:rsidR="00FC7194" w:rsidRDefault="00E813E3" w:rsidP="00FC7194">
      <w:pPr>
        <w:pStyle w:val="Perex"/>
      </w:pPr>
      <w:r w:rsidRPr="00B54514">
        <w:t>V</w:t>
      </w:r>
      <w:r w:rsidR="00A77AEA">
        <w:t> </w:t>
      </w:r>
      <w:r w:rsidR="00824F2D" w:rsidRPr="00B54514">
        <w:t>letech</w:t>
      </w:r>
      <w:r w:rsidR="00A77AEA">
        <w:t> </w:t>
      </w:r>
      <w:r w:rsidR="00824F2D" w:rsidRPr="00B54514">
        <w:t>2011</w:t>
      </w:r>
      <w:r w:rsidR="00A77AEA">
        <w:t> </w:t>
      </w:r>
      <w:r w:rsidR="00824F2D" w:rsidRPr="00B54514">
        <w:t>až</w:t>
      </w:r>
      <w:r w:rsidR="00A77AEA">
        <w:t> </w:t>
      </w:r>
      <w:r w:rsidRPr="00B54514">
        <w:t xml:space="preserve">2020 bylo </w:t>
      </w:r>
      <w:r w:rsidR="00213A54" w:rsidRPr="00B54514">
        <w:t>v</w:t>
      </w:r>
      <w:r w:rsidR="00213A54">
        <w:t> </w:t>
      </w:r>
      <w:r w:rsidRPr="00B54514">
        <w:t xml:space="preserve">Moravskoslezském kraji </w:t>
      </w:r>
      <w:r w:rsidR="00322FE7">
        <w:t>evidováno</w:t>
      </w:r>
      <w:r w:rsidRPr="00B54514">
        <w:t xml:space="preserve"> 1</w:t>
      </w:r>
      <w:r w:rsidR="00A77AEA">
        <w:t> </w:t>
      </w:r>
      <w:r w:rsidRPr="00B54514">
        <w:t>6</w:t>
      </w:r>
      <w:r w:rsidR="00824F2D" w:rsidRPr="00B54514">
        <w:t>37</w:t>
      </w:r>
      <w:r w:rsidR="00A77AEA">
        <w:t> </w:t>
      </w:r>
      <w:r w:rsidRPr="00B54514">
        <w:t>dokonaných sebevražd</w:t>
      </w:r>
      <w:r w:rsidR="005B4BEB" w:rsidRPr="00B54514">
        <w:t>,</w:t>
      </w:r>
      <w:r w:rsidRPr="00B54514">
        <w:t xml:space="preserve"> </w:t>
      </w:r>
      <w:r w:rsidR="00322FE7">
        <w:t xml:space="preserve">převážnou většinu </w:t>
      </w:r>
      <w:r w:rsidR="005B4BEB" w:rsidRPr="00B54514">
        <w:t xml:space="preserve">z nich </w:t>
      </w:r>
      <w:r w:rsidR="00322FE7">
        <w:t>(</w:t>
      </w:r>
      <w:r w:rsidRPr="00B54514">
        <w:t>8</w:t>
      </w:r>
      <w:r w:rsidR="005B4BEB" w:rsidRPr="00B54514">
        <w:t>5</w:t>
      </w:r>
      <w:r w:rsidRPr="00B54514">
        <w:t>,</w:t>
      </w:r>
      <w:r w:rsidR="005B4BEB" w:rsidRPr="00B54514">
        <w:t>9</w:t>
      </w:r>
      <w:r w:rsidR="00A77AEA">
        <w:t> </w:t>
      </w:r>
      <w:r w:rsidRPr="00B54514">
        <w:t xml:space="preserve">%) </w:t>
      </w:r>
      <w:r w:rsidR="00322FE7">
        <w:t>spáchali</w:t>
      </w:r>
      <w:r w:rsidR="00322FE7" w:rsidRPr="00B54514">
        <w:t xml:space="preserve"> muži</w:t>
      </w:r>
      <w:r w:rsidR="00322FE7">
        <w:t>.</w:t>
      </w:r>
      <w:r w:rsidR="00322FE7" w:rsidRPr="00B54514">
        <w:t xml:space="preserve"> </w:t>
      </w:r>
      <w:r w:rsidR="00D206E1">
        <w:t xml:space="preserve">Přes dvě pětiny sebevrahů bylo ve věku </w:t>
      </w:r>
      <w:r w:rsidRPr="00B54514">
        <w:t>45</w:t>
      </w:r>
      <w:r w:rsidR="00A77AEA">
        <w:t> </w:t>
      </w:r>
      <w:r w:rsidRPr="00B54514">
        <w:t>až</w:t>
      </w:r>
      <w:r w:rsidR="00A77AEA">
        <w:t> </w:t>
      </w:r>
      <w:r w:rsidRPr="00B54514">
        <w:t>64</w:t>
      </w:r>
      <w:r w:rsidR="00A77AEA">
        <w:t> </w:t>
      </w:r>
      <w:r w:rsidR="00D206E1">
        <w:t>let</w:t>
      </w:r>
      <w:r w:rsidRPr="00B54514">
        <w:t xml:space="preserve">. Obě pohlaví volila jako nejčastější způsob provedení oběšení. </w:t>
      </w:r>
      <w:r w:rsidR="004D10A0" w:rsidRPr="00B54514">
        <w:t>Dlouhodobě n</w:t>
      </w:r>
      <w:r w:rsidRPr="00B54514">
        <w:t>ej</w:t>
      </w:r>
      <w:r w:rsidR="004D10A0" w:rsidRPr="00B54514">
        <w:t>frekventovanějším</w:t>
      </w:r>
      <w:r w:rsidRPr="00B54514">
        <w:t xml:space="preserve"> měsícem pro sebevraždy </w:t>
      </w:r>
      <w:r w:rsidR="00156F54" w:rsidRPr="00B54514">
        <w:t xml:space="preserve">bývá </w:t>
      </w:r>
      <w:r w:rsidRPr="00B54514">
        <w:t xml:space="preserve">březen. </w:t>
      </w:r>
      <w:r w:rsidR="00213A54" w:rsidRPr="00156F54">
        <w:t>K</w:t>
      </w:r>
      <w:r w:rsidR="00213A54">
        <w:t> </w:t>
      </w:r>
      <w:r w:rsidR="00156F54" w:rsidRPr="00156F54">
        <w:t>ne</w:t>
      </w:r>
      <w:r w:rsidR="00156F54">
        <w:t>jvyššímu počtu sebevražd docházelo</w:t>
      </w:r>
      <w:r w:rsidR="00156F54" w:rsidRPr="00156F54">
        <w:t xml:space="preserve"> </w:t>
      </w:r>
      <w:r w:rsidR="00156F54">
        <w:t xml:space="preserve">v úterý, v těsném závěsu </w:t>
      </w:r>
      <w:r w:rsidR="00D94A08">
        <w:t>následovalo</w:t>
      </w:r>
      <w:r w:rsidR="00156F54">
        <w:t xml:space="preserve"> pondělí.</w:t>
      </w:r>
      <w:r w:rsidR="00E50C2E">
        <w:t xml:space="preserve"> </w:t>
      </w:r>
      <w:r w:rsidR="008A6DA7">
        <w:t>Zatímco p</w:t>
      </w:r>
      <w:r w:rsidR="00E50C2E">
        <w:t xml:space="preserve">očet </w:t>
      </w:r>
      <w:r w:rsidR="00C9127B" w:rsidRPr="00B54514">
        <w:t>sebevražd</w:t>
      </w:r>
      <w:r w:rsidR="00E50C2E">
        <w:t xml:space="preserve"> mužů</w:t>
      </w:r>
      <w:r w:rsidR="00C9127B" w:rsidRPr="00B54514">
        <w:t xml:space="preserve"> </w:t>
      </w:r>
      <w:r w:rsidR="007522EE" w:rsidRPr="00B54514">
        <w:t xml:space="preserve">v přepočtu na 100 tisíc obyvatel </w:t>
      </w:r>
      <w:r w:rsidR="008A6DA7" w:rsidRPr="00B54514">
        <w:t>mírně</w:t>
      </w:r>
      <w:r w:rsidR="008A6DA7">
        <w:t xml:space="preserve"> </w:t>
      </w:r>
      <w:r w:rsidR="00E50C2E">
        <w:t xml:space="preserve">převyšovala </w:t>
      </w:r>
      <w:r w:rsidR="00C9127B" w:rsidRPr="00B54514">
        <w:t>celorepublikov</w:t>
      </w:r>
      <w:r w:rsidR="007522EE" w:rsidRPr="00B54514">
        <w:t>ou</w:t>
      </w:r>
      <w:r w:rsidR="00C9127B" w:rsidRPr="00B54514">
        <w:t xml:space="preserve"> </w:t>
      </w:r>
      <w:r w:rsidR="008A6DA7">
        <w:t>úroveň</w:t>
      </w:r>
      <w:r w:rsidR="00C9127B" w:rsidRPr="00B54514">
        <w:t xml:space="preserve">, </w:t>
      </w:r>
      <w:r w:rsidR="00E50C2E">
        <w:t>míra sebevražednosti</w:t>
      </w:r>
      <w:r w:rsidR="004D10A0" w:rsidRPr="00B54514">
        <w:t xml:space="preserve"> žen</w:t>
      </w:r>
      <w:r w:rsidR="00E50C2E">
        <w:t xml:space="preserve"> patřila </w:t>
      </w:r>
      <w:r w:rsidR="008A6DA7">
        <w:t xml:space="preserve">mezi kraji </w:t>
      </w:r>
      <w:r w:rsidR="00213A54">
        <w:t>k </w:t>
      </w:r>
      <w:r w:rsidR="008A6DA7">
        <w:t>nejnižším</w:t>
      </w:r>
      <w:r w:rsidR="004D10A0" w:rsidRPr="00B54514">
        <w:t>.</w:t>
      </w:r>
      <w:r w:rsidRPr="00B54514">
        <w:t xml:space="preserve"> 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szCs w:val="24"/>
          <w:lang w:eastAsia="cs-CZ"/>
        </w:rPr>
        <w:t>V</w:t>
      </w:r>
      <w:r w:rsidR="003874F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letech</w:t>
      </w:r>
      <w:r w:rsidR="003874F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2011</w:t>
      </w:r>
      <w:r w:rsidR="003874F7">
        <w:rPr>
          <w:rFonts w:eastAsia="Times New Roman" w:cs="Arial"/>
          <w:szCs w:val="24"/>
          <w:lang w:eastAsia="cs-CZ"/>
        </w:rPr>
        <w:t> až </w:t>
      </w:r>
      <w:r w:rsidRPr="00FF52ED">
        <w:rPr>
          <w:rFonts w:eastAsia="Times New Roman" w:cs="Arial"/>
          <w:szCs w:val="24"/>
          <w:lang w:eastAsia="cs-CZ"/>
        </w:rPr>
        <w:t xml:space="preserve">2020 zemřelo v Moravskoslezském kraji celkem 136 554 osob, z nich 1 637 osob (podíl 1,2 %) zvolilo dobrovolný odchod </w:t>
      </w:r>
      <w:r w:rsidR="00213A54" w:rsidRPr="00FF52ED">
        <w:rPr>
          <w:rFonts w:eastAsia="Times New Roman" w:cs="Arial"/>
          <w:szCs w:val="24"/>
          <w:lang w:eastAsia="cs-CZ"/>
        </w:rPr>
        <w:t>z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tohoto světa. Hodnocené období začínalo na 201 sebevraždách, což byl v celém desetiletí nejvyšší údaj. Následovaly roky pozvolného poklesu až k minimu (138 sebevražd) v roce 2015. Po nárůstu v dalších dvou letech</w:t>
      </w:r>
      <w:r>
        <w:rPr>
          <w:rFonts w:eastAsia="Times New Roman" w:cs="Arial"/>
          <w:szCs w:val="24"/>
          <w:lang w:eastAsia="cs-CZ"/>
        </w:rPr>
        <w:t xml:space="preserve"> a </w:t>
      </w:r>
      <w:r w:rsidRPr="00FF52ED">
        <w:rPr>
          <w:rFonts w:eastAsia="Times New Roman" w:cs="Arial"/>
          <w:szCs w:val="24"/>
          <w:lang w:eastAsia="cs-CZ"/>
        </w:rPr>
        <w:t>opětovném poklesu se počty sebevražd v roce 2019 ustálily na hodnotě</w:t>
      </w:r>
      <w:r w:rsidR="003A03D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141. V roce 2020 bylo sebevražd o 5 více než v roce předchozím. Celkově tedy mezi roky 2011 a 2020 dobrovolně ukončilo život o</w:t>
      </w:r>
      <w:r w:rsidR="003874F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27,4 % (o 55) osob méně.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noProof/>
          <w:szCs w:val="24"/>
          <w:lang w:eastAsia="cs-CZ"/>
        </w:rPr>
        <w:drawing>
          <wp:inline distT="0" distB="0" distL="0" distR="0" wp14:anchorId="33F80519" wp14:editId="4CE86C9E">
            <wp:extent cx="5400040" cy="296164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szCs w:val="24"/>
          <w:lang w:eastAsia="cs-CZ"/>
        </w:rPr>
        <w:t xml:space="preserve">Snižování počtu sebevražd spolu s převážně rostoucími počty všech úmrtí měly v letech 2011 až 2020 za následek klesající podíl počtu sebevražd na všech zemřelých. Nejvyšší hodnoty v uplynulém desetiletí (1,5 %) dosáhl tento ukazatel v roce 2011, následný pokles vyvrcholil v roce 2015 na hodnotě 1,0 %. Nárůst na 1,2 % v letech 2016 a 2017 byl jen krátkodobý </w:t>
      </w:r>
      <w:r w:rsidRPr="00FF52ED">
        <w:rPr>
          <w:rFonts w:eastAsia="Times New Roman" w:cs="Arial"/>
          <w:szCs w:val="24"/>
          <w:lang w:eastAsia="cs-CZ"/>
        </w:rPr>
        <w:lastRenderedPageBreak/>
        <w:t>a opětovný pokles podílu počtu sebevražd na všech úmrtích skončil v roce 2020 na v</w:t>
      </w:r>
      <w:r w:rsidRPr="00FF52ED">
        <w:rPr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celém desetiletí nejnižším čísle 0,9 % z důvodu zvýšení počtu všech úmrtí kvůli výskytu onemocnění covid-19. 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szCs w:val="24"/>
          <w:lang w:eastAsia="cs-CZ"/>
        </w:rPr>
        <w:t>Ve všech krajích České republi</w:t>
      </w:r>
      <w:r w:rsidR="0045434D">
        <w:rPr>
          <w:rFonts w:eastAsia="Times New Roman" w:cs="Arial"/>
          <w:szCs w:val="24"/>
          <w:lang w:eastAsia="cs-CZ"/>
        </w:rPr>
        <w:t>ky</w:t>
      </w:r>
      <w:r w:rsidRPr="00FF52ED">
        <w:rPr>
          <w:rFonts w:eastAsia="Times New Roman" w:cs="Arial"/>
          <w:szCs w:val="24"/>
          <w:lang w:eastAsia="cs-CZ"/>
        </w:rPr>
        <w:t>, Moravskoslezský kraj nevyjímaje, je běžná situace, kdy svůj život dobrovolně ukončují častěji muži než ženy. V</w:t>
      </w:r>
      <w:r w:rsidR="003874F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desetiletí</w:t>
      </w:r>
      <w:r w:rsidR="003874F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2011</w:t>
      </w:r>
      <w:r w:rsidR="003874F7">
        <w:rPr>
          <w:rFonts w:eastAsia="Times New Roman" w:cs="Arial"/>
          <w:szCs w:val="24"/>
          <w:lang w:eastAsia="cs-CZ"/>
        </w:rPr>
        <w:t> až </w:t>
      </w:r>
      <w:r w:rsidRPr="00FF52ED">
        <w:rPr>
          <w:rFonts w:eastAsia="Times New Roman" w:cs="Arial"/>
          <w:szCs w:val="24"/>
          <w:lang w:eastAsia="cs-CZ"/>
        </w:rPr>
        <w:t xml:space="preserve">2020 spáchalo sebevraždu 1 405 mužů </w:t>
      </w:r>
      <w:r w:rsidR="00213A54" w:rsidRPr="00FF52ED">
        <w:rPr>
          <w:rFonts w:eastAsia="Times New Roman" w:cs="Arial"/>
          <w:szCs w:val="24"/>
          <w:lang w:eastAsia="cs-CZ"/>
        </w:rPr>
        <w:t>a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232 žen. V jednotlivých letech období 2011 až 2020 se pohyboval podíl mužů na celkovém počtu sebevražd v kraji mezi 80 a 90 %. Výjimkou byl rok 2017, kdy podíl mužů činil „pouze“ 79,0 %. Maxima 89,5 % dosáhl tento podíl v roce 2020, kdy z celkového počtu 146 sebevražd jich muži spáchali 131 a to odpovídá hodnotě 8,7 sebevražd mužů na 1 sebevraždu ženy.</w:t>
      </w:r>
      <w:r>
        <w:rPr>
          <w:rFonts w:eastAsia="Times New Roman" w:cs="Arial"/>
          <w:szCs w:val="24"/>
          <w:lang w:eastAsia="cs-CZ"/>
        </w:rPr>
        <w:t xml:space="preserve"> P</w:t>
      </w:r>
      <w:r w:rsidRPr="009428DA">
        <w:rPr>
          <w:rFonts w:eastAsia="Times New Roman" w:cs="Arial"/>
          <w:szCs w:val="24"/>
          <w:lang w:eastAsia="cs-CZ"/>
        </w:rPr>
        <w:t>růměrná roční míra sebevražednosti</w:t>
      </w:r>
      <w:r>
        <w:rPr>
          <w:rFonts w:eastAsia="Times New Roman" w:cs="Arial"/>
          <w:szCs w:val="24"/>
          <w:lang w:eastAsia="cs-CZ"/>
        </w:rPr>
        <w:t xml:space="preserve"> (vztaženo na</w:t>
      </w:r>
      <w:r w:rsidR="003874F7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100 tisíc obyvatel středního stavu) činila v případě mužů 23,6 případu a u žen pouze 3,</w:t>
      </w:r>
      <w:r w:rsidR="00E50C2E">
        <w:rPr>
          <w:rFonts w:eastAsia="Times New Roman" w:cs="Arial"/>
          <w:szCs w:val="24"/>
          <w:lang w:eastAsia="cs-CZ"/>
        </w:rPr>
        <w:t>7</w:t>
      </w:r>
      <w:r>
        <w:rPr>
          <w:rFonts w:eastAsia="Times New Roman" w:cs="Arial"/>
          <w:szCs w:val="24"/>
          <w:lang w:eastAsia="cs-CZ"/>
        </w:rPr>
        <w:t> případu.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szCs w:val="24"/>
          <w:lang w:eastAsia="cs-CZ"/>
        </w:rPr>
        <w:t xml:space="preserve">Graf </w:t>
      </w:r>
      <w:r w:rsidR="0045434D">
        <w:rPr>
          <w:rFonts w:eastAsia="Times New Roman" w:cs="Arial"/>
          <w:szCs w:val="24"/>
          <w:lang w:eastAsia="cs-CZ"/>
        </w:rPr>
        <w:t xml:space="preserve">počtu </w:t>
      </w:r>
      <w:r w:rsidR="0045434D" w:rsidRPr="00FF52ED">
        <w:rPr>
          <w:rFonts w:eastAsia="Times New Roman" w:cs="Arial"/>
          <w:szCs w:val="24"/>
          <w:lang w:eastAsia="cs-CZ"/>
        </w:rPr>
        <w:t>sebevra</w:t>
      </w:r>
      <w:r w:rsidR="0045434D">
        <w:rPr>
          <w:rFonts w:eastAsia="Times New Roman" w:cs="Arial"/>
          <w:szCs w:val="24"/>
          <w:lang w:eastAsia="cs-CZ"/>
        </w:rPr>
        <w:t>žd</w:t>
      </w:r>
      <w:r w:rsidR="0045434D" w:rsidRPr="00FF52ED">
        <w:rPr>
          <w:rFonts w:eastAsia="Times New Roman" w:cs="Arial"/>
          <w:szCs w:val="24"/>
          <w:lang w:eastAsia="cs-CZ"/>
        </w:rPr>
        <w:t xml:space="preserve"> </w:t>
      </w:r>
      <w:r w:rsidRPr="00FF52ED">
        <w:rPr>
          <w:rFonts w:eastAsia="Times New Roman" w:cs="Arial"/>
          <w:szCs w:val="24"/>
          <w:lang w:eastAsia="cs-CZ"/>
        </w:rPr>
        <w:t>podle věkového složení za </w:t>
      </w:r>
      <w:r w:rsidR="008D635E">
        <w:rPr>
          <w:rFonts w:eastAsia="Times New Roman" w:cs="Arial"/>
          <w:szCs w:val="24"/>
          <w:lang w:eastAsia="cs-CZ"/>
        </w:rPr>
        <w:t>hodnocených</w:t>
      </w:r>
      <w:r w:rsidRPr="00FF52ED">
        <w:rPr>
          <w:rFonts w:eastAsia="Times New Roman" w:cs="Arial"/>
          <w:szCs w:val="24"/>
          <w:lang w:eastAsia="cs-CZ"/>
        </w:rPr>
        <w:t xml:space="preserve"> 10 letech připomíná Gaussovu křivku. Nejmladšími sebevrahy (</w:t>
      </w:r>
      <w:r w:rsidR="00213A54" w:rsidRPr="00FF52ED">
        <w:rPr>
          <w:rFonts w:eastAsia="Times New Roman" w:cs="Arial"/>
          <w:szCs w:val="24"/>
          <w:lang w:eastAsia="cs-CZ"/>
        </w:rPr>
        <w:t>v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řádu jednotek) byli již mladiství ve věku 10 až 14 let, následující věková skupina (15</w:t>
      </w:r>
      <w:r w:rsidR="00495466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až</w:t>
      </w:r>
      <w:r w:rsidR="00495466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19</w:t>
      </w:r>
      <w:r w:rsidR="00495466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let) již čítala několik desítek případů. Počty sebevražd se nadále prudce zvyšovaly spolu s rostoucím věkem až do nižšího středního věku (35 až 39 let). Po stagnaci až mírném poklesu ve věkové skupině 40 až 44</w:t>
      </w:r>
      <w:r w:rsidR="00495466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let počty sebevražd opět rostly až k maximu 186 sebevražd ve věkové skupině 50 až 54 let. Dále již následoval setrvalý pokles, nikoli však až k nule, neboť nejstarším sebevrahům bylo 95 a více let. Přitom ve všech věkových skupinách platilo, že muži páchají více sebevražd než ženy.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F817E1" w:rsidP="00E813E3">
      <w:pPr>
        <w:rPr>
          <w:rFonts w:eastAsia="Times New Roman" w:cs="Arial"/>
          <w:b/>
          <w:szCs w:val="24"/>
          <w:lang w:eastAsia="cs-CZ"/>
        </w:rPr>
      </w:pPr>
      <w:r w:rsidRPr="00F817E1">
        <w:rPr>
          <w:rFonts w:eastAsia="Times New Roman" w:cs="Arial"/>
          <w:b/>
          <w:noProof/>
          <w:szCs w:val="24"/>
          <w:lang w:eastAsia="cs-CZ"/>
        </w:rPr>
        <w:drawing>
          <wp:inline distT="0" distB="0" distL="0" distR="0">
            <wp:extent cx="5400040" cy="309526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szCs w:val="24"/>
          <w:lang w:eastAsia="cs-CZ"/>
        </w:rPr>
        <w:t>Nejčastějším způsobem sebevraždy v Moravskoslezském kraji za celé období 2011</w:t>
      </w:r>
      <w:r w:rsidR="003874F7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až 2020 bylo oběšení, které si pro ukončení života zvolily dvě třetiny sebevrahů. Dalšími nejčetnějšími variantami sebevražd byly skok </w:t>
      </w:r>
      <w:r w:rsidR="00213A54" w:rsidRPr="00FF52ED">
        <w:rPr>
          <w:rFonts w:eastAsia="Times New Roman" w:cs="Arial"/>
          <w:szCs w:val="24"/>
          <w:lang w:eastAsia="cs-CZ"/>
        </w:rPr>
        <w:t>z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výše </w:t>
      </w:r>
      <w:r w:rsidR="00213A54" w:rsidRPr="00FF52ED">
        <w:rPr>
          <w:rFonts w:eastAsia="Times New Roman" w:cs="Arial"/>
          <w:szCs w:val="24"/>
          <w:lang w:eastAsia="cs-CZ"/>
        </w:rPr>
        <w:t>s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podílem 8,7 %, následovalo zastřelení se 7,6 %, otravy </w:t>
      </w:r>
      <w:r w:rsidRPr="00FF52ED">
        <w:rPr>
          <w:rFonts w:eastAsia="Times New Roman" w:cs="Arial"/>
          <w:szCs w:val="24"/>
          <w:lang w:eastAsia="cs-CZ"/>
        </w:rPr>
        <w:lastRenderedPageBreak/>
        <w:t>s 6,4 % a sebepoškození ostrým předmětem s 4,7 %. Na dalších místech pak šlo o skok nebo lehnutí si před po</w:t>
      </w:r>
      <w:r>
        <w:rPr>
          <w:rFonts w:eastAsia="Times New Roman" w:cs="Arial"/>
          <w:szCs w:val="24"/>
          <w:lang w:eastAsia="cs-CZ"/>
        </w:rPr>
        <w:t>hybující se předmět</w:t>
      </w:r>
      <w:r w:rsidRPr="00FF52ED">
        <w:rPr>
          <w:rFonts w:eastAsia="Times New Roman" w:cs="Arial"/>
          <w:szCs w:val="24"/>
          <w:lang w:eastAsia="cs-CZ"/>
        </w:rPr>
        <w:t xml:space="preserve"> s podílem 4,3 % </w:t>
      </w:r>
      <w:r w:rsidR="00213A54" w:rsidRPr="00FF52ED">
        <w:rPr>
          <w:rFonts w:eastAsia="Times New Roman" w:cs="Arial"/>
          <w:szCs w:val="24"/>
          <w:lang w:eastAsia="cs-CZ"/>
        </w:rPr>
        <w:t>a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sebevraždu utopením se (0,7 %).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szCs w:val="24"/>
          <w:lang w:eastAsia="cs-CZ"/>
        </w:rPr>
        <w:t xml:space="preserve">Pořadí </w:t>
      </w:r>
      <w:r w:rsidR="00213A54" w:rsidRPr="00FF52ED">
        <w:rPr>
          <w:rFonts w:eastAsia="Times New Roman" w:cs="Arial"/>
          <w:szCs w:val="24"/>
          <w:lang w:eastAsia="cs-CZ"/>
        </w:rPr>
        <w:t>i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proporce jednotlivých způsobů sebepoškození byly pro muže a ženy odlišné. Oběšení bylo sice </w:t>
      </w:r>
      <w:r w:rsidR="00213A54" w:rsidRPr="00FF52ED">
        <w:rPr>
          <w:rFonts w:eastAsia="Times New Roman" w:cs="Arial"/>
          <w:szCs w:val="24"/>
          <w:lang w:eastAsia="cs-CZ"/>
        </w:rPr>
        <w:t>v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celém období</w:t>
      </w:r>
      <w:r w:rsidR="008D635E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2011</w:t>
      </w:r>
      <w:r w:rsidR="003874F7">
        <w:rPr>
          <w:rFonts w:eastAsia="Times New Roman" w:cs="Arial"/>
          <w:szCs w:val="24"/>
          <w:lang w:eastAsia="cs-CZ"/>
        </w:rPr>
        <w:t> až </w:t>
      </w:r>
      <w:r w:rsidRPr="00FF52ED">
        <w:rPr>
          <w:rFonts w:eastAsia="Times New Roman" w:cs="Arial"/>
          <w:szCs w:val="24"/>
          <w:lang w:eastAsia="cs-CZ"/>
        </w:rPr>
        <w:t xml:space="preserve">2020 pro obě pohlaví nejčastějším způsobem sebevraždy, v případě mužů si však tento způsob zvolilo 68,6 % sebevrahů, </w:t>
      </w:r>
      <w:r w:rsidR="00213A54" w:rsidRPr="00FF52ED">
        <w:rPr>
          <w:rFonts w:eastAsia="Times New Roman" w:cs="Arial"/>
          <w:szCs w:val="24"/>
          <w:lang w:eastAsia="cs-CZ"/>
        </w:rPr>
        <w:t>u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žen to bylo pods</w:t>
      </w:r>
      <w:r>
        <w:rPr>
          <w:rFonts w:eastAsia="Times New Roman" w:cs="Arial"/>
          <w:szCs w:val="24"/>
          <w:lang w:eastAsia="cs-CZ"/>
        </w:rPr>
        <w:t>tatně méně, a </w:t>
      </w:r>
      <w:r w:rsidR="008D635E">
        <w:rPr>
          <w:rFonts w:eastAsia="Times New Roman" w:cs="Arial"/>
          <w:szCs w:val="24"/>
          <w:lang w:eastAsia="cs-CZ"/>
        </w:rPr>
        <w:t>to v 52,8 % případů</w:t>
      </w:r>
      <w:r w:rsidRPr="00FF52ED">
        <w:rPr>
          <w:rFonts w:eastAsia="Times New Roman" w:cs="Arial"/>
          <w:szCs w:val="24"/>
          <w:lang w:eastAsia="cs-CZ"/>
        </w:rPr>
        <w:t xml:space="preserve">. Zatímco přes 17 % žen zvolilo smrt otravou (léky </w:t>
      </w:r>
      <w:r w:rsidR="00213A54" w:rsidRPr="00FF52ED">
        <w:rPr>
          <w:rFonts w:eastAsia="Times New Roman" w:cs="Arial"/>
          <w:szCs w:val="24"/>
          <w:lang w:eastAsia="cs-CZ"/>
        </w:rPr>
        <w:t>a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léčivy, alkoholem, plyny </w:t>
      </w:r>
      <w:r w:rsidR="00213A54" w:rsidRPr="00FF52ED">
        <w:rPr>
          <w:rFonts w:eastAsia="Times New Roman" w:cs="Arial"/>
          <w:szCs w:val="24"/>
          <w:lang w:eastAsia="cs-CZ"/>
        </w:rPr>
        <w:t>a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chemickými látkami), </w:t>
      </w:r>
      <w:r w:rsidR="00213A54" w:rsidRPr="00FF52ED">
        <w:rPr>
          <w:rFonts w:eastAsia="Times New Roman" w:cs="Arial"/>
          <w:szCs w:val="24"/>
          <w:lang w:eastAsia="cs-CZ"/>
        </w:rPr>
        <w:t>v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 xml:space="preserve">případě mužů tento způsob zvolilo pouze 4,6 % (ačkoli v absolutních číslech takto sešlo ze světa více mužů než žen) a naopak druhý nejčetnější způsob sebevraždy mužů, tedy výstřel ze střelné zbraně (8,6 %), volilo pouze 1,3 % žen (tedy v hodnocených deseti letech pouze 3 ženy). Ženy zvolily </w:t>
      </w:r>
      <w:r w:rsidR="00213A54" w:rsidRPr="00FF52ED">
        <w:rPr>
          <w:rFonts w:eastAsia="Times New Roman" w:cs="Arial"/>
          <w:szCs w:val="24"/>
          <w:lang w:eastAsia="cs-CZ"/>
        </w:rPr>
        <w:t>v</w:t>
      </w:r>
      <w:r w:rsidR="00213A54">
        <w:rPr>
          <w:rFonts w:eastAsia="Times New Roman" w:cs="Arial"/>
          <w:szCs w:val="24"/>
          <w:lang w:eastAsia="cs-CZ"/>
        </w:rPr>
        <w:t> </w:t>
      </w:r>
      <w:r w:rsidRPr="00FF52ED">
        <w:rPr>
          <w:rFonts w:eastAsia="Times New Roman" w:cs="Arial"/>
          <w:szCs w:val="24"/>
          <w:lang w:eastAsia="cs-CZ"/>
        </w:rPr>
        <w:t>14,7 % případů skok z výše, který si zvolilo 7,7 % mužů. I v případě skoku nebo lehnutí si před pohybující se předmět byla častěji tato volba upřednostňována ženami (6,5 %) než muži (3,9 %). Obě pohlaví pak prakticky shodně v necelých 5 % případů zvolila smrt ostrým předmětem.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noProof/>
          <w:szCs w:val="24"/>
          <w:lang w:eastAsia="cs-CZ"/>
        </w:rPr>
        <w:drawing>
          <wp:inline distT="0" distB="0" distL="0" distR="0" wp14:anchorId="3DB6F482" wp14:editId="2ECF05A8">
            <wp:extent cx="5400040" cy="431419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</w:p>
    <w:p w:rsidR="00E813E3" w:rsidRDefault="00E813E3" w:rsidP="00E813E3">
      <w:pPr>
        <w:rPr>
          <w:noProof/>
          <w:lang w:eastAsia="cs-CZ"/>
        </w:rPr>
      </w:pPr>
      <w:r w:rsidRPr="00FF52ED">
        <w:rPr>
          <w:noProof/>
          <w:lang w:eastAsia="cs-CZ"/>
        </w:rPr>
        <w:t>Zatímco ženy nespáchaly žádnou sebevraždu způsobem, k</w:t>
      </w:r>
      <w:r w:rsidR="008D635E">
        <w:rPr>
          <w:noProof/>
          <w:lang w:eastAsia="cs-CZ"/>
        </w:rPr>
        <w:t xml:space="preserve">terý nepoužili také muži, muži </w:t>
      </w:r>
      <w:r w:rsidRPr="00FF52ED">
        <w:rPr>
          <w:noProof/>
          <w:lang w:eastAsia="cs-CZ"/>
        </w:rPr>
        <w:t xml:space="preserve">volili ve výjimečných případech </w:t>
      </w:r>
      <w:r>
        <w:rPr>
          <w:noProof/>
          <w:lang w:eastAsia="cs-CZ"/>
        </w:rPr>
        <w:t xml:space="preserve">vědomě dobrovolnou </w:t>
      </w:r>
      <w:r w:rsidRPr="00FF52ED">
        <w:rPr>
          <w:noProof/>
          <w:lang w:eastAsia="cs-CZ"/>
        </w:rPr>
        <w:t xml:space="preserve">smrt oxidem uhelnatým </w:t>
      </w:r>
      <w:r w:rsidR="00213A54" w:rsidRPr="00FF52ED">
        <w:rPr>
          <w:noProof/>
          <w:lang w:eastAsia="cs-CZ"/>
        </w:rPr>
        <w:t>a</w:t>
      </w:r>
      <w:r w:rsidR="00213A54">
        <w:rPr>
          <w:noProof/>
          <w:lang w:eastAsia="cs-CZ"/>
        </w:rPr>
        <w:t> </w:t>
      </w:r>
      <w:r w:rsidRPr="00FF52ED">
        <w:rPr>
          <w:noProof/>
          <w:lang w:eastAsia="cs-CZ"/>
        </w:rPr>
        <w:t xml:space="preserve">jinými plyny </w:t>
      </w:r>
      <w:r w:rsidR="00213A54" w:rsidRPr="00FF52ED">
        <w:rPr>
          <w:noProof/>
          <w:lang w:eastAsia="cs-CZ"/>
        </w:rPr>
        <w:t>a</w:t>
      </w:r>
      <w:r w:rsidR="00213A54">
        <w:rPr>
          <w:noProof/>
          <w:lang w:eastAsia="cs-CZ"/>
        </w:rPr>
        <w:t> </w:t>
      </w:r>
      <w:r w:rsidRPr="00FF52ED">
        <w:rPr>
          <w:noProof/>
          <w:lang w:eastAsia="cs-CZ"/>
        </w:rPr>
        <w:t>parami, dále kouřem‚ dýmem a ohněm či havárií motorového vozidla.</w:t>
      </w:r>
    </w:p>
    <w:p w:rsidR="00E813E3" w:rsidRPr="00FF52ED" w:rsidRDefault="00E813E3" w:rsidP="00E813E3">
      <w:pPr>
        <w:rPr>
          <w:rFonts w:eastAsia="Times New Roman" w:cs="Arial"/>
          <w:szCs w:val="24"/>
          <w:lang w:eastAsia="cs-CZ"/>
        </w:rPr>
      </w:pPr>
      <w:r w:rsidRPr="00FF52ED">
        <w:rPr>
          <w:rFonts w:eastAsia="Times New Roman" w:cs="Arial"/>
          <w:noProof/>
          <w:szCs w:val="24"/>
          <w:lang w:eastAsia="cs-CZ"/>
        </w:rPr>
        <w:lastRenderedPageBreak/>
        <w:drawing>
          <wp:inline distT="0" distB="0" distL="0" distR="0" wp14:anchorId="5718BD1F" wp14:editId="6B1C25DA">
            <wp:extent cx="5400040" cy="322834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3" w:rsidRPr="00FF52ED" w:rsidRDefault="00E813E3" w:rsidP="00E813E3"/>
    <w:p w:rsidR="00E813E3" w:rsidRDefault="00E813E3" w:rsidP="00E813E3">
      <w:pPr>
        <w:rPr>
          <w:bCs/>
          <w:szCs w:val="20"/>
        </w:rPr>
      </w:pPr>
      <w:r w:rsidRPr="00591492">
        <w:rPr>
          <w:bCs/>
          <w:szCs w:val="20"/>
        </w:rPr>
        <w:t xml:space="preserve">Sebevraždy nejsou páchány během roku zcela stejnoměrně. </w:t>
      </w:r>
      <w:r>
        <w:rPr>
          <w:bCs/>
          <w:szCs w:val="20"/>
        </w:rPr>
        <w:t>V </w:t>
      </w:r>
      <w:r w:rsidR="00824F2D">
        <w:rPr>
          <w:bCs/>
          <w:szCs w:val="20"/>
        </w:rPr>
        <w:t>M</w:t>
      </w:r>
      <w:r>
        <w:rPr>
          <w:bCs/>
          <w:szCs w:val="20"/>
        </w:rPr>
        <w:t>oravskoslezském kraji byl m</w:t>
      </w:r>
      <w:r w:rsidRPr="00FF52ED">
        <w:rPr>
          <w:bCs/>
          <w:szCs w:val="20"/>
        </w:rPr>
        <w:t xml:space="preserve">ěsícem </w:t>
      </w:r>
      <w:r>
        <w:rPr>
          <w:bCs/>
          <w:szCs w:val="20"/>
        </w:rPr>
        <w:t xml:space="preserve">s nejvyšším počtem spáchaných </w:t>
      </w:r>
      <w:r w:rsidRPr="00FF52ED">
        <w:rPr>
          <w:bCs/>
          <w:szCs w:val="20"/>
        </w:rPr>
        <w:t xml:space="preserve">sebevražd </w:t>
      </w:r>
      <w:r>
        <w:rPr>
          <w:bCs/>
          <w:szCs w:val="20"/>
        </w:rPr>
        <w:t>(20 případů) v roce 2020</w:t>
      </w:r>
      <w:r w:rsidRPr="00FF52ED">
        <w:rPr>
          <w:bCs/>
          <w:szCs w:val="20"/>
        </w:rPr>
        <w:t xml:space="preserve"> prosinec, ale dlouhodobě </w:t>
      </w:r>
      <w:r>
        <w:rPr>
          <w:bCs/>
          <w:szCs w:val="20"/>
        </w:rPr>
        <w:t>za období</w:t>
      </w:r>
      <w:r w:rsidR="003874F7">
        <w:rPr>
          <w:bCs/>
          <w:szCs w:val="20"/>
        </w:rPr>
        <w:t> </w:t>
      </w:r>
      <w:r>
        <w:rPr>
          <w:bCs/>
          <w:szCs w:val="20"/>
        </w:rPr>
        <w:t xml:space="preserve">2011 až 2020 vede </w:t>
      </w:r>
      <w:r w:rsidRPr="00FF52ED">
        <w:rPr>
          <w:bCs/>
          <w:szCs w:val="20"/>
        </w:rPr>
        <w:t>březen</w:t>
      </w:r>
      <w:r>
        <w:rPr>
          <w:bCs/>
          <w:szCs w:val="20"/>
        </w:rPr>
        <w:t xml:space="preserve"> s měsíčním průměrem cca 16 sebevražd</w:t>
      </w:r>
      <w:r w:rsidRPr="00FF52ED">
        <w:rPr>
          <w:bCs/>
          <w:szCs w:val="20"/>
        </w:rPr>
        <w:t xml:space="preserve">. </w:t>
      </w:r>
      <w:r>
        <w:rPr>
          <w:bCs/>
          <w:szCs w:val="20"/>
        </w:rPr>
        <w:t xml:space="preserve">Dalšími exponovanými měsíci v roce byli duben a červenec s průměrným počtem 15 sebevražd. Naopak v měsíci únoru si vědomě sáhlo na život nejméně sebevrahů (průměrně 11 osob měsíčně). </w:t>
      </w:r>
    </w:p>
    <w:p w:rsidR="00A119F0" w:rsidRDefault="00A119F0" w:rsidP="00E813E3">
      <w:pPr>
        <w:rPr>
          <w:bCs/>
          <w:szCs w:val="20"/>
        </w:rPr>
      </w:pPr>
    </w:p>
    <w:p w:rsidR="00B54514" w:rsidRDefault="00A119F0" w:rsidP="00E813E3">
      <w:pPr>
        <w:rPr>
          <w:bCs/>
          <w:szCs w:val="20"/>
        </w:rPr>
      </w:pPr>
      <w:r w:rsidRPr="0005717B">
        <w:rPr>
          <w:bCs/>
          <w:noProof/>
          <w:szCs w:val="20"/>
          <w:lang w:eastAsia="cs-CZ"/>
        </w:rPr>
        <w:drawing>
          <wp:inline distT="0" distB="0" distL="0" distR="0" wp14:anchorId="4408508E" wp14:editId="0E07431D">
            <wp:extent cx="5400040" cy="2875915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F0" w:rsidRDefault="00A119F0" w:rsidP="00A119F0">
      <w:pPr>
        <w:rPr>
          <w:bCs/>
          <w:szCs w:val="20"/>
        </w:rPr>
      </w:pPr>
      <w:r w:rsidRPr="007C473C">
        <w:rPr>
          <w:bCs/>
          <w:szCs w:val="20"/>
        </w:rPr>
        <w:lastRenderedPageBreak/>
        <w:t xml:space="preserve">Počty úmyslných sebepoškození končících úmrtím mají určitou pravidelnost i podle dnů v týdnu. V Moravskoslezském kraji v letech 2011 až 2020 byla dnem v týdnu, kdy docházelo k nejmenším počtům sebevražd, sobota (průměrně 21 případů ročně). Naopak obdobím s největším výskytem sebevražd byl začátek pracovního týdne, konkrétně </w:t>
      </w:r>
      <w:r>
        <w:rPr>
          <w:bCs/>
          <w:szCs w:val="20"/>
        </w:rPr>
        <w:t>pondělí</w:t>
      </w:r>
      <w:r w:rsidRPr="007C473C">
        <w:rPr>
          <w:bCs/>
          <w:szCs w:val="20"/>
        </w:rPr>
        <w:t xml:space="preserve"> s</w:t>
      </w:r>
      <w:r>
        <w:rPr>
          <w:bCs/>
          <w:szCs w:val="20"/>
        </w:rPr>
        <w:t> </w:t>
      </w:r>
      <w:r w:rsidRPr="007C473C">
        <w:rPr>
          <w:bCs/>
          <w:szCs w:val="20"/>
        </w:rPr>
        <w:t>průměrně</w:t>
      </w:r>
      <w:r>
        <w:rPr>
          <w:bCs/>
          <w:szCs w:val="20"/>
        </w:rPr>
        <w:t xml:space="preserve"> </w:t>
      </w:r>
      <w:r w:rsidRPr="007C473C">
        <w:rPr>
          <w:bCs/>
          <w:szCs w:val="20"/>
        </w:rPr>
        <w:t>26 sebevraždami za rok a úterý s 27 případy ročně. Během dalších dní pracovního týdne se sebevražednost snižovala (</w:t>
      </w:r>
      <w:r w:rsidR="00213A54" w:rsidRPr="007C473C">
        <w:rPr>
          <w:bCs/>
          <w:szCs w:val="20"/>
        </w:rPr>
        <w:t>s</w:t>
      </w:r>
      <w:r w:rsidR="00213A54">
        <w:rPr>
          <w:bCs/>
          <w:szCs w:val="20"/>
        </w:rPr>
        <w:t> </w:t>
      </w:r>
      <w:r w:rsidRPr="007C473C">
        <w:rPr>
          <w:bCs/>
          <w:szCs w:val="20"/>
        </w:rPr>
        <w:t>mírným oživením ve čtvrtek). Tento průběh byl společný</w:t>
      </w:r>
      <w:r>
        <w:rPr>
          <w:bCs/>
          <w:szCs w:val="20"/>
        </w:rPr>
        <w:t xml:space="preserve"> oběma pohlavím.</w:t>
      </w:r>
    </w:p>
    <w:p w:rsidR="00A119F0" w:rsidRDefault="00A119F0" w:rsidP="00E813E3">
      <w:pPr>
        <w:rPr>
          <w:bCs/>
          <w:szCs w:val="20"/>
        </w:rPr>
      </w:pPr>
    </w:p>
    <w:p w:rsidR="00B54514" w:rsidRDefault="00B54514" w:rsidP="00E813E3">
      <w:pPr>
        <w:rPr>
          <w:bCs/>
          <w:szCs w:val="20"/>
        </w:rPr>
      </w:pPr>
      <w:r w:rsidRPr="00946D9C">
        <w:rPr>
          <w:bCs/>
          <w:noProof/>
          <w:szCs w:val="20"/>
          <w:lang w:eastAsia="cs-CZ"/>
        </w:rPr>
        <w:drawing>
          <wp:inline distT="0" distB="0" distL="0" distR="0" wp14:anchorId="5ACEA98E" wp14:editId="454BA4FF">
            <wp:extent cx="5400040" cy="2875915"/>
            <wp:effectExtent l="0" t="0" r="0" b="63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14" w:rsidRDefault="00B54514" w:rsidP="00E813E3">
      <w:pPr>
        <w:rPr>
          <w:bCs/>
          <w:szCs w:val="20"/>
        </w:rPr>
      </w:pPr>
    </w:p>
    <w:p w:rsidR="00B54514" w:rsidRDefault="00B54514" w:rsidP="00E813E3">
      <w:pPr>
        <w:rPr>
          <w:bCs/>
          <w:szCs w:val="20"/>
        </w:rPr>
      </w:pPr>
      <w:r w:rsidRPr="00021937">
        <w:rPr>
          <w:bCs/>
          <w:noProof/>
          <w:szCs w:val="20"/>
          <w:lang w:eastAsia="cs-CZ"/>
        </w:rPr>
        <w:drawing>
          <wp:inline distT="0" distB="0" distL="0" distR="0" wp14:anchorId="5B22D675" wp14:editId="628A3E3D">
            <wp:extent cx="5400040" cy="305689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3" w:rsidRDefault="00E813E3" w:rsidP="00E813E3">
      <w:pPr>
        <w:rPr>
          <w:bCs/>
          <w:szCs w:val="20"/>
        </w:rPr>
      </w:pPr>
      <w:r>
        <w:rPr>
          <w:bCs/>
          <w:szCs w:val="20"/>
        </w:rPr>
        <w:lastRenderedPageBreak/>
        <w:t xml:space="preserve">Při přepočtu na 100 tisíc obyvatel středního stavu </w:t>
      </w:r>
      <w:r w:rsidRPr="00F602B8">
        <w:rPr>
          <w:bCs/>
          <w:szCs w:val="20"/>
        </w:rPr>
        <w:t>se v</w:t>
      </w:r>
      <w:r>
        <w:rPr>
          <w:bCs/>
          <w:szCs w:val="20"/>
        </w:rPr>
        <w:t> </w:t>
      </w:r>
      <w:r w:rsidRPr="00F602B8">
        <w:rPr>
          <w:bCs/>
          <w:szCs w:val="20"/>
        </w:rPr>
        <w:t>letech</w:t>
      </w:r>
      <w:r>
        <w:rPr>
          <w:bCs/>
          <w:szCs w:val="20"/>
        </w:rPr>
        <w:t> </w:t>
      </w:r>
      <w:r w:rsidRPr="00F602B8">
        <w:rPr>
          <w:bCs/>
          <w:szCs w:val="20"/>
        </w:rPr>
        <w:t>2011</w:t>
      </w:r>
      <w:r>
        <w:rPr>
          <w:bCs/>
          <w:szCs w:val="20"/>
        </w:rPr>
        <w:t> až </w:t>
      </w:r>
      <w:r w:rsidRPr="00F602B8">
        <w:rPr>
          <w:bCs/>
          <w:szCs w:val="20"/>
        </w:rPr>
        <w:t>2020</w:t>
      </w:r>
      <w:r>
        <w:rPr>
          <w:bCs/>
          <w:szCs w:val="20"/>
        </w:rPr>
        <w:t xml:space="preserve"> událo nejvíce sebevražd </w:t>
      </w:r>
      <w:r w:rsidR="00213A54">
        <w:rPr>
          <w:bCs/>
          <w:szCs w:val="20"/>
        </w:rPr>
        <w:t>v </w:t>
      </w:r>
      <w:r>
        <w:rPr>
          <w:bCs/>
          <w:szCs w:val="20"/>
        </w:rPr>
        <w:t xml:space="preserve">okrese Bruntál, </w:t>
      </w:r>
      <w:r w:rsidR="00213A54">
        <w:rPr>
          <w:bCs/>
          <w:szCs w:val="20"/>
        </w:rPr>
        <w:t>a </w:t>
      </w:r>
      <w:r>
        <w:rPr>
          <w:bCs/>
          <w:szCs w:val="20"/>
        </w:rPr>
        <w:t xml:space="preserve">to </w:t>
      </w:r>
      <w:r w:rsidR="007F7439">
        <w:rPr>
          <w:bCs/>
          <w:szCs w:val="20"/>
        </w:rPr>
        <w:t xml:space="preserve">průměrně </w:t>
      </w:r>
      <w:r>
        <w:rPr>
          <w:bCs/>
          <w:szCs w:val="20"/>
        </w:rPr>
        <w:t xml:space="preserve">16 případů ročně. Dalšími rizikovými okresy byly Frýdek-Místek </w:t>
      </w:r>
      <w:r w:rsidR="00213A54">
        <w:rPr>
          <w:bCs/>
          <w:szCs w:val="20"/>
        </w:rPr>
        <w:t>a </w:t>
      </w:r>
      <w:r>
        <w:rPr>
          <w:bCs/>
          <w:szCs w:val="20"/>
        </w:rPr>
        <w:t xml:space="preserve">Karviná se 14 sebevraždami na 100 tisíc obyvatel. Na opačné straně žebříčku se nacházel okres Opava s průměrným počtem 12 sebevražd </w:t>
      </w:r>
      <w:r w:rsidRPr="0077514C">
        <w:rPr>
          <w:bCs/>
          <w:szCs w:val="20"/>
        </w:rPr>
        <w:t>ročně. V</w:t>
      </w:r>
      <w:r w:rsidR="003874F7">
        <w:rPr>
          <w:bCs/>
          <w:szCs w:val="20"/>
        </w:rPr>
        <w:t> </w:t>
      </w:r>
      <w:r w:rsidRPr="0077514C">
        <w:rPr>
          <w:bCs/>
          <w:szCs w:val="20"/>
        </w:rPr>
        <w:t xml:space="preserve">případě mužů </w:t>
      </w:r>
      <w:r w:rsidR="00213A54" w:rsidRPr="0077514C">
        <w:rPr>
          <w:bCs/>
          <w:szCs w:val="20"/>
        </w:rPr>
        <w:t>a</w:t>
      </w:r>
      <w:r w:rsidR="00213A54">
        <w:rPr>
          <w:bCs/>
          <w:szCs w:val="20"/>
        </w:rPr>
        <w:t> </w:t>
      </w:r>
      <w:r w:rsidRPr="0077514C">
        <w:rPr>
          <w:bCs/>
          <w:szCs w:val="20"/>
        </w:rPr>
        <w:t xml:space="preserve">žen byla průměrná roční míra sebevražednosti s ohledem na výrazně vyšší zastoupení sebevražd v mužské části populace značně rozdílná. Pro obě pohlaví však platilo, že nejvíce sebevražd na 100 tisíc obyvatel bylo spácháno v okrese Bruntál, nejméně pak </w:t>
      </w:r>
      <w:r w:rsidR="00213A54" w:rsidRPr="0077514C">
        <w:rPr>
          <w:bCs/>
          <w:szCs w:val="20"/>
        </w:rPr>
        <w:t>u</w:t>
      </w:r>
      <w:r w:rsidR="00213A54">
        <w:rPr>
          <w:bCs/>
          <w:szCs w:val="20"/>
        </w:rPr>
        <w:t> </w:t>
      </w:r>
      <w:r w:rsidRPr="0077514C">
        <w:rPr>
          <w:bCs/>
          <w:szCs w:val="20"/>
        </w:rPr>
        <w:t>mužů v Opavě a</w:t>
      </w:r>
      <w:r w:rsidR="003874F7">
        <w:rPr>
          <w:bCs/>
          <w:szCs w:val="20"/>
        </w:rPr>
        <w:t> </w:t>
      </w:r>
      <w:r w:rsidRPr="0077514C">
        <w:rPr>
          <w:bCs/>
          <w:szCs w:val="20"/>
        </w:rPr>
        <w:t>u</w:t>
      </w:r>
      <w:r w:rsidR="003874F7">
        <w:rPr>
          <w:bCs/>
          <w:szCs w:val="20"/>
        </w:rPr>
        <w:t> </w:t>
      </w:r>
      <w:r w:rsidRPr="0077514C">
        <w:rPr>
          <w:bCs/>
          <w:szCs w:val="20"/>
        </w:rPr>
        <w:t>žen</w:t>
      </w:r>
      <w:r>
        <w:rPr>
          <w:bCs/>
          <w:szCs w:val="20"/>
        </w:rPr>
        <w:t xml:space="preserve"> v Novém Jičíně.</w:t>
      </w:r>
    </w:p>
    <w:p w:rsidR="00E813E3" w:rsidRDefault="00E813E3" w:rsidP="00E813E3">
      <w:pPr>
        <w:rPr>
          <w:bCs/>
          <w:szCs w:val="20"/>
        </w:rPr>
      </w:pPr>
    </w:p>
    <w:p w:rsidR="00E813E3" w:rsidRDefault="00DF6D04" w:rsidP="00E813E3">
      <w:pPr>
        <w:rPr>
          <w:bCs/>
          <w:szCs w:val="20"/>
        </w:rPr>
      </w:pPr>
      <w:r w:rsidRPr="00DF6D04">
        <w:rPr>
          <w:bCs/>
          <w:noProof/>
          <w:szCs w:val="20"/>
          <w:lang w:eastAsia="cs-CZ"/>
        </w:rPr>
        <w:drawing>
          <wp:inline distT="0" distB="0" distL="0" distR="0">
            <wp:extent cx="5400040" cy="334288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E3" w:rsidRDefault="00E813E3" w:rsidP="00E813E3">
      <w:pPr>
        <w:rPr>
          <w:bCs/>
          <w:szCs w:val="20"/>
        </w:rPr>
      </w:pPr>
    </w:p>
    <w:p w:rsidR="00763DA0" w:rsidRDefault="00763DA0" w:rsidP="000D7574">
      <w:pPr>
        <w:rPr>
          <w:bCs/>
          <w:szCs w:val="20"/>
        </w:rPr>
      </w:pPr>
      <w:r>
        <w:rPr>
          <w:bCs/>
          <w:szCs w:val="20"/>
        </w:rPr>
        <w:t xml:space="preserve">V celém Česku </w:t>
      </w:r>
      <w:r w:rsidRPr="00763DA0">
        <w:rPr>
          <w:bCs/>
          <w:szCs w:val="20"/>
        </w:rPr>
        <w:t>byl</w:t>
      </w:r>
      <w:r>
        <w:rPr>
          <w:bCs/>
          <w:szCs w:val="20"/>
        </w:rPr>
        <w:t xml:space="preserve">o </w:t>
      </w:r>
      <w:r w:rsidRPr="00763DA0">
        <w:rPr>
          <w:bCs/>
          <w:szCs w:val="20"/>
        </w:rPr>
        <w:t>v</w:t>
      </w:r>
      <w:r w:rsidR="003874F7">
        <w:rPr>
          <w:bCs/>
          <w:szCs w:val="20"/>
        </w:rPr>
        <w:t> </w:t>
      </w:r>
      <w:r w:rsidRPr="00763DA0">
        <w:rPr>
          <w:bCs/>
          <w:szCs w:val="20"/>
        </w:rPr>
        <w:t>letech</w:t>
      </w:r>
      <w:r w:rsidR="003874F7">
        <w:rPr>
          <w:bCs/>
          <w:szCs w:val="20"/>
        </w:rPr>
        <w:t> </w:t>
      </w:r>
      <w:r w:rsidRPr="00763DA0">
        <w:rPr>
          <w:bCs/>
          <w:szCs w:val="20"/>
        </w:rPr>
        <w:t>20</w:t>
      </w:r>
      <w:r w:rsidR="00C7323B">
        <w:rPr>
          <w:bCs/>
          <w:szCs w:val="20"/>
        </w:rPr>
        <w:t>1</w:t>
      </w:r>
      <w:r w:rsidRPr="00763DA0">
        <w:rPr>
          <w:bCs/>
          <w:szCs w:val="20"/>
        </w:rPr>
        <w:t>1</w:t>
      </w:r>
      <w:r w:rsidR="003874F7">
        <w:rPr>
          <w:bCs/>
          <w:szCs w:val="20"/>
        </w:rPr>
        <w:t xml:space="preserve"> až </w:t>
      </w:r>
      <w:r w:rsidRPr="00763DA0">
        <w:rPr>
          <w:bCs/>
          <w:szCs w:val="20"/>
        </w:rPr>
        <w:t>2020</w:t>
      </w:r>
      <w:r>
        <w:rPr>
          <w:bCs/>
          <w:szCs w:val="20"/>
        </w:rPr>
        <w:t xml:space="preserve"> spácháno 13,4 </w:t>
      </w:r>
      <w:r w:rsidRPr="00763DA0">
        <w:rPr>
          <w:bCs/>
          <w:szCs w:val="20"/>
        </w:rPr>
        <w:t>sebevražd na</w:t>
      </w:r>
      <w:r>
        <w:rPr>
          <w:bCs/>
          <w:szCs w:val="20"/>
        </w:rPr>
        <w:t> </w:t>
      </w:r>
      <w:r w:rsidRPr="00763DA0">
        <w:rPr>
          <w:bCs/>
          <w:szCs w:val="20"/>
        </w:rPr>
        <w:t>100</w:t>
      </w:r>
      <w:r>
        <w:rPr>
          <w:bCs/>
          <w:szCs w:val="20"/>
        </w:rPr>
        <w:t> </w:t>
      </w:r>
      <w:r w:rsidRPr="00763DA0">
        <w:rPr>
          <w:bCs/>
          <w:szCs w:val="20"/>
        </w:rPr>
        <w:t>tisíc obyvatel</w:t>
      </w:r>
      <w:r>
        <w:rPr>
          <w:bCs/>
          <w:szCs w:val="20"/>
        </w:rPr>
        <w:t>. Výrazněji tuto hranici překonaly kraje Karlovarský (15,7 sebevražd), Liberecký (15,1 sebevražd) a Královéhradecký (14,8 sebevražd).</w:t>
      </w:r>
      <w:r w:rsidR="000D7574">
        <w:rPr>
          <w:bCs/>
          <w:szCs w:val="20"/>
        </w:rPr>
        <w:t xml:space="preserve"> Nejnižší průměrné roční míry sebevražednosti dosáhli v Kraji Vysočina s 11,2</w:t>
      </w:r>
      <w:r w:rsidR="003874F7">
        <w:rPr>
          <w:bCs/>
          <w:szCs w:val="20"/>
        </w:rPr>
        <w:t> </w:t>
      </w:r>
      <w:r w:rsidR="000D7574">
        <w:rPr>
          <w:bCs/>
          <w:szCs w:val="20"/>
        </w:rPr>
        <w:t>sebevraždami na</w:t>
      </w:r>
      <w:r w:rsidR="003874F7">
        <w:rPr>
          <w:bCs/>
          <w:szCs w:val="20"/>
        </w:rPr>
        <w:t> </w:t>
      </w:r>
      <w:r w:rsidR="000D7574">
        <w:rPr>
          <w:bCs/>
          <w:szCs w:val="20"/>
        </w:rPr>
        <w:t>100</w:t>
      </w:r>
      <w:r w:rsidR="003874F7">
        <w:rPr>
          <w:bCs/>
          <w:szCs w:val="20"/>
        </w:rPr>
        <w:t> </w:t>
      </w:r>
      <w:r w:rsidR="000D7574">
        <w:rPr>
          <w:bCs/>
          <w:szCs w:val="20"/>
        </w:rPr>
        <w:t xml:space="preserve">tisíc obyvatel. </w:t>
      </w:r>
      <w:r w:rsidR="000D7574" w:rsidRPr="000D7574">
        <w:rPr>
          <w:bCs/>
          <w:szCs w:val="20"/>
        </w:rPr>
        <w:t xml:space="preserve">Relativně nízká </w:t>
      </w:r>
      <w:r w:rsidR="000D7574">
        <w:rPr>
          <w:bCs/>
          <w:szCs w:val="20"/>
        </w:rPr>
        <w:t>byla</w:t>
      </w:r>
      <w:r w:rsidR="000D7574" w:rsidRPr="000D7574">
        <w:rPr>
          <w:bCs/>
          <w:szCs w:val="20"/>
        </w:rPr>
        <w:t xml:space="preserve"> úroveň sebevražednosti také </w:t>
      </w:r>
      <w:r w:rsidR="00213A54" w:rsidRPr="000D7574">
        <w:rPr>
          <w:bCs/>
          <w:szCs w:val="20"/>
        </w:rPr>
        <w:t>v</w:t>
      </w:r>
      <w:r w:rsidR="00213A54">
        <w:rPr>
          <w:bCs/>
          <w:szCs w:val="20"/>
        </w:rPr>
        <w:t> h</w:t>
      </w:r>
      <w:r w:rsidR="000D7574" w:rsidRPr="000D7574">
        <w:rPr>
          <w:bCs/>
          <w:szCs w:val="20"/>
        </w:rPr>
        <w:t>lavním městě Praze</w:t>
      </w:r>
      <w:r w:rsidR="000D7574">
        <w:rPr>
          <w:bCs/>
          <w:szCs w:val="20"/>
        </w:rPr>
        <w:t>.</w:t>
      </w:r>
    </w:p>
    <w:p w:rsidR="00E813E3" w:rsidRDefault="00E813E3" w:rsidP="00E813E3">
      <w:pPr>
        <w:rPr>
          <w:bCs/>
          <w:szCs w:val="20"/>
        </w:rPr>
      </w:pPr>
      <w:bookmarkStart w:id="0" w:name="_GoBack"/>
      <w:bookmarkEnd w:id="0"/>
    </w:p>
    <w:p w:rsidR="00E813E3" w:rsidRPr="001832AC" w:rsidRDefault="00E813E3" w:rsidP="00E813E3">
      <w:pPr>
        <w:rPr>
          <w:b/>
          <w:bCs/>
          <w:szCs w:val="20"/>
        </w:rPr>
      </w:pPr>
      <w:r w:rsidRPr="001832AC">
        <w:rPr>
          <w:b/>
          <w:bCs/>
          <w:szCs w:val="20"/>
        </w:rPr>
        <w:t>Související informace</w:t>
      </w:r>
      <w:r>
        <w:rPr>
          <w:b/>
          <w:bCs/>
          <w:szCs w:val="20"/>
        </w:rPr>
        <w:t>:</w:t>
      </w:r>
    </w:p>
    <w:p w:rsidR="00E813E3" w:rsidRPr="001832AC" w:rsidRDefault="005B699C" w:rsidP="00E813E3">
      <w:pPr>
        <w:rPr>
          <w:bCs/>
          <w:color w:val="0071BC"/>
          <w:szCs w:val="20"/>
        </w:rPr>
      </w:pPr>
      <w:hyperlink r:id="rId15" w:history="1">
        <w:r w:rsidR="00E813E3" w:rsidRPr="001832AC">
          <w:rPr>
            <w:rStyle w:val="Hypertextovodkaz"/>
            <w:bCs/>
            <w:color w:val="0071BC"/>
            <w:szCs w:val="20"/>
          </w:rPr>
          <w:t xml:space="preserve">Sebevraždy </w:t>
        </w:r>
        <w:r w:rsidR="00213A54" w:rsidRPr="001832AC">
          <w:rPr>
            <w:rStyle w:val="Hypertextovodkaz"/>
            <w:bCs/>
            <w:color w:val="0071BC"/>
            <w:szCs w:val="20"/>
          </w:rPr>
          <w:t>v</w:t>
        </w:r>
        <w:r w:rsidR="00213A54">
          <w:rPr>
            <w:rStyle w:val="Hypertextovodkaz"/>
            <w:bCs/>
            <w:color w:val="0071BC"/>
            <w:szCs w:val="20"/>
          </w:rPr>
          <w:t> </w:t>
        </w:r>
        <w:r w:rsidR="00E813E3" w:rsidRPr="001832AC">
          <w:rPr>
            <w:rStyle w:val="Hypertextovodkaz"/>
            <w:bCs/>
            <w:color w:val="0071BC"/>
            <w:szCs w:val="20"/>
          </w:rPr>
          <w:t>České republice - 2011 až 2020</w:t>
        </w:r>
      </w:hyperlink>
    </w:p>
    <w:p w:rsidR="00FC7194" w:rsidRDefault="00FC7194" w:rsidP="00FC7194"/>
    <w:p w:rsidR="00FC7194" w:rsidRDefault="00FC7194" w:rsidP="00FC7194"/>
    <w:p w:rsidR="00E813E3" w:rsidRPr="0055302F" w:rsidRDefault="00E813E3" w:rsidP="00E813E3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E813E3" w:rsidRPr="0055302F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5C" w:rsidRDefault="00C8405C" w:rsidP="00BA6370">
      <w:r>
        <w:separator/>
      </w:r>
    </w:p>
  </w:endnote>
  <w:endnote w:type="continuationSeparator" w:id="0">
    <w:p w:rsidR="00C8405C" w:rsidRDefault="00C840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a 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Krajská správa ČSÚ v 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>595 131 2</w:t>
                          </w:r>
                          <w:r w:rsidR="00C71935">
                            <w:rPr>
                              <w:rFonts w:cs="Arial"/>
                              <w:sz w:val="15"/>
                              <w:szCs w:val="15"/>
                            </w:rPr>
                            <w:t>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263F7C" w:rsidRPr="00263F7C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B699C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a 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Krajská správa ČSÚ v 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>595 131 2</w:t>
                    </w:r>
                    <w:r w:rsidR="00C71935">
                      <w:rPr>
                        <w:rFonts w:cs="Arial"/>
                        <w:sz w:val="15"/>
                        <w:szCs w:val="15"/>
                      </w:rPr>
                      <w:t>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263F7C" w:rsidRPr="00263F7C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B699C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A4F14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5C" w:rsidRDefault="00C8405C" w:rsidP="00BA6370">
      <w:r>
        <w:separator/>
      </w:r>
    </w:p>
  </w:footnote>
  <w:footnote w:type="continuationSeparator" w:id="0">
    <w:p w:rsidR="00C8405C" w:rsidRDefault="00C840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E703F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BAE0F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B6DC2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CDEE9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1D69A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BC8EF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E8DB5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C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0D7574"/>
    <w:rsid w:val="0011135A"/>
    <w:rsid w:val="001165D7"/>
    <w:rsid w:val="001262F8"/>
    <w:rsid w:val="00137FE4"/>
    <w:rsid w:val="001404AB"/>
    <w:rsid w:val="00146745"/>
    <w:rsid w:val="001471D6"/>
    <w:rsid w:val="00154950"/>
    <w:rsid w:val="00156F5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13A54"/>
    <w:rsid w:val="002272A6"/>
    <w:rsid w:val="002406FA"/>
    <w:rsid w:val="002460EA"/>
    <w:rsid w:val="0026346B"/>
    <w:rsid w:val="00263F7C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22FE7"/>
    <w:rsid w:val="003301A3"/>
    <w:rsid w:val="0035578A"/>
    <w:rsid w:val="0036777B"/>
    <w:rsid w:val="003723F1"/>
    <w:rsid w:val="0038282A"/>
    <w:rsid w:val="003874F7"/>
    <w:rsid w:val="00397580"/>
    <w:rsid w:val="003A03D7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434D"/>
    <w:rsid w:val="0045547F"/>
    <w:rsid w:val="00460236"/>
    <w:rsid w:val="00483248"/>
    <w:rsid w:val="00485B6D"/>
    <w:rsid w:val="004920AD"/>
    <w:rsid w:val="00495466"/>
    <w:rsid w:val="004B0E07"/>
    <w:rsid w:val="004B6985"/>
    <w:rsid w:val="004C0641"/>
    <w:rsid w:val="004C7C50"/>
    <w:rsid w:val="004D05B3"/>
    <w:rsid w:val="004D07E4"/>
    <w:rsid w:val="004D10A0"/>
    <w:rsid w:val="004E479E"/>
    <w:rsid w:val="004E583B"/>
    <w:rsid w:val="004F3EC1"/>
    <w:rsid w:val="004F78E6"/>
    <w:rsid w:val="00512D99"/>
    <w:rsid w:val="00522A43"/>
    <w:rsid w:val="00523D28"/>
    <w:rsid w:val="00524D45"/>
    <w:rsid w:val="00531DBB"/>
    <w:rsid w:val="00531E36"/>
    <w:rsid w:val="00563CBF"/>
    <w:rsid w:val="005A4CF0"/>
    <w:rsid w:val="005B425A"/>
    <w:rsid w:val="005B4BEB"/>
    <w:rsid w:val="005B699C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313C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522EE"/>
    <w:rsid w:val="00763DA0"/>
    <w:rsid w:val="00796380"/>
    <w:rsid w:val="007A57F2"/>
    <w:rsid w:val="007B1333"/>
    <w:rsid w:val="007C4721"/>
    <w:rsid w:val="007D7E4F"/>
    <w:rsid w:val="007E2A8E"/>
    <w:rsid w:val="007E622A"/>
    <w:rsid w:val="007F4AEB"/>
    <w:rsid w:val="007F7439"/>
    <w:rsid w:val="007F75B2"/>
    <w:rsid w:val="008043C4"/>
    <w:rsid w:val="008108D7"/>
    <w:rsid w:val="00824F2D"/>
    <w:rsid w:val="00831B1B"/>
    <w:rsid w:val="00861D0E"/>
    <w:rsid w:val="00867569"/>
    <w:rsid w:val="00874373"/>
    <w:rsid w:val="008805CB"/>
    <w:rsid w:val="00882382"/>
    <w:rsid w:val="008A4BA5"/>
    <w:rsid w:val="008A5F4F"/>
    <w:rsid w:val="008A6DA7"/>
    <w:rsid w:val="008A750A"/>
    <w:rsid w:val="008C384C"/>
    <w:rsid w:val="008D0F11"/>
    <w:rsid w:val="008D635E"/>
    <w:rsid w:val="008F2493"/>
    <w:rsid w:val="008F35B4"/>
    <w:rsid w:val="008F63FB"/>
    <w:rsid w:val="008F73B4"/>
    <w:rsid w:val="009273EC"/>
    <w:rsid w:val="0094402F"/>
    <w:rsid w:val="0095198D"/>
    <w:rsid w:val="009668FF"/>
    <w:rsid w:val="00981088"/>
    <w:rsid w:val="00984C08"/>
    <w:rsid w:val="009B55B1"/>
    <w:rsid w:val="009C2234"/>
    <w:rsid w:val="009D564B"/>
    <w:rsid w:val="00A00672"/>
    <w:rsid w:val="00A119F0"/>
    <w:rsid w:val="00A4343D"/>
    <w:rsid w:val="00A502F1"/>
    <w:rsid w:val="00A70A83"/>
    <w:rsid w:val="00A77AEA"/>
    <w:rsid w:val="00A81EB3"/>
    <w:rsid w:val="00A842CF"/>
    <w:rsid w:val="00AE3FCA"/>
    <w:rsid w:val="00AE6D5B"/>
    <w:rsid w:val="00AE723F"/>
    <w:rsid w:val="00B00C1D"/>
    <w:rsid w:val="00B03E21"/>
    <w:rsid w:val="00B1128D"/>
    <w:rsid w:val="00B129C9"/>
    <w:rsid w:val="00B40799"/>
    <w:rsid w:val="00B433A7"/>
    <w:rsid w:val="00B54514"/>
    <w:rsid w:val="00BA439F"/>
    <w:rsid w:val="00BA6370"/>
    <w:rsid w:val="00BD14F5"/>
    <w:rsid w:val="00BE218E"/>
    <w:rsid w:val="00BF07E1"/>
    <w:rsid w:val="00C1513D"/>
    <w:rsid w:val="00C269D4"/>
    <w:rsid w:val="00C4160D"/>
    <w:rsid w:val="00C52466"/>
    <w:rsid w:val="00C568C0"/>
    <w:rsid w:val="00C62F5D"/>
    <w:rsid w:val="00C71935"/>
    <w:rsid w:val="00C7323B"/>
    <w:rsid w:val="00C8405C"/>
    <w:rsid w:val="00C8406E"/>
    <w:rsid w:val="00C9127B"/>
    <w:rsid w:val="00CA7E45"/>
    <w:rsid w:val="00CB2709"/>
    <w:rsid w:val="00CB6F89"/>
    <w:rsid w:val="00CB7797"/>
    <w:rsid w:val="00CE228C"/>
    <w:rsid w:val="00CF545B"/>
    <w:rsid w:val="00D018F0"/>
    <w:rsid w:val="00D206E1"/>
    <w:rsid w:val="00D24759"/>
    <w:rsid w:val="00D27074"/>
    <w:rsid w:val="00D27D69"/>
    <w:rsid w:val="00D27DEC"/>
    <w:rsid w:val="00D448C2"/>
    <w:rsid w:val="00D666C3"/>
    <w:rsid w:val="00D71A18"/>
    <w:rsid w:val="00D94A08"/>
    <w:rsid w:val="00DB3587"/>
    <w:rsid w:val="00DB517B"/>
    <w:rsid w:val="00DF47FE"/>
    <w:rsid w:val="00DF6D04"/>
    <w:rsid w:val="00DF7CDB"/>
    <w:rsid w:val="00E2374E"/>
    <w:rsid w:val="00E26704"/>
    <w:rsid w:val="00E27C40"/>
    <w:rsid w:val="00E31980"/>
    <w:rsid w:val="00E34B8A"/>
    <w:rsid w:val="00E50C2E"/>
    <w:rsid w:val="00E6423C"/>
    <w:rsid w:val="00E676DA"/>
    <w:rsid w:val="00E80E75"/>
    <w:rsid w:val="00E813E3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17E1"/>
    <w:rsid w:val="00F82157"/>
    <w:rsid w:val="00FB000A"/>
    <w:rsid w:val="00FB005B"/>
    <w:rsid w:val="00FB5996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2941FC86-0B45-42E5-9060-80F3A1A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71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sebevrazdy-v-ceske-republice-2011-az-2020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f8f9c04-0354-4668-921c-0f4e556012cf\Koment&#225;&#345;_CZ%20Ostrava_2022-02-08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9CF2-B322-4F12-B891-85815CD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 (1).dotx</Template>
  <TotalTime>79</TotalTime>
  <Pages>6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7124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14</cp:revision>
  <cp:lastPrinted>2022-02-24T12:53:00Z</cp:lastPrinted>
  <dcterms:created xsi:type="dcterms:W3CDTF">2022-02-24T10:26:00Z</dcterms:created>
  <dcterms:modified xsi:type="dcterms:W3CDTF">2022-02-24T13:03:00Z</dcterms:modified>
</cp:coreProperties>
</file>