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AC629E" w:rsidP="00FC7194">
      <w:pPr>
        <w:pStyle w:val="Datum"/>
      </w:pPr>
      <w:r>
        <w:t>21</w:t>
      </w:r>
      <w:r w:rsidR="000775E2">
        <w:t xml:space="preserve">. </w:t>
      </w:r>
      <w:r w:rsidR="00545BCE">
        <w:t>8</w:t>
      </w:r>
      <w:r w:rsidR="000775E2">
        <w:t>. 2019</w:t>
      </w:r>
    </w:p>
    <w:p w:rsidR="00FC7194" w:rsidRPr="00032806" w:rsidRDefault="00545BCE" w:rsidP="00FC7194">
      <w:pPr>
        <w:pStyle w:val="Nzev"/>
      </w:pPr>
      <w:r>
        <w:t>Bytová výstavba</w:t>
      </w:r>
      <w:r w:rsidR="00A53C99">
        <w:t xml:space="preserve"> </w:t>
      </w:r>
      <w:r w:rsidR="007722F2">
        <w:t>v </w:t>
      </w:r>
      <w:r w:rsidR="00EA2D8A">
        <w:t>Moravskoslezském kraji v </w:t>
      </w:r>
      <w:r>
        <w:t>letech</w:t>
      </w:r>
      <w:r w:rsidR="00DA093A">
        <w:t> </w:t>
      </w:r>
      <w:r>
        <w:t>2009–</w:t>
      </w:r>
      <w:r w:rsidR="00DA093A">
        <w:t>2018</w:t>
      </w:r>
    </w:p>
    <w:p w:rsidR="00545BCE" w:rsidRPr="00987C88" w:rsidRDefault="00F1647C" w:rsidP="00545BCE">
      <w:pPr>
        <w:pStyle w:val="Perex"/>
        <w:rPr>
          <w:bCs/>
          <w:szCs w:val="20"/>
        </w:rPr>
      </w:pPr>
      <w:r w:rsidRPr="00987C88">
        <w:rPr>
          <w:bCs/>
          <w:szCs w:val="20"/>
        </w:rPr>
        <w:t xml:space="preserve">Za posledních 10 let bylo v Moravskoslezském kraji celkově dokončeno 24,5 tis. bytů, </w:t>
      </w:r>
      <w:r w:rsidR="00EB63FF" w:rsidRPr="00987C88">
        <w:rPr>
          <w:bCs/>
          <w:szCs w:val="20"/>
        </w:rPr>
        <w:t>když</w:t>
      </w:r>
      <w:r w:rsidRPr="00987C88">
        <w:rPr>
          <w:bCs/>
          <w:szCs w:val="20"/>
        </w:rPr>
        <w:t xml:space="preserve"> téměř polovina z nich byla postavena jen ve dvou okresech Frýdek-Místek </w:t>
      </w:r>
      <w:r w:rsidR="00E2388D" w:rsidRPr="00987C88">
        <w:rPr>
          <w:bCs/>
          <w:szCs w:val="20"/>
        </w:rPr>
        <w:t>a Ostrava-město</w:t>
      </w:r>
      <w:r w:rsidRPr="00987C88">
        <w:rPr>
          <w:bCs/>
          <w:szCs w:val="20"/>
        </w:rPr>
        <w:t xml:space="preserve">. </w:t>
      </w:r>
      <w:r w:rsidR="000D772E" w:rsidRPr="00987C88">
        <w:rPr>
          <w:bCs/>
          <w:szCs w:val="20"/>
        </w:rPr>
        <w:t>Mezi dokončenými byty jednoznačně převládala výstavba v rodinných domech</w:t>
      </w:r>
      <w:r w:rsidR="00EB63FF" w:rsidRPr="00987C88">
        <w:rPr>
          <w:bCs/>
          <w:szCs w:val="20"/>
        </w:rPr>
        <w:t>, vč.</w:t>
      </w:r>
      <w:r w:rsidR="000D772E" w:rsidRPr="00987C88">
        <w:rPr>
          <w:bCs/>
          <w:szCs w:val="20"/>
        </w:rPr>
        <w:t xml:space="preserve"> jejich nástaveb a  přístaveb</w:t>
      </w:r>
      <w:r w:rsidR="00EB63FF" w:rsidRPr="00987C88">
        <w:rPr>
          <w:bCs/>
          <w:szCs w:val="20"/>
        </w:rPr>
        <w:t xml:space="preserve"> (18,4 tis. bytů), přičemž jejich podíl na celkové výstavbě vykazoval rostoucí tendenci. Za celé sledované období tak byly</w:t>
      </w:r>
      <w:r w:rsidR="00E2388D" w:rsidRPr="00987C88">
        <w:rPr>
          <w:bCs/>
          <w:szCs w:val="20"/>
        </w:rPr>
        <w:t xml:space="preserve"> v kraji</w:t>
      </w:r>
      <w:r w:rsidR="00EB63FF" w:rsidRPr="00987C88">
        <w:rPr>
          <w:bCs/>
          <w:szCs w:val="20"/>
        </w:rPr>
        <w:t xml:space="preserve"> v průměru tři ze čtyř bytů postaveny v rodinných domech. </w:t>
      </w:r>
      <w:r w:rsidR="00E2388D" w:rsidRPr="00987C88">
        <w:rPr>
          <w:bCs/>
          <w:szCs w:val="20"/>
        </w:rPr>
        <w:t xml:space="preserve">Téměř třetina všech bytů v rodinných domech byla realizována v okrese Frýdek-Místech, v případě bytů </w:t>
      </w:r>
      <w:r w:rsidR="00C16E9C" w:rsidRPr="00987C88">
        <w:rPr>
          <w:bCs/>
          <w:szCs w:val="20"/>
        </w:rPr>
        <w:t>v </w:t>
      </w:r>
      <w:r w:rsidR="00E2388D" w:rsidRPr="00987C88">
        <w:rPr>
          <w:bCs/>
          <w:szCs w:val="20"/>
        </w:rPr>
        <w:t>bytových domech to bylo v okrese Ostrava-město (45,6 %).</w:t>
      </w:r>
    </w:p>
    <w:p w:rsidR="00545BCE" w:rsidRPr="004230FF" w:rsidRDefault="00545BCE" w:rsidP="005C098C">
      <w:pPr>
        <w:autoSpaceDE w:val="0"/>
        <w:autoSpaceDN w:val="0"/>
        <w:adjustRightInd w:val="0"/>
        <w:rPr>
          <w:spacing w:val="-2"/>
        </w:rPr>
      </w:pPr>
      <w:r w:rsidRPr="004230FF">
        <w:rPr>
          <w:spacing w:val="-2"/>
          <w:szCs w:val="17"/>
        </w:rPr>
        <w:t xml:space="preserve">Počet </w:t>
      </w:r>
      <w:r w:rsidRPr="004230FF">
        <w:rPr>
          <w:b/>
          <w:bCs/>
          <w:spacing w:val="-2"/>
          <w:szCs w:val="17"/>
        </w:rPr>
        <w:t>dokončených bytů</w:t>
      </w:r>
      <w:r w:rsidRPr="004230FF">
        <w:rPr>
          <w:spacing w:val="-2"/>
          <w:szCs w:val="17"/>
        </w:rPr>
        <w:t xml:space="preserve"> je považován za jeden z nejvýznamnějších ukazatelů bytové výstavby. </w:t>
      </w:r>
      <w:r w:rsidRPr="004230FF">
        <w:rPr>
          <w:spacing w:val="-2"/>
        </w:rPr>
        <w:t xml:space="preserve">Velmi často bývá používán jako rozhodující kritérium při hodnocení úspěšnosti bytové politiky. </w:t>
      </w:r>
      <w:r w:rsidR="0005506C" w:rsidRPr="004230FF">
        <w:rPr>
          <w:spacing w:val="-2"/>
        </w:rPr>
        <w:t xml:space="preserve">Výchozí rok 2009 byl rokem maxima hodnoceného desetiletého období, v kraji bylo dokončeno 2 984 bytů. </w:t>
      </w:r>
      <w:r w:rsidRPr="004230FF">
        <w:rPr>
          <w:spacing w:val="-2"/>
        </w:rPr>
        <w:t xml:space="preserve">V tomto roce rovněž došlo k nejvýraznějšímu meziročnímu růstu dokončených bytů, kdy bylo dokončeno </w:t>
      </w:r>
      <w:r w:rsidR="005C098C" w:rsidRPr="004230FF">
        <w:rPr>
          <w:spacing w:val="-2"/>
        </w:rPr>
        <w:t>o </w:t>
      </w:r>
      <w:r w:rsidRPr="004230FF">
        <w:rPr>
          <w:spacing w:val="-2"/>
        </w:rPr>
        <w:t>531 bytů (</w:t>
      </w:r>
      <w:r w:rsidR="005C098C" w:rsidRPr="004230FF">
        <w:rPr>
          <w:spacing w:val="-2"/>
        </w:rPr>
        <w:t>o </w:t>
      </w:r>
      <w:r w:rsidRPr="004230FF">
        <w:rPr>
          <w:spacing w:val="-2"/>
        </w:rPr>
        <w:t>21,6 %) více než v roce předešlé</w:t>
      </w:r>
      <w:r w:rsidR="0005506C" w:rsidRPr="004230FF">
        <w:rPr>
          <w:spacing w:val="-2"/>
        </w:rPr>
        <w:t>m. Největší podíl na tom měl až nezvykle vysoký počet dokončených</w:t>
      </w:r>
      <w:r w:rsidRPr="004230FF">
        <w:rPr>
          <w:spacing w:val="-2"/>
        </w:rPr>
        <w:t xml:space="preserve"> bytů v bytových domech</w:t>
      </w:r>
      <w:r w:rsidR="0005506C" w:rsidRPr="004230FF">
        <w:rPr>
          <w:spacing w:val="-2"/>
        </w:rPr>
        <w:t xml:space="preserve"> </w:t>
      </w:r>
      <w:r w:rsidRPr="004230FF">
        <w:rPr>
          <w:spacing w:val="-2"/>
        </w:rPr>
        <w:t>(</w:t>
      </w:r>
      <w:r w:rsidR="0005506C" w:rsidRPr="004230FF">
        <w:rPr>
          <w:spacing w:val="-2"/>
        </w:rPr>
        <w:t xml:space="preserve">663 bytů, </w:t>
      </w:r>
      <w:r w:rsidRPr="004230FF">
        <w:rPr>
          <w:spacing w:val="-2"/>
        </w:rPr>
        <w:t xml:space="preserve">nárůst </w:t>
      </w:r>
      <w:r w:rsidR="005C098C" w:rsidRPr="004230FF">
        <w:rPr>
          <w:spacing w:val="-2"/>
        </w:rPr>
        <w:t>o </w:t>
      </w:r>
      <w:r w:rsidRPr="004230FF">
        <w:rPr>
          <w:spacing w:val="-2"/>
        </w:rPr>
        <w:t xml:space="preserve">474 bytů). V následujících letech nabral vývoj </w:t>
      </w:r>
      <w:r w:rsidR="00466709">
        <w:rPr>
          <w:spacing w:val="-2"/>
        </w:rPr>
        <w:t xml:space="preserve">v důsledku recese </w:t>
      </w:r>
      <w:r w:rsidRPr="004230FF">
        <w:rPr>
          <w:spacing w:val="-2"/>
        </w:rPr>
        <w:t xml:space="preserve">opačný směr a počet dokončených bytů </w:t>
      </w:r>
      <w:r w:rsidR="00CD2BB6" w:rsidRPr="004230FF">
        <w:rPr>
          <w:spacing w:val="-2"/>
        </w:rPr>
        <w:t>postupně</w:t>
      </w:r>
      <w:r w:rsidRPr="004230FF">
        <w:rPr>
          <w:spacing w:val="-2"/>
        </w:rPr>
        <w:t xml:space="preserve"> klesal až na hodnotu 1 943 v roce 2014</w:t>
      </w:r>
      <w:r w:rsidR="00CD2BB6" w:rsidRPr="004230FF">
        <w:rPr>
          <w:spacing w:val="-2"/>
        </w:rPr>
        <w:t xml:space="preserve">. V dalším období, </w:t>
      </w:r>
      <w:r w:rsidRPr="004230FF">
        <w:rPr>
          <w:spacing w:val="-2"/>
        </w:rPr>
        <w:t xml:space="preserve">s výjimkou roku 2016, </w:t>
      </w:r>
      <w:r w:rsidR="00CD2BB6" w:rsidRPr="004230FF">
        <w:rPr>
          <w:spacing w:val="-2"/>
        </w:rPr>
        <w:t xml:space="preserve">počty dokončených bytů rostly, </w:t>
      </w:r>
      <w:r w:rsidRPr="004230FF">
        <w:rPr>
          <w:spacing w:val="-2"/>
        </w:rPr>
        <w:t>v roce 201</w:t>
      </w:r>
      <w:r w:rsidR="00CD2BB6" w:rsidRPr="004230FF">
        <w:rPr>
          <w:spacing w:val="-2"/>
        </w:rPr>
        <w:t>8 tak bylo dokončeno 2 545 </w:t>
      </w:r>
      <w:r w:rsidRPr="004230FF">
        <w:rPr>
          <w:spacing w:val="-2"/>
        </w:rPr>
        <w:t>bytů.</w:t>
      </w:r>
    </w:p>
    <w:p w:rsidR="00545BCE" w:rsidRPr="00545BCE" w:rsidRDefault="00545BCE" w:rsidP="005C098C">
      <w:pPr>
        <w:autoSpaceDE w:val="0"/>
        <w:autoSpaceDN w:val="0"/>
        <w:adjustRightInd w:val="0"/>
      </w:pPr>
    </w:p>
    <w:p w:rsidR="00545BCE" w:rsidRDefault="003213D2" w:rsidP="005C098C">
      <w:pPr>
        <w:autoSpaceDE w:val="0"/>
        <w:autoSpaceDN w:val="0"/>
        <w:adjustRightInd w:val="0"/>
      </w:pPr>
      <w:r w:rsidRPr="003213D2">
        <w:rPr>
          <w:noProof/>
          <w:lang w:eastAsia="cs-CZ"/>
        </w:rPr>
        <w:drawing>
          <wp:inline distT="0" distB="0" distL="0" distR="0">
            <wp:extent cx="5400000" cy="20628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CE" w:rsidRPr="00545BCE" w:rsidRDefault="00545BCE" w:rsidP="005C098C">
      <w:pPr>
        <w:autoSpaceDE w:val="0"/>
        <w:autoSpaceDN w:val="0"/>
        <w:adjustRightInd w:val="0"/>
      </w:pPr>
    </w:p>
    <w:p w:rsidR="00545BCE" w:rsidRPr="00987C88" w:rsidRDefault="00545BCE" w:rsidP="005C098C">
      <w:pPr>
        <w:autoSpaceDE w:val="0"/>
        <w:autoSpaceDN w:val="0"/>
        <w:adjustRightInd w:val="0"/>
        <w:rPr>
          <w:spacing w:val="-2"/>
        </w:rPr>
      </w:pPr>
      <w:r w:rsidRPr="00987C88">
        <w:rPr>
          <w:spacing w:val="-2"/>
        </w:rPr>
        <w:t xml:space="preserve">Téměř 28 % z celkových 24 539 bytů dokončených v kraji </w:t>
      </w:r>
      <w:r w:rsidR="003556A4" w:rsidRPr="00987C88">
        <w:rPr>
          <w:spacing w:val="-2"/>
        </w:rPr>
        <w:t>za posledních deset let</w:t>
      </w:r>
      <w:r w:rsidRPr="00987C88">
        <w:rPr>
          <w:spacing w:val="-2"/>
        </w:rPr>
        <w:t xml:space="preserve"> bylo realizováno v okrese Frýdek-Místek, což je dáno kombinací jeho výhodné polohy </w:t>
      </w:r>
      <w:r w:rsidR="005C098C" w:rsidRPr="00987C88">
        <w:rPr>
          <w:spacing w:val="-2"/>
        </w:rPr>
        <w:t>v </w:t>
      </w:r>
      <w:r w:rsidRPr="00987C88">
        <w:rPr>
          <w:spacing w:val="-2"/>
        </w:rPr>
        <w:t xml:space="preserve">blízkosti krajského města </w:t>
      </w:r>
      <w:r w:rsidR="005C098C" w:rsidRPr="00987C88">
        <w:rPr>
          <w:spacing w:val="-2"/>
        </w:rPr>
        <w:t>a </w:t>
      </w:r>
      <w:r w:rsidRPr="00987C88">
        <w:rPr>
          <w:spacing w:val="-2"/>
        </w:rPr>
        <w:t xml:space="preserve">malebné přírody Moravskoslezských Beskyd. V okrese </w:t>
      </w:r>
      <w:r w:rsidR="00CD2BB6" w:rsidRPr="00987C88">
        <w:rPr>
          <w:spacing w:val="-2"/>
        </w:rPr>
        <w:t>Ostrava-</w:t>
      </w:r>
      <w:r w:rsidRPr="00987C88">
        <w:rPr>
          <w:spacing w:val="-2"/>
        </w:rPr>
        <w:t xml:space="preserve">město to bylo </w:t>
      </w:r>
      <w:r w:rsidR="003556A4" w:rsidRPr="00987C88">
        <w:rPr>
          <w:spacing w:val="-2"/>
        </w:rPr>
        <w:t xml:space="preserve">cca </w:t>
      </w:r>
      <w:r w:rsidRPr="00987C88">
        <w:rPr>
          <w:spacing w:val="-2"/>
        </w:rPr>
        <w:t xml:space="preserve">22 </w:t>
      </w:r>
      <w:r w:rsidRPr="00987C88">
        <w:rPr>
          <w:spacing w:val="-2"/>
          <w:lang w:val="en-US"/>
        </w:rPr>
        <w:t>%</w:t>
      </w:r>
      <w:r w:rsidRPr="00987C88">
        <w:rPr>
          <w:spacing w:val="-2"/>
        </w:rPr>
        <w:t xml:space="preserve">. Nejméně pak v okrese Bruntál, </w:t>
      </w:r>
      <w:r w:rsidR="005C098C" w:rsidRPr="00987C88">
        <w:rPr>
          <w:spacing w:val="-2"/>
        </w:rPr>
        <w:t>a </w:t>
      </w:r>
      <w:r w:rsidRPr="00987C88">
        <w:rPr>
          <w:spacing w:val="-2"/>
        </w:rPr>
        <w:t xml:space="preserve">to jak absolutně (1 354 bytů), tak </w:t>
      </w:r>
      <w:r w:rsidR="005C098C" w:rsidRPr="00987C88">
        <w:rPr>
          <w:spacing w:val="-2"/>
        </w:rPr>
        <w:t>i </w:t>
      </w:r>
      <w:r w:rsidRPr="00987C88">
        <w:rPr>
          <w:spacing w:val="-2"/>
        </w:rPr>
        <w:t>relativně (5,6 %).</w:t>
      </w:r>
      <w:r w:rsidR="004230FF" w:rsidRPr="00987C88">
        <w:rPr>
          <w:spacing w:val="-2"/>
        </w:rPr>
        <w:t xml:space="preserve"> </w:t>
      </w:r>
      <w:r w:rsidR="00DA50A3" w:rsidRPr="00987C88">
        <w:rPr>
          <w:spacing w:val="-2"/>
        </w:rPr>
        <w:t>B</w:t>
      </w:r>
      <w:r w:rsidR="004230FF" w:rsidRPr="00987C88">
        <w:rPr>
          <w:spacing w:val="-2"/>
        </w:rPr>
        <w:t xml:space="preserve">ytů v rodinných domech se každoročně nejvíce stavělo v okrese Frýdek-Místek, 31,8 % z celkového počtu </w:t>
      </w:r>
      <w:r w:rsidR="00DA50A3" w:rsidRPr="00987C88">
        <w:rPr>
          <w:spacing w:val="-2"/>
        </w:rPr>
        <w:t xml:space="preserve">16 880 </w:t>
      </w:r>
      <w:r w:rsidR="004230FF" w:rsidRPr="00987C88">
        <w:rPr>
          <w:spacing w:val="-2"/>
        </w:rPr>
        <w:t>bytů v rodinných domech dokončených v kraji za posledních 10 let.</w:t>
      </w:r>
      <w:r w:rsidR="00DA50A3" w:rsidRPr="00987C88">
        <w:rPr>
          <w:spacing w:val="-2"/>
        </w:rPr>
        <w:t xml:space="preserve"> V případě bytů v bytových domech jich bylo z celkového počtu 2 365 bytů postaveno v okrese Ostrava 46,7 %.</w:t>
      </w:r>
    </w:p>
    <w:p w:rsidR="00545BCE" w:rsidRDefault="00545BCE" w:rsidP="005C098C">
      <w:pPr>
        <w:autoSpaceDE w:val="0"/>
        <w:autoSpaceDN w:val="0"/>
        <w:adjustRightInd w:val="0"/>
      </w:pPr>
      <w:r w:rsidRPr="00545BCE">
        <w:lastRenderedPageBreak/>
        <w:t>V přepočtu na 1 000 obyvatel byl</w:t>
      </w:r>
      <w:r w:rsidR="003556A4">
        <w:t>o</w:t>
      </w:r>
      <w:r w:rsidRPr="00545BCE">
        <w:t xml:space="preserve"> </w:t>
      </w:r>
      <w:r w:rsidR="003556A4" w:rsidRPr="00545BCE">
        <w:t xml:space="preserve">v kraji </w:t>
      </w:r>
      <w:r w:rsidRPr="00545BCE">
        <w:t>v</w:t>
      </w:r>
      <w:r w:rsidR="003556A4">
        <w:t> celém sledovaném úseku</w:t>
      </w:r>
      <w:r w:rsidRPr="00545BCE">
        <w:t xml:space="preserve"> dokončen</w:t>
      </w:r>
      <w:r w:rsidR="003556A4">
        <w:t>o</w:t>
      </w:r>
      <w:r w:rsidRPr="00545BCE">
        <w:t xml:space="preserve"> průměrně 2</w:t>
      </w:r>
      <w:r w:rsidR="003556A4">
        <w:t>,0 bytu</w:t>
      </w:r>
      <w:r w:rsidRPr="00545BCE">
        <w:t xml:space="preserve"> ročně. V roce 2018 </w:t>
      </w:r>
      <w:r w:rsidR="003556A4">
        <w:t xml:space="preserve">byl tento ukazatel mírně vyšší </w:t>
      </w:r>
      <w:r w:rsidR="003709CA">
        <w:t>a </w:t>
      </w:r>
      <w:r w:rsidR="003556A4">
        <w:t>činil</w:t>
      </w:r>
      <w:r w:rsidRPr="00545BCE">
        <w:t xml:space="preserve"> 2,</w:t>
      </w:r>
      <w:r w:rsidR="003709CA">
        <w:t>1 </w:t>
      </w:r>
      <w:r w:rsidR="003556A4">
        <w:t>bytu</w:t>
      </w:r>
      <w:r w:rsidRPr="00545BCE">
        <w:t xml:space="preserve">. Nejintenzivnější bytová výstavba </w:t>
      </w:r>
      <w:r w:rsidR="00044676">
        <w:t>probíhala</w:t>
      </w:r>
      <w:r w:rsidRPr="00545BCE">
        <w:t xml:space="preserve"> v okrese Frýdek-Místek</w:t>
      </w:r>
      <w:r w:rsidR="00044676">
        <w:t xml:space="preserve">, </w:t>
      </w:r>
      <w:r w:rsidR="00043707">
        <w:t>v </w:t>
      </w:r>
      <w:r w:rsidR="00044676">
        <w:t>němž</w:t>
      </w:r>
      <w:r w:rsidRPr="00545BCE">
        <w:t xml:space="preserve"> jako </w:t>
      </w:r>
      <w:r w:rsidR="00044676">
        <w:t>v </w:t>
      </w:r>
      <w:r w:rsidRPr="00545BCE">
        <w:t xml:space="preserve">jediném okrese kraje, byly ve sledovaném období dokončeny </w:t>
      </w:r>
      <w:r w:rsidR="00044676">
        <w:t>více než</w:t>
      </w:r>
      <w:r w:rsidRPr="00545BCE">
        <w:t xml:space="preserve"> </w:t>
      </w:r>
      <w:r w:rsidR="005C098C" w:rsidRPr="00545BCE">
        <w:t>3</w:t>
      </w:r>
      <w:r w:rsidR="005C098C">
        <w:t> </w:t>
      </w:r>
      <w:r w:rsidR="00043707">
        <w:t>byty na 1 000 </w:t>
      </w:r>
      <w:r w:rsidRPr="00545BCE">
        <w:t xml:space="preserve">obyvatel </w:t>
      </w:r>
      <w:r w:rsidR="00044676">
        <w:t xml:space="preserve">ročně </w:t>
      </w:r>
      <w:r w:rsidRPr="00545BCE">
        <w:t>(3,</w:t>
      </w:r>
      <w:r w:rsidR="005C098C" w:rsidRPr="00545BCE">
        <w:t>2</w:t>
      </w:r>
      <w:r w:rsidR="005C098C">
        <w:t> </w:t>
      </w:r>
      <w:r w:rsidR="00044676">
        <w:t>bytu</w:t>
      </w:r>
      <w:r w:rsidRPr="00545BCE">
        <w:t xml:space="preserve">), zatímco okresy Bruntál, Karviná </w:t>
      </w:r>
      <w:r w:rsidR="005C098C" w:rsidRPr="00545BCE">
        <w:t>a</w:t>
      </w:r>
      <w:r w:rsidR="005C098C">
        <w:t> </w:t>
      </w:r>
      <w:r w:rsidR="00044676">
        <w:t>Ostrava-</w:t>
      </w:r>
      <w:r w:rsidRPr="00545BCE">
        <w:t xml:space="preserve">město </w:t>
      </w:r>
      <w:r w:rsidR="00044676">
        <w:t>nedosáhly ani 2</w:t>
      </w:r>
      <w:r w:rsidRPr="00545BCE">
        <w:t> byt</w:t>
      </w:r>
      <w:r w:rsidR="00044676">
        <w:t>ů</w:t>
      </w:r>
      <w:r w:rsidRPr="00545BCE">
        <w:t xml:space="preserve"> (1,4; resp. 1,</w:t>
      </w:r>
      <w:r w:rsidR="00044676">
        <w:t>5</w:t>
      </w:r>
      <w:r w:rsidR="002339BF">
        <w:t> </w:t>
      </w:r>
      <w:r w:rsidR="005C098C" w:rsidRPr="00545BCE">
        <w:t>a</w:t>
      </w:r>
      <w:r w:rsidR="005C098C">
        <w:t> </w:t>
      </w:r>
      <w:r w:rsidR="009938B4">
        <w:t>1,</w:t>
      </w:r>
      <w:r w:rsidR="003709CA">
        <w:t>6 </w:t>
      </w:r>
      <w:r w:rsidR="009938B4">
        <w:t>bytu na </w:t>
      </w:r>
      <w:r w:rsidR="00043707">
        <w:t>1 000 </w:t>
      </w:r>
      <w:r w:rsidRPr="00545BCE">
        <w:t>obyvatel).</w:t>
      </w:r>
    </w:p>
    <w:p w:rsidR="003556A4" w:rsidRPr="00545BCE" w:rsidRDefault="003556A4" w:rsidP="005C098C">
      <w:pPr>
        <w:autoSpaceDE w:val="0"/>
        <w:autoSpaceDN w:val="0"/>
        <w:adjustRightInd w:val="0"/>
      </w:pPr>
    </w:p>
    <w:p w:rsidR="00545BCE" w:rsidRDefault="003213D2" w:rsidP="005C098C">
      <w:pPr>
        <w:autoSpaceDE w:val="0"/>
        <w:autoSpaceDN w:val="0"/>
        <w:adjustRightInd w:val="0"/>
      </w:pPr>
      <w:r w:rsidRPr="003213D2">
        <w:rPr>
          <w:noProof/>
          <w:lang w:eastAsia="cs-CZ"/>
        </w:rPr>
        <w:drawing>
          <wp:inline distT="0" distB="0" distL="0" distR="0">
            <wp:extent cx="5400000" cy="20628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66" w:rsidRDefault="00417C66" w:rsidP="005C098C">
      <w:pPr>
        <w:autoSpaceDE w:val="0"/>
        <w:autoSpaceDN w:val="0"/>
        <w:adjustRightInd w:val="0"/>
      </w:pPr>
    </w:p>
    <w:p w:rsidR="00417C66" w:rsidRDefault="003213D2" w:rsidP="00A1409F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3213D2">
        <w:rPr>
          <w:noProof/>
          <w:szCs w:val="24"/>
        </w:rPr>
        <w:drawing>
          <wp:anchor distT="180340" distB="0" distL="114300" distR="114300" simplePos="0" relativeHeight="251658240" behindDoc="0" locked="0" layoutInCell="1" allowOverlap="1" wp14:anchorId="5AA69AA9" wp14:editId="44882A8C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5425200" cy="3121200"/>
            <wp:effectExtent l="0" t="0" r="4445" b="317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0" cy="31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C66" w:rsidRPr="00DD0DA4">
        <w:rPr>
          <w:szCs w:val="24"/>
        </w:rPr>
        <w:t xml:space="preserve">Z hlediska </w:t>
      </w:r>
      <w:r w:rsidR="00417C66" w:rsidRPr="00DD0DA4">
        <w:rPr>
          <w:b/>
          <w:bCs/>
          <w:szCs w:val="24"/>
        </w:rPr>
        <w:t>struktury</w:t>
      </w:r>
      <w:r w:rsidR="00417C66" w:rsidRPr="00DD0DA4">
        <w:rPr>
          <w:szCs w:val="24"/>
        </w:rPr>
        <w:t xml:space="preserve"> byl v kraji nejmarkantnější změnou nárůst podílu bytů dokončených v rodinných domech na celkovém počtu bytů. Ten stoupal z 62,3 % v roce 2009 na své maximum 76,9 % v roce 2011 a v roce 2018 se ustálil na 74,0 </w:t>
      </w:r>
      <w:r w:rsidR="00417C66" w:rsidRPr="00DD0DA4">
        <w:rPr>
          <w:szCs w:val="24"/>
          <w:lang w:val="en-US"/>
        </w:rPr>
        <w:t>%</w:t>
      </w:r>
      <w:r w:rsidR="00417C66" w:rsidRPr="00DD0DA4">
        <w:rPr>
          <w:szCs w:val="24"/>
        </w:rPr>
        <w:t>. Takto výrazného růstu podílu bylo dosaženo jednak zvyšujícím se počtem dokončených bytů v rodinných domech, ale i </w:t>
      </w:r>
      <w:r w:rsidR="00417C66" w:rsidRPr="00A1409F">
        <w:rPr>
          <w:szCs w:val="24"/>
        </w:rPr>
        <w:t xml:space="preserve">střídavě kolísajícím podílem dokončených bytů v bytových domech (z 22,2 % na 6,7 %). Za </w:t>
      </w:r>
      <w:r w:rsidR="00417C66" w:rsidRPr="00A1409F">
        <w:rPr>
          <w:szCs w:val="24"/>
        </w:rPr>
        <w:lastRenderedPageBreak/>
        <w:t>celé desetileté období tak byly v kraji přes dvě třetiny bytů (68,8 </w:t>
      </w:r>
      <w:r w:rsidR="00417C66" w:rsidRPr="00A1409F">
        <w:rPr>
          <w:szCs w:val="24"/>
          <w:lang w:val="en-US"/>
        </w:rPr>
        <w:t>%</w:t>
      </w:r>
      <w:r w:rsidR="00417C66" w:rsidRPr="00A1409F">
        <w:rPr>
          <w:szCs w:val="24"/>
        </w:rPr>
        <w:t>) postaveny v rodinných domech, přičemž největší byl jejich podíl v okrese</w:t>
      </w:r>
      <w:r w:rsidR="0081050D" w:rsidRPr="00A1409F">
        <w:rPr>
          <w:szCs w:val="24"/>
        </w:rPr>
        <w:t>ch</w:t>
      </w:r>
      <w:r w:rsidR="00417C66" w:rsidRPr="00A1409F">
        <w:rPr>
          <w:szCs w:val="24"/>
        </w:rPr>
        <w:t xml:space="preserve"> Frýdek-Místek a Nový Jičín (</w:t>
      </w:r>
      <w:r w:rsidR="0081050D" w:rsidRPr="00A1409F">
        <w:rPr>
          <w:szCs w:val="24"/>
        </w:rPr>
        <w:t>79,4</w:t>
      </w:r>
      <w:r w:rsidR="00417C66" w:rsidRPr="00A1409F">
        <w:rPr>
          <w:szCs w:val="24"/>
        </w:rPr>
        <w:t xml:space="preserve"> %, resp. </w:t>
      </w:r>
      <w:r w:rsidR="00A1409F" w:rsidRPr="00A1409F">
        <w:rPr>
          <w:szCs w:val="24"/>
        </w:rPr>
        <w:t>78,8</w:t>
      </w:r>
      <w:r w:rsidR="00417C66" w:rsidRPr="00A1409F">
        <w:rPr>
          <w:szCs w:val="24"/>
        </w:rPr>
        <w:t> </w:t>
      </w:r>
      <w:r w:rsidR="00417C66" w:rsidRPr="00A1409F">
        <w:rPr>
          <w:szCs w:val="24"/>
          <w:lang w:val="en-US"/>
        </w:rPr>
        <w:t>%</w:t>
      </w:r>
      <w:r w:rsidR="00417C66" w:rsidRPr="00A1409F">
        <w:rPr>
          <w:szCs w:val="24"/>
        </w:rPr>
        <w:t xml:space="preserve"> dokončených bytů). Na posledním místě se </w:t>
      </w:r>
      <w:r w:rsidR="00A1409F" w:rsidRPr="00A1409F">
        <w:rPr>
          <w:szCs w:val="24"/>
        </w:rPr>
        <w:t xml:space="preserve">možná </w:t>
      </w:r>
      <w:r w:rsidR="00417C66" w:rsidRPr="00A1409F">
        <w:rPr>
          <w:szCs w:val="24"/>
        </w:rPr>
        <w:t xml:space="preserve">trochu překvapivě </w:t>
      </w:r>
      <w:r w:rsidR="007B6C04">
        <w:rPr>
          <w:szCs w:val="24"/>
        </w:rPr>
        <w:t>ne</w:t>
      </w:r>
      <w:r w:rsidR="00417C66" w:rsidRPr="00A1409F">
        <w:rPr>
          <w:szCs w:val="24"/>
        </w:rPr>
        <w:t xml:space="preserve">objevuje okres </w:t>
      </w:r>
      <w:r w:rsidR="007B6C04">
        <w:rPr>
          <w:szCs w:val="24"/>
        </w:rPr>
        <w:t>Ostrava-město (podíl 53,9 %), ale okres Bruntál s </w:t>
      </w:r>
      <w:r w:rsidR="00417C66" w:rsidRPr="00A1409F">
        <w:rPr>
          <w:szCs w:val="24"/>
        </w:rPr>
        <w:t>5</w:t>
      </w:r>
      <w:r w:rsidR="007B6C04">
        <w:rPr>
          <w:szCs w:val="24"/>
        </w:rPr>
        <w:t>2,6</w:t>
      </w:r>
      <w:r w:rsidR="00417C66" w:rsidRPr="00A1409F">
        <w:rPr>
          <w:szCs w:val="24"/>
        </w:rPr>
        <w:t>% podíl</w:t>
      </w:r>
      <w:r w:rsidR="007B6C04">
        <w:rPr>
          <w:szCs w:val="24"/>
        </w:rPr>
        <w:t>em</w:t>
      </w:r>
      <w:r w:rsidR="00417C66" w:rsidRPr="00A1409F">
        <w:rPr>
          <w:szCs w:val="24"/>
        </w:rPr>
        <w:t xml:space="preserve">. Desetinový podíl na všech bytech </w:t>
      </w:r>
      <w:r w:rsidR="00417C66" w:rsidRPr="007F5D77">
        <w:rPr>
          <w:szCs w:val="24"/>
        </w:rPr>
        <w:t>dokončených v k</w:t>
      </w:r>
      <w:r w:rsidR="0065229C" w:rsidRPr="007F5D77">
        <w:rPr>
          <w:szCs w:val="24"/>
        </w:rPr>
        <w:t>raji v hodnocených letech zauj</w:t>
      </w:r>
      <w:r w:rsidR="00417C66" w:rsidRPr="007F5D77">
        <w:rPr>
          <w:szCs w:val="24"/>
        </w:rPr>
        <w:t>aly bytové domy</w:t>
      </w:r>
      <w:r w:rsidR="00A1409F" w:rsidRPr="007F5D77">
        <w:rPr>
          <w:szCs w:val="24"/>
        </w:rPr>
        <w:t>, když v</w:t>
      </w:r>
      <w:r w:rsidR="00417C66" w:rsidRPr="007F5D77">
        <w:rPr>
          <w:szCs w:val="24"/>
        </w:rPr>
        <w:t xml:space="preserve"> okrese Ostrava-město byl </w:t>
      </w:r>
      <w:r w:rsidR="0081050D" w:rsidRPr="007F5D77">
        <w:rPr>
          <w:szCs w:val="24"/>
        </w:rPr>
        <w:t>jejich</w:t>
      </w:r>
      <w:r w:rsidR="00417C66" w:rsidRPr="007F5D77">
        <w:rPr>
          <w:szCs w:val="24"/>
        </w:rPr>
        <w:t xml:space="preserve"> podíl pětinový. </w:t>
      </w:r>
      <w:r w:rsidR="00A1409F" w:rsidRPr="007F5D77">
        <w:rPr>
          <w:szCs w:val="24"/>
        </w:rPr>
        <w:t>Podíl nástaveb, přístaveb</w:t>
      </w:r>
      <w:r w:rsidR="00417C66" w:rsidRPr="007F5D77">
        <w:rPr>
          <w:szCs w:val="24"/>
        </w:rPr>
        <w:t xml:space="preserve"> a vestav</w:t>
      </w:r>
      <w:r w:rsidR="00A1409F" w:rsidRPr="007F5D77">
        <w:rPr>
          <w:szCs w:val="24"/>
        </w:rPr>
        <w:t>eb</w:t>
      </w:r>
      <w:r w:rsidR="00417C66" w:rsidRPr="007F5D77">
        <w:rPr>
          <w:szCs w:val="24"/>
        </w:rPr>
        <w:t xml:space="preserve"> k rodinným domům</w:t>
      </w:r>
      <w:r w:rsidR="007B6C04" w:rsidRPr="007F5D77">
        <w:rPr>
          <w:szCs w:val="24"/>
        </w:rPr>
        <w:t xml:space="preserve"> i </w:t>
      </w:r>
      <w:r w:rsidR="00A1409F" w:rsidRPr="007F5D77">
        <w:rPr>
          <w:szCs w:val="24"/>
        </w:rPr>
        <w:t>k bytovým domům na všech dokončených bytech v kraji byl shodný 6,2 %.</w:t>
      </w:r>
      <w:r w:rsidR="007B6C04" w:rsidRPr="007F5D77">
        <w:rPr>
          <w:szCs w:val="24"/>
        </w:rPr>
        <w:t xml:space="preserve"> Rozdílný byl však z pohledu okresů.</w:t>
      </w:r>
      <w:r w:rsidR="00417C66" w:rsidRPr="007F5D77">
        <w:rPr>
          <w:szCs w:val="24"/>
        </w:rPr>
        <w:t xml:space="preserve"> V okrese Opava bylo </w:t>
      </w:r>
      <w:r w:rsidR="007B6C04" w:rsidRPr="007F5D77">
        <w:rPr>
          <w:szCs w:val="24"/>
        </w:rPr>
        <w:t xml:space="preserve">v nástavbách k rodinným domům </w:t>
      </w:r>
      <w:r w:rsidR="00417C66" w:rsidRPr="007F5D77">
        <w:rPr>
          <w:szCs w:val="24"/>
        </w:rPr>
        <w:t xml:space="preserve">postaveno </w:t>
      </w:r>
      <w:r w:rsidR="00A1409F" w:rsidRPr="007F5D77">
        <w:rPr>
          <w:szCs w:val="24"/>
        </w:rPr>
        <w:t xml:space="preserve">přes </w:t>
      </w:r>
      <w:r w:rsidR="00417C66" w:rsidRPr="007F5D77">
        <w:rPr>
          <w:szCs w:val="24"/>
        </w:rPr>
        <w:t>1</w:t>
      </w:r>
      <w:r w:rsidR="00A1409F" w:rsidRPr="007F5D77">
        <w:rPr>
          <w:szCs w:val="24"/>
        </w:rPr>
        <w:t>2</w:t>
      </w:r>
      <w:r w:rsidR="00417C66" w:rsidRPr="007F5D77">
        <w:rPr>
          <w:szCs w:val="24"/>
        </w:rPr>
        <w:t xml:space="preserve"> </w:t>
      </w:r>
      <w:r w:rsidR="00417C66" w:rsidRPr="007F5D77">
        <w:rPr>
          <w:szCs w:val="24"/>
          <w:lang w:val="en-US"/>
        </w:rPr>
        <w:t xml:space="preserve">% </w:t>
      </w:r>
      <w:r w:rsidR="00417C66" w:rsidRPr="007F5D77">
        <w:rPr>
          <w:szCs w:val="24"/>
        </w:rPr>
        <w:t xml:space="preserve">všech bytů, čímž předčila dokonce </w:t>
      </w:r>
      <w:r w:rsidR="007B6C04" w:rsidRPr="007F5D77">
        <w:rPr>
          <w:szCs w:val="24"/>
        </w:rPr>
        <w:t>výstavbu bytů v bytových domech, zatímco největší podíl bytů v nástavbách k bytovým domům bylo dosaženo</w:t>
      </w:r>
      <w:r w:rsidR="00417C66" w:rsidRPr="007F5D77">
        <w:rPr>
          <w:szCs w:val="24"/>
        </w:rPr>
        <w:t xml:space="preserve"> v okresech Ostrava-město a Karviná</w:t>
      </w:r>
      <w:r w:rsidR="007B6C04" w:rsidRPr="007F5D77">
        <w:rPr>
          <w:szCs w:val="24"/>
        </w:rPr>
        <w:t xml:space="preserve"> (12,4</w:t>
      </w:r>
      <w:r w:rsidR="00417C66" w:rsidRPr="007F5D77">
        <w:rPr>
          <w:szCs w:val="24"/>
        </w:rPr>
        <w:t xml:space="preserve"> %, resp. </w:t>
      </w:r>
      <w:r w:rsidR="007B6C04" w:rsidRPr="007F5D77">
        <w:rPr>
          <w:szCs w:val="24"/>
        </w:rPr>
        <w:t>10,3</w:t>
      </w:r>
      <w:r w:rsidR="00417C66" w:rsidRPr="007F5D77">
        <w:rPr>
          <w:szCs w:val="24"/>
        </w:rPr>
        <w:t> % bytů</w:t>
      </w:r>
      <w:r w:rsidR="007B6C04" w:rsidRPr="007F5D77">
        <w:rPr>
          <w:szCs w:val="24"/>
        </w:rPr>
        <w:t>)</w:t>
      </w:r>
      <w:r w:rsidR="00417C66" w:rsidRPr="007F5D77">
        <w:rPr>
          <w:szCs w:val="24"/>
        </w:rPr>
        <w:t xml:space="preserve">. </w:t>
      </w:r>
      <w:r w:rsidR="00A1409F" w:rsidRPr="007F5D77">
        <w:rPr>
          <w:szCs w:val="24"/>
        </w:rPr>
        <w:t xml:space="preserve">Pouze v okrese Bruntál se </w:t>
      </w:r>
      <w:r w:rsidR="00043707">
        <w:rPr>
          <w:szCs w:val="24"/>
        </w:rPr>
        <w:t>výstavba</w:t>
      </w:r>
      <w:r w:rsidR="007F5D77" w:rsidRPr="007F5D77">
        <w:rPr>
          <w:szCs w:val="24"/>
        </w:rPr>
        <w:t xml:space="preserve"> bytů ve stavebně upravených nebytových prostorách </w:t>
      </w:r>
      <w:r w:rsidR="00A1409F" w:rsidRPr="007F5D77">
        <w:rPr>
          <w:szCs w:val="24"/>
        </w:rPr>
        <w:t xml:space="preserve">stala druhým nejčastějším způsobem výstavby </w:t>
      </w:r>
      <w:r w:rsidR="007F5D77" w:rsidRPr="007F5D77">
        <w:rPr>
          <w:szCs w:val="24"/>
        </w:rPr>
        <w:t>(14,</w:t>
      </w:r>
      <w:r w:rsidR="003709CA" w:rsidRPr="007F5D77">
        <w:rPr>
          <w:szCs w:val="24"/>
        </w:rPr>
        <w:t>9</w:t>
      </w:r>
      <w:r w:rsidR="003709CA">
        <w:rPr>
          <w:szCs w:val="24"/>
        </w:rPr>
        <w:t> </w:t>
      </w:r>
      <w:r w:rsidR="007F5D77" w:rsidRPr="007F5D77">
        <w:rPr>
          <w:szCs w:val="24"/>
        </w:rPr>
        <w:t>%), když krajská hodnota tohoto ukazatele činila 4,7 %.</w:t>
      </w:r>
    </w:p>
    <w:p w:rsidR="00545BCE" w:rsidRDefault="00545BCE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3213D2" w:rsidRDefault="003213D2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3213D2">
        <w:rPr>
          <w:noProof/>
          <w:szCs w:val="24"/>
        </w:rPr>
        <w:drawing>
          <wp:inline distT="0" distB="0" distL="0" distR="0">
            <wp:extent cx="5400000" cy="22716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2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D2" w:rsidRPr="00E55BCB" w:rsidRDefault="003213D2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3213D2">
        <w:rPr>
          <w:noProof/>
        </w:rPr>
        <w:drawing>
          <wp:anchor distT="144145" distB="0" distL="114300" distR="114300" simplePos="0" relativeHeight="251659264" behindDoc="0" locked="0" layoutInCell="1" allowOverlap="1" wp14:anchorId="371B701F" wp14:editId="32A91926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5400000" cy="1821600"/>
            <wp:effectExtent l="0" t="0" r="0" b="762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BCE" w:rsidRDefault="007F5D77" w:rsidP="003213D2">
      <w:pPr>
        <w:pStyle w:val="Nadpis3"/>
        <w:keepNext w:val="0"/>
        <w:keepLines w:val="0"/>
        <w:spacing w:before="0"/>
        <w:rPr>
          <w:b w:val="0"/>
          <w:bCs w:val="0"/>
        </w:rPr>
      </w:pPr>
      <w:r w:rsidRPr="00466282">
        <w:rPr>
          <w:b w:val="0"/>
          <w:bCs w:val="0"/>
        </w:rPr>
        <w:t>Byty, na které byla vydána stavební povolení</w:t>
      </w:r>
      <w:r w:rsidR="00545BCE" w:rsidRPr="00466282">
        <w:rPr>
          <w:b w:val="0"/>
          <w:bCs w:val="0"/>
        </w:rPr>
        <w:t xml:space="preserve">, </w:t>
      </w:r>
      <w:r w:rsidR="005C098C" w:rsidRPr="00466282">
        <w:rPr>
          <w:b w:val="0"/>
          <w:bCs w:val="0"/>
        </w:rPr>
        <w:t>a </w:t>
      </w:r>
      <w:r w:rsidR="00545BCE" w:rsidRPr="00466282">
        <w:rPr>
          <w:b w:val="0"/>
          <w:bCs w:val="0"/>
        </w:rPr>
        <w:t xml:space="preserve">to bez ohledu na to, zda byly tyto byty ve sledovaném období dokončeny či nikoliv, jsou </w:t>
      </w:r>
      <w:r w:rsidR="00545BCE" w:rsidRPr="00466282">
        <w:t>zahájené byty</w:t>
      </w:r>
      <w:r w:rsidR="00545BCE" w:rsidRPr="00466282">
        <w:rPr>
          <w:b w:val="0"/>
          <w:bCs w:val="0"/>
        </w:rPr>
        <w:t xml:space="preserve">. Informace </w:t>
      </w:r>
      <w:r w:rsidR="005C098C" w:rsidRPr="00466282">
        <w:rPr>
          <w:b w:val="0"/>
          <w:bCs w:val="0"/>
        </w:rPr>
        <w:t>o </w:t>
      </w:r>
      <w:r w:rsidR="00545BCE" w:rsidRPr="00466282">
        <w:rPr>
          <w:b w:val="0"/>
          <w:bCs w:val="0"/>
        </w:rPr>
        <w:t>počtu zahájených bytů jsou významné především pro prognózování bytové výstavby</w:t>
      </w:r>
      <w:r w:rsidR="005E537D" w:rsidRPr="00466282">
        <w:rPr>
          <w:b w:val="0"/>
          <w:bCs w:val="0"/>
        </w:rPr>
        <w:t xml:space="preserve"> </w:t>
      </w:r>
      <w:r w:rsidR="003709CA" w:rsidRPr="00466282">
        <w:rPr>
          <w:b w:val="0"/>
          <w:bCs w:val="0"/>
        </w:rPr>
        <w:t>a</w:t>
      </w:r>
      <w:r w:rsidR="003709CA">
        <w:rPr>
          <w:b w:val="0"/>
          <w:bCs w:val="0"/>
        </w:rPr>
        <w:t> </w:t>
      </w:r>
      <w:r w:rsidR="005E537D" w:rsidRPr="00466282">
        <w:rPr>
          <w:b w:val="0"/>
          <w:bCs w:val="0"/>
        </w:rPr>
        <w:t xml:space="preserve">současně </w:t>
      </w:r>
      <w:r w:rsidR="00D27F3A" w:rsidRPr="00466282">
        <w:rPr>
          <w:b w:val="0"/>
          <w:bCs w:val="0"/>
        </w:rPr>
        <w:t xml:space="preserve">jsou </w:t>
      </w:r>
      <w:r w:rsidR="005E537D" w:rsidRPr="00466282">
        <w:rPr>
          <w:b w:val="0"/>
          <w:bCs w:val="0"/>
        </w:rPr>
        <w:t>indikátorem změn v dynamice rozvoje ekonomiky</w:t>
      </w:r>
      <w:r w:rsidR="00545BCE" w:rsidRPr="00466282">
        <w:rPr>
          <w:b w:val="0"/>
          <w:bCs w:val="0"/>
        </w:rPr>
        <w:t xml:space="preserve">. Po </w:t>
      </w:r>
      <w:r w:rsidRPr="00466282">
        <w:rPr>
          <w:b w:val="0"/>
          <w:bCs w:val="0"/>
        </w:rPr>
        <w:t>krátkém oživení zahajované výstavby v letech 2006 až 2008</w:t>
      </w:r>
      <w:r w:rsidR="00545BCE" w:rsidRPr="00466282">
        <w:rPr>
          <w:b w:val="0"/>
          <w:bCs w:val="0"/>
        </w:rPr>
        <w:t xml:space="preserve"> </w:t>
      </w:r>
      <w:r w:rsidRPr="00466282">
        <w:rPr>
          <w:b w:val="0"/>
          <w:bCs w:val="0"/>
        </w:rPr>
        <w:t xml:space="preserve">v Moravskoslezském kraji </w:t>
      </w:r>
      <w:r w:rsidR="00545BCE" w:rsidRPr="00466282">
        <w:rPr>
          <w:b w:val="0"/>
          <w:bCs w:val="0"/>
        </w:rPr>
        <w:t xml:space="preserve">dochází </w:t>
      </w:r>
      <w:r w:rsidRPr="00466282">
        <w:rPr>
          <w:b w:val="0"/>
          <w:bCs w:val="0"/>
        </w:rPr>
        <w:t>v následujícím období</w:t>
      </w:r>
      <w:r w:rsidR="00545BCE" w:rsidRPr="00466282">
        <w:rPr>
          <w:b w:val="0"/>
          <w:bCs w:val="0"/>
        </w:rPr>
        <w:t xml:space="preserve"> </w:t>
      </w:r>
      <w:r w:rsidR="00466709">
        <w:rPr>
          <w:b w:val="0"/>
          <w:bCs w:val="0"/>
        </w:rPr>
        <w:t xml:space="preserve">v důsledku hospodářské krize </w:t>
      </w:r>
      <w:r w:rsidR="00545BCE" w:rsidRPr="00466282">
        <w:rPr>
          <w:b w:val="0"/>
          <w:bCs w:val="0"/>
        </w:rPr>
        <w:lastRenderedPageBreak/>
        <w:t>k postupnému poklesu</w:t>
      </w:r>
      <w:r w:rsidR="00466709">
        <w:rPr>
          <w:b w:val="0"/>
          <w:bCs w:val="0"/>
        </w:rPr>
        <w:t xml:space="preserve"> (nejvýrazněji v roce 20</w:t>
      </w:r>
      <w:r w:rsidR="00043707">
        <w:rPr>
          <w:b w:val="0"/>
          <w:bCs w:val="0"/>
        </w:rPr>
        <w:t>12</w:t>
      </w:r>
      <w:r w:rsidR="00466709">
        <w:rPr>
          <w:b w:val="0"/>
          <w:bCs w:val="0"/>
        </w:rPr>
        <w:t xml:space="preserve">, meziročně </w:t>
      </w:r>
      <w:r w:rsidR="003709CA">
        <w:rPr>
          <w:b w:val="0"/>
          <w:bCs w:val="0"/>
        </w:rPr>
        <w:t>o </w:t>
      </w:r>
      <w:r w:rsidR="00466709">
        <w:rPr>
          <w:b w:val="0"/>
          <w:bCs w:val="0"/>
        </w:rPr>
        <w:t>2</w:t>
      </w:r>
      <w:r w:rsidR="00043707">
        <w:rPr>
          <w:b w:val="0"/>
          <w:bCs w:val="0"/>
        </w:rPr>
        <w:t>3</w:t>
      </w:r>
      <w:r w:rsidR="00466709">
        <w:rPr>
          <w:b w:val="0"/>
          <w:bCs w:val="0"/>
        </w:rPr>
        <w:t>,5 %)</w:t>
      </w:r>
      <w:r w:rsidR="00545BCE" w:rsidRPr="00466282">
        <w:rPr>
          <w:b w:val="0"/>
          <w:bCs w:val="0"/>
        </w:rPr>
        <w:t>. Tento trend byl přerušen pouze v roc</w:t>
      </w:r>
      <w:r w:rsidR="00C37ED3" w:rsidRPr="00466282">
        <w:rPr>
          <w:b w:val="0"/>
          <w:bCs w:val="0"/>
        </w:rPr>
        <w:t>e 2011, kdy bylo zahájeno 2 711 </w:t>
      </w:r>
      <w:r w:rsidR="00545BCE" w:rsidRPr="00466282">
        <w:rPr>
          <w:b w:val="0"/>
          <w:bCs w:val="0"/>
        </w:rPr>
        <w:t xml:space="preserve">bytů, tj. </w:t>
      </w:r>
      <w:r w:rsidR="005C098C" w:rsidRPr="00466282">
        <w:rPr>
          <w:b w:val="0"/>
          <w:bCs w:val="0"/>
        </w:rPr>
        <w:t>o </w:t>
      </w:r>
      <w:r w:rsidR="00545BCE" w:rsidRPr="00466282">
        <w:rPr>
          <w:b w:val="0"/>
          <w:bCs w:val="0"/>
        </w:rPr>
        <w:t>170 (</w:t>
      </w:r>
      <w:r w:rsidR="005C098C" w:rsidRPr="00466282">
        <w:rPr>
          <w:b w:val="0"/>
          <w:bCs w:val="0"/>
        </w:rPr>
        <w:t>o </w:t>
      </w:r>
      <w:r w:rsidR="00545BCE" w:rsidRPr="00466282">
        <w:rPr>
          <w:b w:val="0"/>
          <w:bCs w:val="0"/>
        </w:rPr>
        <w:t xml:space="preserve">6,7 %) více než v roce předešlém. </w:t>
      </w:r>
      <w:r w:rsidRPr="00466282">
        <w:rPr>
          <w:b w:val="0"/>
          <w:bCs w:val="0"/>
        </w:rPr>
        <w:t>Až v</w:t>
      </w:r>
      <w:r w:rsidR="00545BCE" w:rsidRPr="00466282">
        <w:rPr>
          <w:b w:val="0"/>
          <w:bCs w:val="0"/>
        </w:rPr>
        <w:t xml:space="preserve"> roce 2015 došlo ke změně vývoje </w:t>
      </w:r>
      <w:r w:rsidR="005C098C" w:rsidRPr="00466282">
        <w:rPr>
          <w:b w:val="0"/>
          <w:bCs w:val="0"/>
        </w:rPr>
        <w:t>a </w:t>
      </w:r>
      <w:r w:rsidR="00545BCE" w:rsidRPr="00466282">
        <w:rPr>
          <w:b w:val="0"/>
          <w:bCs w:val="0"/>
        </w:rPr>
        <w:t>počty zahájených bytů se začaly opět každoročně z</w:t>
      </w:r>
      <w:r w:rsidR="004230FF" w:rsidRPr="00466282">
        <w:rPr>
          <w:b w:val="0"/>
          <w:bCs w:val="0"/>
        </w:rPr>
        <w:t>vyšovat až na 2 664 bytů v roce </w:t>
      </w:r>
      <w:r w:rsidR="00545BCE" w:rsidRPr="00466282">
        <w:rPr>
          <w:b w:val="0"/>
          <w:bCs w:val="0"/>
        </w:rPr>
        <w:t>2018.</w:t>
      </w:r>
    </w:p>
    <w:p w:rsidR="00545BCE" w:rsidRDefault="00545BCE" w:rsidP="005C098C"/>
    <w:p w:rsidR="00545BCE" w:rsidRDefault="00545BCE" w:rsidP="00543E08">
      <w:pPr>
        <w:rPr>
          <w:szCs w:val="24"/>
        </w:rPr>
      </w:pPr>
      <w:r w:rsidRPr="00DD0DA4">
        <w:t xml:space="preserve">Podobně jako </w:t>
      </w:r>
      <w:r w:rsidR="005C098C" w:rsidRPr="00DD0DA4">
        <w:t>u </w:t>
      </w:r>
      <w:r w:rsidRPr="00DD0DA4">
        <w:t xml:space="preserve">dokončené výstavby bylo každým rokem nejvíce bytů zahájeno v okrese Frýdek-Místek, za celé hodnocené období 6 914 bytů, tj. necelých 29 % </w:t>
      </w:r>
      <w:r w:rsidR="005C098C" w:rsidRPr="00DD0DA4">
        <w:t>z </w:t>
      </w:r>
      <w:r w:rsidRPr="00DD0DA4">
        <w:t>24 016 zahájených bytů v kraji. Na opačné straně stál okres Bruntál s 6,3% podílem (1 503 bytů). Jeho pozice však není překvapivá, jelikož je to okres s nejmenším počtem obyvatel. Zarážející byly spíše podíly nejlidna</w:t>
      </w:r>
      <w:r w:rsidR="00945590">
        <w:t>tějších okresů kraje, Ostravy-</w:t>
      </w:r>
      <w:r w:rsidRPr="00DD0DA4">
        <w:t xml:space="preserve">města (20,1 % ze zahájených bytů </w:t>
      </w:r>
      <w:r w:rsidR="005C098C" w:rsidRPr="00DD0DA4">
        <w:t>v </w:t>
      </w:r>
      <w:r w:rsidRPr="00DD0DA4">
        <w:t xml:space="preserve">kraji) </w:t>
      </w:r>
      <w:r w:rsidR="005C098C" w:rsidRPr="00DD0DA4">
        <w:t>a </w:t>
      </w:r>
      <w:r w:rsidRPr="00DD0DA4">
        <w:t>Karviné (16,0 %).</w:t>
      </w:r>
      <w:r w:rsidR="00543E08" w:rsidRPr="00543E08">
        <w:rPr>
          <w:spacing w:val="-2"/>
          <w:szCs w:val="24"/>
        </w:rPr>
        <w:t xml:space="preserve"> </w:t>
      </w:r>
      <w:r w:rsidR="00543E08" w:rsidRPr="00DD0DA4">
        <w:rPr>
          <w:spacing w:val="-2"/>
          <w:szCs w:val="24"/>
        </w:rPr>
        <w:t xml:space="preserve">Celkově byla v kraji za roky 2009 až 2018 zahájena výstavba 16 415 bytů v rodinných domech, z nich nejvíce v okrese Frýdek-Místek (5 297 bytů, tj. </w:t>
      </w:r>
      <w:r w:rsidR="00C91AF5" w:rsidRPr="00DD0DA4">
        <w:rPr>
          <w:spacing w:val="-2"/>
          <w:szCs w:val="24"/>
        </w:rPr>
        <w:t xml:space="preserve">podíl </w:t>
      </w:r>
      <w:r w:rsidR="00543E08" w:rsidRPr="00DD0DA4">
        <w:rPr>
          <w:spacing w:val="-2"/>
          <w:szCs w:val="24"/>
        </w:rPr>
        <w:t>32,3 </w:t>
      </w:r>
      <w:r w:rsidR="00C91AF5">
        <w:rPr>
          <w:spacing w:val="-2"/>
          <w:szCs w:val="24"/>
        </w:rPr>
        <w:t>% na kraji</w:t>
      </w:r>
      <w:r w:rsidR="00543E08" w:rsidRPr="00DD0DA4">
        <w:rPr>
          <w:spacing w:val="-2"/>
          <w:szCs w:val="24"/>
        </w:rPr>
        <w:t>). Absolutně nejméně jich zahájili v okrese Bruntál, pouhých 696 bytů, což tvořilo podíl 4,2 %.</w:t>
      </w:r>
      <w:r w:rsidR="00543E08" w:rsidRPr="00543E08">
        <w:rPr>
          <w:spacing w:val="-2"/>
          <w:szCs w:val="24"/>
        </w:rPr>
        <w:t xml:space="preserve"> </w:t>
      </w:r>
      <w:r w:rsidR="00C91AF5">
        <w:rPr>
          <w:spacing w:val="-2"/>
          <w:szCs w:val="24"/>
        </w:rPr>
        <w:t>V případě bytových domů bylo</w:t>
      </w:r>
      <w:r w:rsidR="00543E08" w:rsidRPr="00DD0DA4">
        <w:rPr>
          <w:spacing w:val="-2"/>
          <w:szCs w:val="24"/>
        </w:rPr>
        <w:t xml:space="preserve"> v kraji za deset let započato s výstavbou 2 178 bytů, z toho více než polovina pouze v prvních třech letech sledovaného období. </w:t>
      </w:r>
      <w:r w:rsidR="00543E08" w:rsidRPr="00DD0DA4">
        <w:rPr>
          <w:szCs w:val="24"/>
        </w:rPr>
        <w:t>Nej</w:t>
      </w:r>
      <w:r w:rsidR="00C91AF5">
        <w:rPr>
          <w:szCs w:val="24"/>
        </w:rPr>
        <w:t>více</w:t>
      </w:r>
      <w:r w:rsidR="00543E08" w:rsidRPr="00DD0DA4">
        <w:rPr>
          <w:szCs w:val="24"/>
        </w:rPr>
        <w:t xml:space="preserve"> bytů v bytových domech zahájili v okrese </w:t>
      </w:r>
      <w:r w:rsidR="00C91AF5">
        <w:rPr>
          <w:szCs w:val="24"/>
        </w:rPr>
        <w:t>Ostrava-město</w:t>
      </w:r>
      <w:r w:rsidR="00543E08" w:rsidRPr="00DD0DA4">
        <w:rPr>
          <w:szCs w:val="24"/>
        </w:rPr>
        <w:t xml:space="preserve"> </w:t>
      </w:r>
      <w:r w:rsidR="00C91AF5">
        <w:rPr>
          <w:szCs w:val="24"/>
        </w:rPr>
        <w:t>(</w:t>
      </w:r>
      <w:r w:rsidR="003709CA">
        <w:rPr>
          <w:szCs w:val="24"/>
        </w:rPr>
        <w:t>1 </w:t>
      </w:r>
      <w:r w:rsidR="00C91AF5">
        <w:rPr>
          <w:szCs w:val="24"/>
        </w:rPr>
        <w:t>076 bytů, tj. podíl 49,4 % na kraji), nejméně pak v okresech Nový Jičín (75 </w:t>
      </w:r>
      <w:r w:rsidR="00543E08" w:rsidRPr="00DD0DA4">
        <w:rPr>
          <w:szCs w:val="24"/>
        </w:rPr>
        <w:t>bytů)</w:t>
      </w:r>
      <w:r w:rsidR="00C91AF5">
        <w:rPr>
          <w:szCs w:val="24"/>
        </w:rPr>
        <w:t xml:space="preserve"> </w:t>
      </w:r>
      <w:r w:rsidR="003709CA">
        <w:rPr>
          <w:szCs w:val="24"/>
        </w:rPr>
        <w:t>a </w:t>
      </w:r>
      <w:r w:rsidR="00C91AF5">
        <w:rPr>
          <w:szCs w:val="24"/>
        </w:rPr>
        <w:t>Karviná (78 bytů).</w:t>
      </w:r>
    </w:p>
    <w:p w:rsidR="003213D2" w:rsidRDefault="003213D2" w:rsidP="00543E08"/>
    <w:p w:rsidR="00545BCE" w:rsidRDefault="003213D2" w:rsidP="005C098C">
      <w:r w:rsidRPr="003213D2">
        <w:rPr>
          <w:noProof/>
          <w:lang w:eastAsia="cs-CZ"/>
        </w:rPr>
        <w:drawing>
          <wp:inline distT="0" distB="0" distL="0" distR="0">
            <wp:extent cx="5400000" cy="1821600"/>
            <wp:effectExtent l="0" t="0" r="0" b="762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D2" w:rsidRDefault="003213D2" w:rsidP="005C098C"/>
    <w:p w:rsidR="00545BCE" w:rsidRPr="003213D2" w:rsidRDefault="00B44045" w:rsidP="005C098C">
      <w:pPr>
        <w:pStyle w:val="Zkladntext"/>
        <w:autoSpaceDE/>
        <w:autoSpaceDN/>
        <w:adjustRightInd/>
        <w:spacing w:line="276" w:lineRule="auto"/>
        <w:jc w:val="left"/>
        <w:rPr>
          <w:spacing w:val="-2"/>
          <w:szCs w:val="24"/>
        </w:rPr>
      </w:pPr>
      <w:r w:rsidRPr="003213D2">
        <w:rPr>
          <w:spacing w:val="-2"/>
          <w:szCs w:val="24"/>
        </w:rPr>
        <w:t>S rostoucím počtem zaháje</w:t>
      </w:r>
      <w:r w:rsidR="00545BCE" w:rsidRPr="003213D2">
        <w:rPr>
          <w:spacing w:val="-2"/>
          <w:szCs w:val="24"/>
        </w:rPr>
        <w:t xml:space="preserve">ných bytů </w:t>
      </w:r>
      <w:r w:rsidR="00DE02B3" w:rsidRPr="003213D2">
        <w:rPr>
          <w:spacing w:val="-2"/>
          <w:szCs w:val="24"/>
        </w:rPr>
        <w:t xml:space="preserve">v posledních </w:t>
      </w:r>
      <w:r w:rsidR="003709CA" w:rsidRPr="003213D2">
        <w:rPr>
          <w:spacing w:val="-2"/>
          <w:szCs w:val="24"/>
        </w:rPr>
        <w:t>4 </w:t>
      </w:r>
      <w:r w:rsidR="00DE02B3" w:rsidRPr="003213D2">
        <w:rPr>
          <w:spacing w:val="-2"/>
          <w:szCs w:val="24"/>
        </w:rPr>
        <w:t xml:space="preserve">letech </w:t>
      </w:r>
      <w:r w:rsidR="00545BCE" w:rsidRPr="003213D2">
        <w:rPr>
          <w:spacing w:val="-2"/>
          <w:szCs w:val="24"/>
        </w:rPr>
        <w:t xml:space="preserve">rostla v Moravskoslezském kraji také </w:t>
      </w:r>
      <w:r w:rsidR="00545BCE" w:rsidRPr="003213D2">
        <w:rPr>
          <w:b/>
          <w:bCs/>
          <w:spacing w:val="-2"/>
          <w:szCs w:val="24"/>
        </w:rPr>
        <w:t>intenzita zahajované výstavby</w:t>
      </w:r>
      <w:r w:rsidR="00545BCE" w:rsidRPr="003213D2">
        <w:rPr>
          <w:spacing w:val="-2"/>
          <w:szCs w:val="24"/>
        </w:rPr>
        <w:t>, tj. počet zahájených bytů na 1 000 obyvatel stř</w:t>
      </w:r>
      <w:r w:rsidR="00DE02B3" w:rsidRPr="003213D2">
        <w:rPr>
          <w:spacing w:val="-2"/>
          <w:szCs w:val="24"/>
        </w:rPr>
        <w:t>edního stavu. Svého maxima (2,</w:t>
      </w:r>
      <w:r w:rsidR="003709CA" w:rsidRPr="003213D2">
        <w:rPr>
          <w:spacing w:val="-2"/>
          <w:szCs w:val="24"/>
        </w:rPr>
        <w:t>5 </w:t>
      </w:r>
      <w:r w:rsidR="00D908D1">
        <w:rPr>
          <w:spacing w:val="-2"/>
          <w:szCs w:val="24"/>
        </w:rPr>
        <w:t>bytu</w:t>
      </w:r>
      <w:bookmarkStart w:id="0" w:name="_GoBack"/>
      <w:bookmarkEnd w:id="0"/>
      <w:r w:rsidR="00545BCE" w:rsidRPr="003213D2">
        <w:rPr>
          <w:spacing w:val="-2"/>
          <w:szCs w:val="24"/>
        </w:rPr>
        <w:t xml:space="preserve"> na 1 000 obyvatel) dosáhla v roce 2009 </w:t>
      </w:r>
      <w:r w:rsidR="005C098C" w:rsidRPr="003213D2">
        <w:rPr>
          <w:spacing w:val="-2"/>
          <w:szCs w:val="24"/>
        </w:rPr>
        <w:t>a </w:t>
      </w:r>
      <w:r w:rsidR="00545BCE" w:rsidRPr="003213D2">
        <w:rPr>
          <w:spacing w:val="-2"/>
          <w:szCs w:val="24"/>
        </w:rPr>
        <w:t xml:space="preserve">hranici </w:t>
      </w:r>
      <w:r w:rsidR="005C098C" w:rsidRPr="003213D2">
        <w:rPr>
          <w:spacing w:val="-2"/>
          <w:szCs w:val="24"/>
        </w:rPr>
        <w:t>2 </w:t>
      </w:r>
      <w:r w:rsidR="00545BCE" w:rsidRPr="003213D2">
        <w:rPr>
          <w:spacing w:val="-2"/>
          <w:szCs w:val="24"/>
        </w:rPr>
        <w:t xml:space="preserve">bytů pak přesahovala až do roku 2011. V dalších letech došlo k postupnému poklesu </w:t>
      </w:r>
      <w:r w:rsidR="007B473A" w:rsidRPr="003213D2">
        <w:rPr>
          <w:spacing w:val="-2"/>
          <w:szCs w:val="24"/>
        </w:rPr>
        <w:t xml:space="preserve">až k minimu </w:t>
      </w:r>
      <w:r w:rsidR="00545BCE" w:rsidRPr="003213D2">
        <w:rPr>
          <w:spacing w:val="-2"/>
          <w:szCs w:val="24"/>
        </w:rPr>
        <w:t>1,</w:t>
      </w:r>
      <w:r w:rsidR="003709CA" w:rsidRPr="003213D2">
        <w:rPr>
          <w:spacing w:val="-2"/>
          <w:szCs w:val="24"/>
        </w:rPr>
        <w:t>6 </w:t>
      </w:r>
      <w:r w:rsidR="00DE02B3" w:rsidRPr="003213D2">
        <w:rPr>
          <w:spacing w:val="-2"/>
          <w:szCs w:val="24"/>
        </w:rPr>
        <w:t>bytu</w:t>
      </w:r>
      <w:r w:rsidR="00545BCE" w:rsidRPr="003213D2">
        <w:rPr>
          <w:spacing w:val="-2"/>
          <w:szCs w:val="24"/>
        </w:rPr>
        <w:t xml:space="preserve"> v</w:t>
      </w:r>
      <w:r w:rsidR="00DE02B3" w:rsidRPr="003213D2">
        <w:rPr>
          <w:spacing w:val="-2"/>
          <w:szCs w:val="24"/>
        </w:rPr>
        <w:t> </w:t>
      </w:r>
      <w:r w:rsidR="00545BCE" w:rsidRPr="003213D2">
        <w:rPr>
          <w:spacing w:val="-2"/>
          <w:szCs w:val="24"/>
        </w:rPr>
        <w:t>roce</w:t>
      </w:r>
      <w:r w:rsidR="00DE02B3" w:rsidRPr="003213D2">
        <w:rPr>
          <w:spacing w:val="-2"/>
          <w:szCs w:val="24"/>
        </w:rPr>
        <w:t> </w:t>
      </w:r>
      <w:r w:rsidR="00545BCE" w:rsidRPr="003213D2">
        <w:rPr>
          <w:spacing w:val="-2"/>
          <w:szCs w:val="24"/>
        </w:rPr>
        <w:t xml:space="preserve">2014 </w:t>
      </w:r>
      <w:r w:rsidR="005C098C" w:rsidRPr="003213D2">
        <w:rPr>
          <w:spacing w:val="-2"/>
          <w:szCs w:val="24"/>
        </w:rPr>
        <w:t>a </w:t>
      </w:r>
      <w:r w:rsidR="00545BCE" w:rsidRPr="003213D2">
        <w:rPr>
          <w:spacing w:val="-2"/>
          <w:szCs w:val="24"/>
        </w:rPr>
        <w:t>v následujících letech opět k jejímu pozvo</w:t>
      </w:r>
      <w:r w:rsidR="00DE02B3" w:rsidRPr="003213D2">
        <w:rPr>
          <w:spacing w:val="-2"/>
          <w:szCs w:val="24"/>
        </w:rPr>
        <w:t>lnému nárůstu až na hodnotu 2,</w:t>
      </w:r>
      <w:r w:rsidR="003709CA" w:rsidRPr="003213D2">
        <w:rPr>
          <w:spacing w:val="-2"/>
          <w:szCs w:val="24"/>
        </w:rPr>
        <w:t>2 </w:t>
      </w:r>
      <w:r w:rsidR="00DE02B3" w:rsidRPr="003213D2">
        <w:rPr>
          <w:spacing w:val="-2"/>
          <w:szCs w:val="24"/>
        </w:rPr>
        <w:t>bytu</w:t>
      </w:r>
      <w:r w:rsidR="00545BCE" w:rsidRPr="003213D2">
        <w:rPr>
          <w:spacing w:val="-2"/>
          <w:szCs w:val="24"/>
        </w:rPr>
        <w:t xml:space="preserve"> na 1 000 obyvatel v roce 2018. Mezi jednotlivými okresy jsou u tohoto ukazatele značné rozdíly. </w:t>
      </w:r>
      <w:r w:rsidR="005C098C" w:rsidRPr="003213D2">
        <w:rPr>
          <w:spacing w:val="-2"/>
          <w:szCs w:val="24"/>
        </w:rPr>
        <w:t>V </w:t>
      </w:r>
      <w:r w:rsidR="00545BCE" w:rsidRPr="003213D2">
        <w:rPr>
          <w:spacing w:val="-2"/>
          <w:szCs w:val="24"/>
        </w:rPr>
        <w:t xml:space="preserve">okresech Frýdek-Místek </w:t>
      </w:r>
      <w:r w:rsidR="005C098C" w:rsidRPr="003213D2">
        <w:rPr>
          <w:spacing w:val="-2"/>
          <w:szCs w:val="24"/>
        </w:rPr>
        <w:t>a </w:t>
      </w:r>
      <w:r w:rsidR="00545BCE" w:rsidRPr="003213D2">
        <w:rPr>
          <w:spacing w:val="-2"/>
          <w:szCs w:val="24"/>
        </w:rPr>
        <w:t>Opava překročil ve všech letech po</w:t>
      </w:r>
      <w:r w:rsidR="007B473A" w:rsidRPr="003213D2">
        <w:rPr>
          <w:spacing w:val="-2"/>
          <w:szCs w:val="24"/>
        </w:rPr>
        <w:t>čet zahájených bytů na 1 000 </w:t>
      </w:r>
      <w:r w:rsidR="00545BCE" w:rsidRPr="003213D2">
        <w:rPr>
          <w:spacing w:val="-2"/>
          <w:szCs w:val="24"/>
        </w:rPr>
        <w:t xml:space="preserve">obyvatel celokrajskou úroveň. Naproti tomu </w:t>
      </w:r>
      <w:r w:rsidR="005C098C" w:rsidRPr="003213D2">
        <w:rPr>
          <w:spacing w:val="-2"/>
          <w:szCs w:val="24"/>
        </w:rPr>
        <w:t>v </w:t>
      </w:r>
      <w:r w:rsidR="00545BCE" w:rsidRPr="003213D2">
        <w:rPr>
          <w:spacing w:val="-2"/>
          <w:szCs w:val="24"/>
        </w:rPr>
        <w:t xml:space="preserve">okrese Karviná byla intenzita ve všech letech kromě roku 2015 nižší než krajská. V žádném okrese však neklesl tento ukazatel ve sledovaném období pod hranicí </w:t>
      </w:r>
      <w:r w:rsidR="005C098C" w:rsidRPr="003213D2">
        <w:rPr>
          <w:spacing w:val="-2"/>
          <w:szCs w:val="24"/>
        </w:rPr>
        <w:t>1 </w:t>
      </w:r>
      <w:r w:rsidR="00545BCE" w:rsidRPr="003213D2">
        <w:rPr>
          <w:spacing w:val="-2"/>
          <w:szCs w:val="24"/>
        </w:rPr>
        <w:t xml:space="preserve">bytu na 1 000 obyvatel, jak k tomu </w:t>
      </w:r>
      <w:r w:rsidR="00043707" w:rsidRPr="003213D2">
        <w:rPr>
          <w:spacing w:val="-2"/>
          <w:szCs w:val="24"/>
        </w:rPr>
        <w:t xml:space="preserve">někdy </w:t>
      </w:r>
      <w:r w:rsidR="00545BCE" w:rsidRPr="003213D2">
        <w:rPr>
          <w:spacing w:val="-2"/>
          <w:szCs w:val="24"/>
        </w:rPr>
        <w:t>docházelo v</w:t>
      </w:r>
      <w:r w:rsidR="00043707" w:rsidRPr="003213D2">
        <w:rPr>
          <w:spacing w:val="-2"/>
          <w:szCs w:val="24"/>
        </w:rPr>
        <w:t> dřívějších dobách</w:t>
      </w:r>
      <w:r w:rsidR="00545BCE" w:rsidRPr="003213D2">
        <w:rPr>
          <w:spacing w:val="-2"/>
          <w:szCs w:val="24"/>
        </w:rPr>
        <w:t>. Nejvyšší intenzity zahajovaných bytů v rámci okresů dosáhl v roc</w:t>
      </w:r>
      <w:r w:rsidRPr="003213D2">
        <w:rPr>
          <w:spacing w:val="-2"/>
          <w:szCs w:val="24"/>
        </w:rPr>
        <w:t>e 2009 okres Frýdek-Místek (5,</w:t>
      </w:r>
      <w:r w:rsidR="003709CA" w:rsidRPr="003213D2">
        <w:rPr>
          <w:spacing w:val="-2"/>
          <w:szCs w:val="24"/>
        </w:rPr>
        <w:t>1 </w:t>
      </w:r>
      <w:r w:rsidR="00545BCE" w:rsidRPr="003213D2">
        <w:rPr>
          <w:spacing w:val="-2"/>
          <w:szCs w:val="24"/>
        </w:rPr>
        <w:t xml:space="preserve">bytů na 1 000 obyvatel), v dalších letech však následoval </w:t>
      </w:r>
      <w:r w:rsidR="005C098C" w:rsidRPr="003213D2">
        <w:rPr>
          <w:spacing w:val="-2"/>
          <w:szCs w:val="24"/>
        </w:rPr>
        <w:t>i </w:t>
      </w:r>
      <w:r w:rsidR="00545BCE" w:rsidRPr="003213D2">
        <w:rPr>
          <w:spacing w:val="-2"/>
          <w:szCs w:val="24"/>
        </w:rPr>
        <w:t xml:space="preserve">zde </w:t>
      </w:r>
      <w:r w:rsidRPr="003213D2">
        <w:rPr>
          <w:spacing w:val="-2"/>
          <w:szCs w:val="24"/>
        </w:rPr>
        <w:t>prudký pokles až na hodnotu 2,</w:t>
      </w:r>
      <w:r w:rsidR="003709CA" w:rsidRPr="003213D2">
        <w:rPr>
          <w:spacing w:val="-2"/>
          <w:szCs w:val="24"/>
        </w:rPr>
        <w:t>3 </w:t>
      </w:r>
      <w:r w:rsidR="00545BCE" w:rsidRPr="003213D2">
        <w:rPr>
          <w:spacing w:val="-2"/>
          <w:szCs w:val="24"/>
        </w:rPr>
        <w:t>v roce 2014. V </w:t>
      </w:r>
      <w:r w:rsidRPr="003213D2">
        <w:rPr>
          <w:spacing w:val="-2"/>
          <w:szCs w:val="24"/>
        </w:rPr>
        <w:t>období</w:t>
      </w:r>
      <w:r w:rsidR="00545BCE" w:rsidRPr="003213D2">
        <w:rPr>
          <w:spacing w:val="-2"/>
          <w:szCs w:val="24"/>
        </w:rPr>
        <w:t xml:space="preserve"> 2009 až 2018 byla průměrná intenzita bytové výstavby nejvyšší v okrese Frýdek-Místek (ročně přes </w:t>
      </w:r>
      <w:r w:rsidR="005C098C" w:rsidRPr="003213D2">
        <w:rPr>
          <w:spacing w:val="-2"/>
          <w:szCs w:val="24"/>
        </w:rPr>
        <w:t>3 </w:t>
      </w:r>
      <w:r w:rsidR="00545BCE" w:rsidRPr="003213D2">
        <w:rPr>
          <w:spacing w:val="-2"/>
          <w:szCs w:val="24"/>
        </w:rPr>
        <w:t>byty na 1 000 obyvatel), na druhém konci pomyslného žebříčku se umísti</w:t>
      </w:r>
      <w:r w:rsidRPr="003213D2">
        <w:rPr>
          <w:spacing w:val="-2"/>
          <w:szCs w:val="24"/>
        </w:rPr>
        <w:t>ly okresy Karviná, Ostrava</w:t>
      </w:r>
      <w:r w:rsidR="00545BCE" w:rsidRPr="003213D2">
        <w:rPr>
          <w:spacing w:val="-2"/>
          <w:szCs w:val="24"/>
        </w:rPr>
        <w:t xml:space="preserve"> </w:t>
      </w:r>
      <w:r w:rsidR="005C098C" w:rsidRPr="003213D2">
        <w:rPr>
          <w:spacing w:val="-2"/>
          <w:szCs w:val="24"/>
        </w:rPr>
        <w:t>a </w:t>
      </w:r>
      <w:r w:rsidR="00545BCE" w:rsidRPr="003213D2">
        <w:rPr>
          <w:spacing w:val="-2"/>
          <w:szCs w:val="24"/>
        </w:rPr>
        <w:t>Bruntál s</w:t>
      </w:r>
      <w:r w:rsidRPr="003213D2">
        <w:rPr>
          <w:spacing w:val="-2"/>
          <w:szCs w:val="24"/>
        </w:rPr>
        <w:t> méně než dvěma</w:t>
      </w:r>
      <w:r w:rsidR="00545BCE" w:rsidRPr="003213D2">
        <w:rPr>
          <w:spacing w:val="-2"/>
          <w:szCs w:val="24"/>
        </w:rPr>
        <w:t xml:space="preserve"> </w:t>
      </w:r>
      <w:r w:rsidRPr="003213D2">
        <w:rPr>
          <w:spacing w:val="-2"/>
          <w:szCs w:val="24"/>
        </w:rPr>
        <w:t xml:space="preserve">zahájenými </w:t>
      </w:r>
      <w:r w:rsidR="00545BCE" w:rsidRPr="003213D2">
        <w:rPr>
          <w:spacing w:val="-2"/>
          <w:szCs w:val="24"/>
        </w:rPr>
        <w:t>byt</w:t>
      </w:r>
      <w:r w:rsidRPr="003213D2">
        <w:rPr>
          <w:spacing w:val="-2"/>
          <w:szCs w:val="24"/>
        </w:rPr>
        <w:t>y</w:t>
      </w:r>
      <w:r w:rsidR="00545BCE" w:rsidRPr="003213D2">
        <w:rPr>
          <w:spacing w:val="-2"/>
          <w:szCs w:val="24"/>
        </w:rPr>
        <w:t xml:space="preserve"> ročně.</w:t>
      </w:r>
    </w:p>
    <w:p w:rsidR="00543E08" w:rsidRDefault="00543E08" w:rsidP="00543E08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DD0DA4">
        <w:rPr>
          <w:szCs w:val="24"/>
        </w:rPr>
        <w:lastRenderedPageBreak/>
        <w:t xml:space="preserve">Z hlediska </w:t>
      </w:r>
      <w:r w:rsidRPr="00DD0DA4">
        <w:rPr>
          <w:b/>
          <w:bCs/>
          <w:szCs w:val="24"/>
        </w:rPr>
        <w:t xml:space="preserve">podílů jednotlivých druhů objektů na celkovém počtu </w:t>
      </w:r>
      <w:r w:rsidRPr="00EE4867">
        <w:rPr>
          <w:b/>
          <w:bCs/>
          <w:szCs w:val="24"/>
        </w:rPr>
        <w:t>bytů</w:t>
      </w:r>
      <w:r w:rsidRPr="00EE4867">
        <w:rPr>
          <w:szCs w:val="24"/>
        </w:rPr>
        <w:t xml:space="preserve"> zahájených v kraji zaujímala největší podíl ve všech letech výstavba bytů v rodinných domech. Od roku 2009 tento podíl </w:t>
      </w:r>
      <w:r w:rsidR="00EE4867" w:rsidRPr="00EE4867">
        <w:rPr>
          <w:szCs w:val="24"/>
        </w:rPr>
        <w:t>kolísal</w:t>
      </w:r>
      <w:r w:rsidRPr="00EE4867">
        <w:rPr>
          <w:szCs w:val="24"/>
        </w:rPr>
        <w:t xml:space="preserve">, </w:t>
      </w:r>
      <w:r w:rsidR="00EE4867" w:rsidRPr="00EE4867">
        <w:rPr>
          <w:szCs w:val="24"/>
        </w:rPr>
        <w:t>svého minima 63,1 %</w:t>
      </w:r>
      <w:r w:rsidRPr="00EE4867">
        <w:rPr>
          <w:szCs w:val="24"/>
        </w:rPr>
        <w:t xml:space="preserve"> </w:t>
      </w:r>
      <w:r w:rsidR="00EE4867" w:rsidRPr="00EE4867">
        <w:rPr>
          <w:szCs w:val="24"/>
        </w:rPr>
        <w:t xml:space="preserve">dosáhl </w:t>
      </w:r>
      <w:r w:rsidRPr="00EE4867">
        <w:rPr>
          <w:szCs w:val="24"/>
        </w:rPr>
        <w:t xml:space="preserve">v roce 2014. Od tohoto roku postupně </w:t>
      </w:r>
      <w:r w:rsidR="00EE4867" w:rsidRPr="00EE4867">
        <w:rPr>
          <w:szCs w:val="24"/>
        </w:rPr>
        <w:t>rostl</w:t>
      </w:r>
      <w:r w:rsidRPr="00EE4867">
        <w:rPr>
          <w:szCs w:val="24"/>
        </w:rPr>
        <w:t xml:space="preserve"> až na nejvyšší hodnotu v celém sledovaném období 73,5 % v roce 2018. V úhrnu desetiletého období tak byly v rodinných domech zahájeny více než dvě</w:t>
      </w:r>
      <w:r w:rsidRPr="00DD0DA4">
        <w:rPr>
          <w:szCs w:val="24"/>
        </w:rPr>
        <w:t xml:space="preserve"> třetiny všech bytů v kraji. Druhý nejvyšší podíl na zahájených bytech </w:t>
      </w:r>
      <w:r w:rsidR="00391CA6">
        <w:rPr>
          <w:szCs w:val="24"/>
        </w:rPr>
        <w:t xml:space="preserve">(9,1 % za celé hodnocené období) </w:t>
      </w:r>
      <w:r w:rsidRPr="00DD0DA4">
        <w:rPr>
          <w:szCs w:val="24"/>
        </w:rPr>
        <w:t>tvořila výstavba v bytových domech, a to i přesto, že jejich podíl od roku 2010, kdy dosáhl své maximální hodnoty 16,3 %, klesl v průběhu příštích dvou let o více než polovinu procentních bodů a v dalších letech dokonce pod hranici 5 </w:t>
      </w:r>
      <w:r w:rsidRPr="00DD0DA4">
        <w:rPr>
          <w:szCs w:val="24"/>
          <w:lang w:val="en-US"/>
        </w:rPr>
        <w:t>%</w:t>
      </w:r>
      <w:r w:rsidRPr="00DD0DA4">
        <w:rPr>
          <w:szCs w:val="24"/>
        </w:rPr>
        <w:t>. V roce 2018 se jejich hodnota ustálila na 6,9 </w:t>
      </w:r>
      <w:r w:rsidRPr="00DD0DA4">
        <w:rPr>
          <w:szCs w:val="24"/>
          <w:lang w:val="en-US"/>
        </w:rPr>
        <w:t>%.</w:t>
      </w:r>
      <w:r w:rsidRPr="00DD0DA4">
        <w:rPr>
          <w:szCs w:val="24"/>
        </w:rPr>
        <w:t xml:space="preserve"> </w:t>
      </w:r>
      <w:r w:rsidR="00791BCE">
        <w:rPr>
          <w:szCs w:val="24"/>
        </w:rPr>
        <w:t xml:space="preserve">Toto pořadí platilo </w:t>
      </w:r>
      <w:r w:rsidRPr="00DD0DA4">
        <w:rPr>
          <w:szCs w:val="24"/>
        </w:rPr>
        <w:t xml:space="preserve">pouze v okresech Ostrava-město </w:t>
      </w:r>
      <w:r w:rsidR="00277376">
        <w:rPr>
          <w:szCs w:val="24"/>
        </w:rPr>
        <w:t xml:space="preserve">(21,9 %) </w:t>
      </w:r>
      <w:r w:rsidRPr="00DD0DA4">
        <w:rPr>
          <w:szCs w:val="24"/>
        </w:rPr>
        <w:t>a Frýdek-Místek</w:t>
      </w:r>
      <w:r w:rsidR="00277376">
        <w:rPr>
          <w:szCs w:val="24"/>
        </w:rPr>
        <w:t xml:space="preserve"> (9,8 %)</w:t>
      </w:r>
      <w:r w:rsidRPr="00DD0DA4">
        <w:rPr>
          <w:szCs w:val="24"/>
        </w:rPr>
        <w:t xml:space="preserve">. V okrese Bruntál se na zahájených bytech z let 2009 až 2018 jako druhé nejvíce podílely nástavby, přístavby a vestavby k bytovým domům (přes 16 %), následované byty v nebytových </w:t>
      </w:r>
      <w:r w:rsidR="00791BCE">
        <w:rPr>
          <w:szCs w:val="24"/>
        </w:rPr>
        <w:t>budovách</w:t>
      </w:r>
      <w:r w:rsidRPr="00DD0DA4">
        <w:rPr>
          <w:szCs w:val="24"/>
        </w:rPr>
        <w:t xml:space="preserve"> (</w:t>
      </w:r>
      <w:r w:rsidR="00791BCE">
        <w:rPr>
          <w:szCs w:val="24"/>
        </w:rPr>
        <w:t xml:space="preserve">cca </w:t>
      </w:r>
      <w:r w:rsidRPr="00DD0DA4">
        <w:rPr>
          <w:szCs w:val="24"/>
        </w:rPr>
        <w:t>1</w:t>
      </w:r>
      <w:r w:rsidR="00791BCE">
        <w:rPr>
          <w:szCs w:val="24"/>
        </w:rPr>
        <w:t>4</w:t>
      </w:r>
      <w:r w:rsidRPr="00DD0DA4">
        <w:rPr>
          <w:szCs w:val="24"/>
        </w:rPr>
        <w:t> </w:t>
      </w:r>
      <w:r w:rsidRPr="00DD0DA4">
        <w:rPr>
          <w:szCs w:val="24"/>
          <w:lang w:val="en-US"/>
        </w:rPr>
        <w:t xml:space="preserve">%) </w:t>
      </w:r>
      <w:r w:rsidRPr="00DD0DA4">
        <w:rPr>
          <w:szCs w:val="24"/>
        </w:rPr>
        <w:t>a pouze přes 8 </w:t>
      </w:r>
      <w:r w:rsidRPr="00DD0DA4">
        <w:rPr>
          <w:szCs w:val="24"/>
          <w:lang w:val="en-US"/>
        </w:rPr>
        <w:t>%</w:t>
      </w:r>
      <w:r w:rsidRPr="00DD0DA4">
        <w:rPr>
          <w:szCs w:val="24"/>
        </w:rPr>
        <w:t xml:space="preserve"> tvořila výstavba bytů v bytových domech</w:t>
      </w:r>
      <w:r w:rsidR="00277376">
        <w:rPr>
          <w:szCs w:val="24"/>
        </w:rPr>
        <w:t>.</w:t>
      </w:r>
      <w:r w:rsidRPr="00DD0DA4">
        <w:rPr>
          <w:szCs w:val="24"/>
        </w:rPr>
        <w:t xml:space="preserve"> V okresech Nový Jičín a Opava jako druhý nejvyšší podíl (13,7 %, resp. 13,3 </w:t>
      </w:r>
      <w:r w:rsidRPr="00DD0DA4">
        <w:rPr>
          <w:szCs w:val="24"/>
          <w:lang w:val="en-US"/>
        </w:rPr>
        <w:t>%</w:t>
      </w:r>
      <w:r w:rsidRPr="00DD0DA4">
        <w:rPr>
          <w:szCs w:val="24"/>
        </w:rPr>
        <w:t xml:space="preserve">) zaujaly byty v nástavbách, přístavbách a vestavbách k rodinným domům. </w:t>
      </w:r>
      <w:r>
        <w:rPr>
          <w:szCs w:val="24"/>
        </w:rPr>
        <w:t xml:space="preserve">V případě </w:t>
      </w:r>
      <w:r w:rsidRPr="00DD0DA4">
        <w:rPr>
          <w:szCs w:val="24"/>
        </w:rPr>
        <w:t>okresu Karviná to byl podíl bytů v nástavbách, přístavbách a vestavbách k bytovým domům (13,9 </w:t>
      </w:r>
      <w:r w:rsidRPr="00DD0DA4">
        <w:rPr>
          <w:szCs w:val="24"/>
          <w:lang w:val="en-US"/>
        </w:rPr>
        <w:t>%</w:t>
      </w:r>
      <w:r w:rsidRPr="00DD0DA4">
        <w:rPr>
          <w:szCs w:val="24"/>
        </w:rPr>
        <w:t>)</w:t>
      </w:r>
      <w:r w:rsidRPr="00DD0DA4">
        <w:rPr>
          <w:szCs w:val="24"/>
          <w:lang w:val="en-US"/>
        </w:rPr>
        <w:t>.</w:t>
      </w:r>
      <w:r w:rsidR="00466282">
        <w:rPr>
          <w:szCs w:val="24"/>
          <w:lang w:val="en-US"/>
        </w:rPr>
        <w:t xml:space="preserve"> </w:t>
      </w:r>
      <w:r w:rsidRPr="00DD0DA4">
        <w:rPr>
          <w:szCs w:val="24"/>
        </w:rPr>
        <w:t xml:space="preserve">Pouze 1,3 % bytů </w:t>
      </w:r>
      <w:r w:rsidR="00466282">
        <w:rPr>
          <w:szCs w:val="24"/>
        </w:rPr>
        <w:t>(322 </w:t>
      </w:r>
      <w:r w:rsidR="00277376">
        <w:rPr>
          <w:szCs w:val="24"/>
        </w:rPr>
        <w:t xml:space="preserve">bytů) </w:t>
      </w:r>
      <w:r w:rsidRPr="00DD0DA4">
        <w:rPr>
          <w:szCs w:val="24"/>
        </w:rPr>
        <w:t xml:space="preserve">v kraji bylo v průběhu let 2009 až 2018 zahájeno v domech s pečovatelskou službou, přičemž </w:t>
      </w:r>
      <w:r w:rsidR="00277376">
        <w:rPr>
          <w:szCs w:val="24"/>
        </w:rPr>
        <w:t xml:space="preserve">relativně </w:t>
      </w:r>
      <w:r w:rsidRPr="00DD0DA4">
        <w:rPr>
          <w:szCs w:val="24"/>
        </w:rPr>
        <w:t xml:space="preserve">nejlépe na tom byli lidé důchodového věku v okrese Bruntál, </w:t>
      </w:r>
      <w:r w:rsidR="00277376">
        <w:rPr>
          <w:szCs w:val="24"/>
        </w:rPr>
        <w:t xml:space="preserve">kde bylo dokončeno 100 bytů </w:t>
      </w:r>
      <w:r w:rsidR="003709CA">
        <w:rPr>
          <w:szCs w:val="24"/>
        </w:rPr>
        <w:t>a </w:t>
      </w:r>
      <w:r w:rsidRPr="00DD0DA4">
        <w:rPr>
          <w:szCs w:val="24"/>
        </w:rPr>
        <w:t xml:space="preserve">tvořily </w:t>
      </w:r>
      <w:r w:rsidR="00277376">
        <w:rPr>
          <w:szCs w:val="24"/>
        </w:rPr>
        <w:t>tak</w:t>
      </w:r>
      <w:r w:rsidRPr="00DD0DA4">
        <w:rPr>
          <w:szCs w:val="24"/>
        </w:rPr>
        <w:t xml:space="preserve"> 6,7 % ze </w:t>
      </w:r>
      <w:r w:rsidR="00277376">
        <w:rPr>
          <w:szCs w:val="24"/>
        </w:rPr>
        <w:t xml:space="preserve">všech </w:t>
      </w:r>
      <w:r w:rsidRPr="00DD0DA4">
        <w:rPr>
          <w:szCs w:val="24"/>
        </w:rPr>
        <w:t>zahájených bytů</w:t>
      </w:r>
      <w:r w:rsidR="00277376">
        <w:rPr>
          <w:szCs w:val="24"/>
        </w:rPr>
        <w:t xml:space="preserve"> </w:t>
      </w:r>
      <w:r w:rsidR="003709CA">
        <w:rPr>
          <w:szCs w:val="24"/>
        </w:rPr>
        <w:t>v </w:t>
      </w:r>
      <w:r w:rsidR="00277376">
        <w:rPr>
          <w:szCs w:val="24"/>
        </w:rPr>
        <w:t>okrese</w:t>
      </w:r>
      <w:r w:rsidRPr="00DD0DA4">
        <w:rPr>
          <w:szCs w:val="24"/>
        </w:rPr>
        <w:t>.</w:t>
      </w:r>
    </w:p>
    <w:p w:rsidR="00B5400E" w:rsidRPr="00DD0DA4" w:rsidRDefault="00B5400E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545BCE" w:rsidRDefault="003213D2" w:rsidP="005C098C">
      <w:pPr>
        <w:pStyle w:val="Zkladntext"/>
        <w:autoSpaceDE/>
        <w:autoSpaceDN/>
        <w:adjustRightInd/>
        <w:spacing w:line="276" w:lineRule="auto"/>
        <w:jc w:val="left"/>
        <w:rPr>
          <w:spacing w:val="-1"/>
          <w:szCs w:val="24"/>
        </w:rPr>
      </w:pPr>
      <w:r w:rsidRPr="003213D2">
        <w:rPr>
          <w:noProof/>
          <w:spacing w:val="-1"/>
          <w:szCs w:val="24"/>
        </w:rPr>
        <w:drawing>
          <wp:inline distT="0" distB="0" distL="0" distR="0">
            <wp:extent cx="5400000" cy="28620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CE" w:rsidRPr="00DD0DA4" w:rsidRDefault="00545BCE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AF0FCD" w:rsidRPr="005137D3" w:rsidRDefault="00545BCE" w:rsidP="005C098C">
      <w:pPr>
        <w:pStyle w:val="Zkladntext"/>
        <w:autoSpaceDE/>
        <w:autoSpaceDN/>
        <w:adjustRightInd/>
        <w:spacing w:line="276" w:lineRule="auto"/>
        <w:jc w:val="left"/>
        <w:rPr>
          <w:spacing w:val="-2"/>
          <w:szCs w:val="24"/>
        </w:rPr>
      </w:pPr>
      <w:r w:rsidRPr="005137D3">
        <w:rPr>
          <w:b/>
          <w:spacing w:val="-2"/>
          <w:szCs w:val="24"/>
        </w:rPr>
        <w:t>P</w:t>
      </w:r>
      <w:r w:rsidRPr="005137D3">
        <w:rPr>
          <w:b/>
          <w:bCs/>
          <w:spacing w:val="-2"/>
          <w:szCs w:val="24"/>
        </w:rPr>
        <w:t>lynulost bytové výstavby</w:t>
      </w:r>
      <w:r w:rsidRPr="005137D3">
        <w:rPr>
          <w:spacing w:val="-2"/>
          <w:szCs w:val="24"/>
        </w:rPr>
        <w:t xml:space="preserve"> je vyjádřena počtem dokončených bytů na 100 zahájených. </w:t>
      </w:r>
      <w:r w:rsidR="00AF0FCD" w:rsidRPr="005137D3">
        <w:rPr>
          <w:spacing w:val="-2"/>
          <w:szCs w:val="24"/>
        </w:rPr>
        <w:t xml:space="preserve">Dá se říci, že </w:t>
      </w:r>
      <w:r w:rsidR="003709CA" w:rsidRPr="005137D3">
        <w:rPr>
          <w:spacing w:val="-2"/>
          <w:szCs w:val="24"/>
        </w:rPr>
        <w:t>v </w:t>
      </w:r>
      <w:r w:rsidR="00AF0FCD" w:rsidRPr="005137D3">
        <w:rPr>
          <w:spacing w:val="-2"/>
          <w:szCs w:val="24"/>
        </w:rPr>
        <w:t xml:space="preserve">dlouhodobě stabilizovaném stavebnictví by se měl </w:t>
      </w:r>
      <w:r w:rsidR="003709CA" w:rsidRPr="005137D3">
        <w:rPr>
          <w:spacing w:val="-2"/>
          <w:szCs w:val="24"/>
        </w:rPr>
        <w:t>v </w:t>
      </w:r>
      <w:r w:rsidR="00AF0FCD" w:rsidRPr="005137D3">
        <w:rPr>
          <w:spacing w:val="-2"/>
          <w:szCs w:val="24"/>
        </w:rPr>
        <w:t>optimálním případě ukazatel plynulosti bytové výstavby pohybovat kolem hranice 100 dokončených bytů na 100 bytů zahájených (</w:t>
      </w:r>
      <w:r w:rsidR="003709CA" w:rsidRPr="005137D3">
        <w:rPr>
          <w:spacing w:val="-2"/>
          <w:szCs w:val="24"/>
        </w:rPr>
        <w:t>a </w:t>
      </w:r>
      <w:r w:rsidR="00AF0FCD" w:rsidRPr="005137D3">
        <w:rPr>
          <w:spacing w:val="-2"/>
          <w:szCs w:val="24"/>
        </w:rPr>
        <w:t xml:space="preserve">též opačně), což znamená rovnovážný vztah obou základních fází bytové výstavby. Převaha počtu zahájených bytů nad dokončenými se objevuje </w:t>
      </w:r>
      <w:r w:rsidR="003709CA" w:rsidRPr="005137D3">
        <w:rPr>
          <w:spacing w:val="-2"/>
          <w:szCs w:val="24"/>
        </w:rPr>
        <w:t>v </w:t>
      </w:r>
      <w:r w:rsidR="00AF0FCD" w:rsidRPr="005137D3">
        <w:rPr>
          <w:spacing w:val="-2"/>
          <w:szCs w:val="24"/>
        </w:rPr>
        <w:t xml:space="preserve">období rostoucího objemu bytové výstavby, je tedy většinou pozitivním jevem, může ale někdy znamenat i prodlužování doby výstavby, oddalování kolaudace </w:t>
      </w:r>
      <w:r w:rsidR="003709CA" w:rsidRPr="005137D3">
        <w:rPr>
          <w:spacing w:val="-2"/>
          <w:szCs w:val="24"/>
        </w:rPr>
        <w:t>a </w:t>
      </w:r>
      <w:r w:rsidR="00AF0FCD" w:rsidRPr="005137D3">
        <w:rPr>
          <w:spacing w:val="-2"/>
          <w:szCs w:val="24"/>
        </w:rPr>
        <w:t xml:space="preserve">zpožďování dokončení bytů. Převaha počtu dokončených bytů </w:t>
      </w:r>
      <w:r w:rsidR="00AF0FCD" w:rsidRPr="005137D3">
        <w:rPr>
          <w:spacing w:val="-2"/>
          <w:szCs w:val="24"/>
        </w:rPr>
        <w:lastRenderedPageBreak/>
        <w:t xml:space="preserve">nad zahájenými může znamenat urychlené dokončování bytů (např. ve vazbě na změny DPH), ale může také znamenat omezování bytové výstavby </w:t>
      </w:r>
      <w:r w:rsidR="003709CA" w:rsidRPr="005137D3">
        <w:rPr>
          <w:spacing w:val="-2"/>
          <w:szCs w:val="24"/>
        </w:rPr>
        <w:t>v </w:t>
      </w:r>
      <w:r w:rsidR="00AF0FCD" w:rsidRPr="005137D3">
        <w:rPr>
          <w:spacing w:val="-2"/>
          <w:szCs w:val="24"/>
        </w:rPr>
        <w:t>důsledku krize, která se tím prodlužuje, protože snížené objemy zahájených bytů znamenají snižování bytové výstavby do budoucna.</w:t>
      </w:r>
    </w:p>
    <w:p w:rsidR="00AF0FCD" w:rsidRDefault="00AF0FCD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545BCE" w:rsidRDefault="00545BCE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DD0DA4">
        <w:rPr>
          <w:szCs w:val="24"/>
        </w:rPr>
        <w:t xml:space="preserve">V celém desetiletém období se ukazatel plynulosti </w:t>
      </w:r>
      <w:r w:rsidR="00AF0FCD">
        <w:rPr>
          <w:szCs w:val="24"/>
        </w:rPr>
        <w:t xml:space="preserve">celkové </w:t>
      </w:r>
      <w:r w:rsidRPr="00DD0DA4">
        <w:rPr>
          <w:szCs w:val="24"/>
        </w:rPr>
        <w:t xml:space="preserve">bytové výstavby </w:t>
      </w:r>
      <w:r w:rsidR="00AF0FCD">
        <w:rPr>
          <w:szCs w:val="24"/>
        </w:rPr>
        <w:t xml:space="preserve">v Moravskoslezském kraji </w:t>
      </w:r>
      <w:r w:rsidRPr="00DD0DA4">
        <w:rPr>
          <w:szCs w:val="24"/>
        </w:rPr>
        <w:t xml:space="preserve">s výjimkou pěti let udržoval pod hodnotou 100. </w:t>
      </w:r>
      <w:r w:rsidR="00AF0FCD">
        <w:rPr>
          <w:szCs w:val="24"/>
        </w:rPr>
        <w:t>Proti roku</w:t>
      </w:r>
      <w:r w:rsidRPr="00DD0DA4">
        <w:rPr>
          <w:szCs w:val="24"/>
        </w:rPr>
        <w:t xml:space="preserve"> 2009, kdy </w:t>
      </w:r>
      <w:r w:rsidR="00AF0FCD">
        <w:rPr>
          <w:szCs w:val="24"/>
        </w:rPr>
        <w:t xml:space="preserve">se </w:t>
      </w:r>
      <w:r w:rsidR="00AF0FCD" w:rsidRPr="00AF0FCD">
        <w:rPr>
          <w:szCs w:val="24"/>
        </w:rPr>
        <w:t xml:space="preserve">ukazatel plynulosti bytové výstavby </w:t>
      </w:r>
      <w:r w:rsidR="00F20CDE">
        <w:rPr>
          <w:szCs w:val="24"/>
        </w:rPr>
        <w:t>p</w:t>
      </w:r>
      <w:r w:rsidR="00F20CDE" w:rsidRPr="00AF0FCD">
        <w:rPr>
          <w:szCs w:val="24"/>
        </w:rPr>
        <w:t xml:space="preserve">řiblížil </w:t>
      </w:r>
      <w:r w:rsidR="00AF0FCD" w:rsidRPr="00AF0FCD">
        <w:rPr>
          <w:szCs w:val="24"/>
        </w:rPr>
        <w:t>ideální hodnotě 100 na 4,</w:t>
      </w:r>
      <w:r w:rsidR="003709CA">
        <w:rPr>
          <w:szCs w:val="24"/>
        </w:rPr>
        <w:t>1 </w:t>
      </w:r>
      <w:r w:rsidR="00AF0FCD">
        <w:rPr>
          <w:szCs w:val="24"/>
        </w:rPr>
        <w:t>procentního bodu</w:t>
      </w:r>
      <w:r w:rsidR="00AF0FCD" w:rsidRPr="00AF0FCD">
        <w:rPr>
          <w:szCs w:val="24"/>
        </w:rPr>
        <w:t xml:space="preserve"> (dosáhl hodnoty 95,</w:t>
      </w:r>
      <w:r w:rsidR="00AF0FCD">
        <w:rPr>
          <w:szCs w:val="24"/>
        </w:rPr>
        <w:t>9</w:t>
      </w:r>
      <w:r w:rsidR="00AF0FCD" w:rsidRPr="00AF0FCD">
        <w:rPr>
          <w:szCs w:val="24"/>
        </w:rPr>
        <w:t>)</w:t>
      </w:r>
      <w:r w:rsidRPr="00DD0DA4">
        <w:rPr>
          <w:szCs w:val="24"/>
        </w:rPr>
        <w:t xml:space="preserve">, </w:t>
      </w:r>
      <w:r w:rsidR="00AF0FCD">
        <w:rPr>
          <w:szCs w:val="24"/>
        </w:rPr>
        <w:t>vzrostla</w:t>
      </w:r>
      <w:r w:rsidRPr="00DD0DA4">
        <w:rPr>
          <w:szCs w:val="24"/>
        </w:rPr>
        <w:t xml:space="preserve"> </w:t>
      </w:r>
      <w:r w:rsidR="00F20CDE">
        <w:rPr>
          <w:szCs w:val="24"/>
        </w:rPr>
        <w:t xml:space="preserve">jeho hodnota </w:t>
      </w:r>
      <w:r w:rsidR="003709CA">
        <w:rPr>
          <w:szCs w:val="24"/>
        </w:rPr>
        <w:t>v </w:t>
      </w:r>
      <w:r w:rsidR="00F20CDE">
        <w:rPr>
          <w:szCs w:val="24"/>
        </w:rPr>
        <w:t>následujícím</w:t>
      </w:r>
      <w:r w:rsidRPr="00DD0DA4">
        <w:rPr>
          <w:szCs w:val="24"/>
        </w:rPr>
        <w:t xml:space="preserve"> </w:t>
      </w:r>
      <w:r w:rsidR="00F20CDE">
        <w:rPr>
          <w:szCs w:val="24"/>
        </w:rPr>
        <w:t>roce na 114,0</w:t>
      </w:r>
      <w:r w:rsidRPr="00DD0DA4">
        <w:rPr>
          <w:szCs w:val="24"/>
        </w:rPr>
        <w:t xml:space="preserve">, </w:t>
      </w:r>
      <w:r w:rsidR="00F20CDE">
        <w:rPr>
          <w:szCs w:val="24"/>
        </w:rPr>
        <w:t>což bylo výsledkem poklesu počtu zahájených staveb</w:t>
      </w:r>
      <w:r w:rsidRPr="00DD0DA4">
        <w:rPr>
          <w:szCs w:val="24"/>
        </w:rPr>
        <w:t xml:space="preserve">. </w:t>
      </w:r>
      <w:r w:rsidR="00F20CDE">
        <w:rPr>
          <w:szCs w:val="24"/>
        </w:rPr>
        <w:t>Od roku 2012, kdy bylo dosaženo</w:t>
      </w:r>
      <w:r w:rsidRPr="00DD0DA4">
        <w:rPr>
          <w:szCs w:val="24"/>
        </w:rPr>
        <w:t xml:space="preserve"> maxima za celé sledované období ve výši 130,</w:t>
      </w:r>
      <w:r w:rsidR="005C098C" w:rsidRPr="00DD0DA4">
        <w:rPr>
          <w:szCs w:val="24"/>
        </w:rPr>
        <w:t>1 </w:t>
      </w:r>
      <w:r w:rsidRPr="00DD0DA4">
        <w:rPr>
          <w:szCs w:val="24"/>
        </w:rPr>
        <w:t>dok</w:t>
      </w:r>
      <w:r w:rsidR="00F20CDE">
        <w:rPr>
          <w:szCs w:val="24"/>
        </w:rPr>
        <w:t xml:space="preserve">ončených bytů na 100 zahájených, </w:t>
      </w:r>
      <w:r w:rsidR="000147D8">
        <w:rPr>
          <w:szCs w:val="24"/>
        </w:rPr>
        <w:t>docházelo</w:t>
      </w:r>
      <w:r w:rsidRPr="00DD0DA4">
        <w:rPr>
          <w:szCs w:val="24"/>
        </w:rPr>
        <w:t xml:space="preserve"> </w:t>
      </w:r>
      <w:r w:rsidR="00F20CDE" w:rsidRPr="00DD0DA4">
        <w:rPr>
          <w:szCs w:val="24"/>
        </w:rPr>
        <w:t xml:space="preserve">až do roku 2017 </w:t>
      </w:r>
      <w:r w:rsidRPr="00DD0DA4">
        <w:rPr>
          <w:szCs w:val="24"/>
        </w:rPr>
        <w:t>k pozvolnému</w:t>
      </w:r>
      <w:r w:rsidR="00F20CDE">
        <w:rPr>
          <w:szCs w:val="24"/>
        </w:rPr>
        <w:t xml:space="preserve"> poklesu</w:t>
      </w:r>
      <w:r w:rsidR="00974133">
        <w:rPr>
          <w:szCs w:val="24"/>
        </w:rPr>
        <w:t xml:space="preserve"> na hodnotu 88,6</w:t>
      </w:r>
      <w:r w:rsidR="00F20CDE">
        <w:rPr>
          <w:szCs w:val="24"/>
        </w:rPr>
        <w:t xml:space="preserve">. V roce 2018 </w:t>
      </w:r>
      <w:r w:rsidR="000147D8">
        <w:rPr>
          <w:szCs w:val="24"/>
        </w:rPr>
        <w:t xml:space="preserve">se </w:t>
      </w:r>
      <w:r w:rsidR="00F20CDE">
        <w:rPr>
          <w:szCs w:val="24"/>
        </w:rPr>
        <w:t xml:space="preserve">plynulost bytové výstavby </w:t>
      </w:r>
      <w:r w:rsidR="003709CA">
        <w:rPr>
          <w:szCs w:val="24"/>
        </w:rPr>
        <w:t>v </w:t>
      </w:r>
      <w:r w:rsidR="000147D8">
        <w:rPr>
          <w:szCs w:val="24"/>
        </w:rPr>
        <w:t xml:space="preserve">kraji </w:t>
      </w:r>
      <w:r w:rsidR="00974133">
        <w:rPr>
          <w:szCs w:val="24"/>
        </w:rPr>
        <w:t>s </w:t>
      </w:r>
      <w:r w:rsidR="000147D8" w:rsidRPr="00DD0DA4">
        <w:rPr>
          <w:szCs w:val="24"/>
        </w:rPr>
        <w:t>95,5 </w:t>
      </w:r>
      <w:r w:rsidR="000147D8">
        <w:rPr>
          <w:szCs w:val="24"/>
        </w:rPr>
        <w:t>dokončenými byty na 100 </w:t>
      </w:r>
      <w:r w:rsidR="000147D8" w:rsidRPr="00DD0DA4">
        <w:rPr>
          <w:szCs w:val="24"/>
        </w:rPr>
        <w:t>zahájených</w:t>
      </w:r>
      <w:r w:rsidR="000147D8">
        <w:rPr>
          <w:szCs w:val="24"/>
        </w:rPr>
        <w:t xml:space="preserve"> blížila ideální hodnotě</w:t>
      </w:r>
      <w:r w:rsidRPr="00DD0DA4">
        <w:rPr>
          <w:szCs w:val="24"/>
        </w:rPr>
        <w:t xml:space="preserve">. K postihnutí bytové výstavby jako celku je však nutno vzít ještě </w:t>
      </w:r>
      <w:r w:rsidR="005C098C" w:rsidRPr="00DD0DA4">
        <w:rPr>
          <w:szCs w:val="24"/>
        </w:rPr>
        <w:t>v </w:t>
      </w:r>
      <w:r w:rsidRPr="00DD0DA4">
        <w:rPr>
          <w:szCs w:val="24"/>
        </w:rPr>
        <w:t xml:space="preserve">úvahu to, že v kraji je </w:t>
      </w:r>
      <w:r w:rsidR="000147D8">
        <w:rPr>
          <w:szCs w:val="24"/>
        </w:rPr>
        <w:t>řada bytů ve fázi rozestavěnosti</w:t>
      </w:r>
      <w:r w:rsidRPr="00DD0DA4">
        <w:rPr>
          <w:szCs w:val="24"/>
        </w:rPr>
        <w:t xml:space="preserve">. Do budoucna je tak třeba se zaměřit na zvýšené dokončování </w:t>
      </w:r>
      <w:r w:rsidR="000147D8">
        <w:rPr>
          <w:szCs w:val="24"/>
        </w:rPr>
        <w:t>takových</w:t>
      </w:r>
      <w:r w:rsidRPr="00DD0DA4">
        <w:rPr>
          <w:szCs w:val="24"/>
        </w:rPr>
        <w:t xml:space="preserve"> bytů při podstatně vyšší hladině zahajované bytové výstavby. </w:t>
      </w:r>
    </w:p>
    <w:p w:rsidR="00C37ED3" w:rsidRPr="00DD0DA4" w:rsidRDefault="00C37ED3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545BCE" w:rsidRDefault="003213D2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3213D2">
        <w:rPr>
          <w:noProof/>
          <w:szCs w:val="24"/>
        </w:rPr>
        <w:drawing>
          <wp:inline distT="0" distB="0" distL="0" distR="0">
            <wp:extent cx="5400000" cy="19080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D3" w:rsidRPr="00DD0DA4" w:rsidRDefault="00C37ED3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F573A3" w:rsidRPr="00DD0DA4" w:rsidRDefault="000147D8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  <w:r w:rsidRPr="00287E1A">
        <w:rPr>
          <w:szCs w:val="24"/>
        </w:rPr>
        <w:t xml:space="preserve">Vývoj </w:t>
      </w:r>
      <w:r w:rsidR="003709CA">
        <w:rPr>
          <w:szCs w:val="24"/>
        </w:rPr>
        <w:t xml:space="preserve">plynulosti bytové výstavby </w:t>
      </w:r>
      <w:r w:rsidRPr="00287E1A">
        <w:rPr>
          <w:szCs w:val="24"/>
        </w:rPr>
        <w:t xml:space="preserve">za byty </w:t>
      </w:r>
      <w:r w:rsidR="003709CA" w:rsidRPr="00287E1A">
        <w:rPr>
          <w:szCs w:val="24"/>
        </w:rPr>
        <w:t>v</w:t>
      </w:r>
      <w:r w:rsidR="003709CA">
        <w:rPr>
          <w:szCs w:val="24"/>
        </w:rPr>
        <w:t> </w:t>
      </w:r>
      <w:r w:rsidRPr="00287E1A">
        <w:rPr>
          <w:szCs w:val="24"/>
        </w:rPr>
        <w:t xml:space="preserve">rodinných domech </w:t>
      </w:r>
      <w:r w:rsidR="003709CA" w:rsidRPr="00287E1A">
        <w:rPr>
          <w:szCs w:val="24"/>
        </w:rPr>
        <w:t>a</w:t>
      </w:r>
      <w:r w:rsidR="003709CA">
        <w:rPr>
          <w:szCs w:val="24"/>
        </w:rPr>
        <w:t> </w:t>
      </w:r>
      <w:r w:rsidR="003709CA" w:rsidRPr="00287E1A">
        <w:rPr>
          <w:szCs w:val="24"/>
        </w:rPr>
        <w:t>v</w:t>
      </w:r>
      <w:r w:rsidR="003709CA">
        <w:rPr>
          <w:szCs w:val="24"/>
        </w:rPr>
        <w:t> </w:t>
      </w:r>
      <w:r w:rsidRPr="00287E1A">
        <w:rPr>
          <w:szCs w:val="24"/>
        </w:rPr>
        <w:t xml:space="preserve">bytových domech resp. za byty </w:t>
      </w:r>
      <w:r w:rsidR="003709CA" w:rsidRPr="00287E1A">
        <w:rPr>
          <w:szCs w:val="24"/>
        </w:rPr>
        <w:t>v</w:t>
      </w:r>
      <w:r w:rsidR="003709CA">
        <w:rPr>
          <w:szCs w:val="24"/>
        </w:rPr>
        <w:t> </w:t>
      </w:r>
      <w:r w:rsidRPr="00287E1A">
        <w:rPr>
          <w:szCs w:val="24"/>
        </w:rPr>
        <w:t xml:space="preserve">ostatních budovách je </w:t>
      </w:r>
      <w:r w:rsidR="003709CA" w:rsidRPr="00287E1A">
        <w:rPr>
          <w:szCs w:val="24"/>
        </w:rPr>
        <w:t>v</w:t>
      </w:r>
      <w:r w:rsidR="003709CA">
        <w:rPr>
          <w:szCs w:val="24"/>
        </w:rPr>
        <w:t> </w:t>
      </w:r>
      <w:r w:rsidRPr="00287E1A">
        <w:rPr>
          <w:szCs w:val="24"/>
        </w:rPr>
        <w:t xml:space="preserve">uplynulých deseti letech odlišný. </w:t>
      </w:r>
      <w:r w:rsidR="003709CA">
        <w:rPr>
          <w:szCs w:val="24"/>
        </w:rPr>
        <w:t>Počet dokončených bytů v </w:t>
      </w:r>
      <w:r w:rsidR="00974133" w:rsidRPr="00287E1A">
        <w:rPr>
          <w:szCs w:val="24"/>
        </w:rPr>
        <w:t xml:space="preserve">rodinných domech (včetně nástaveb </w:t>
      </w:r>
      <w:r w:rsidR="003709CA" w:rsidRPr="00287E1A">
        <w:rPr>
          <w:szCs w:val="24"/>
        </w:rPr>
        <w:t>a</w:t>
      </w:r>
      <w:r w:rsidR="003709CA">
        <w:rPr>
          <w:szCs w:val="24"/>
        </w:rPr>
        <w:t> </w:t>
      </w:r>
      <w:r w:rsidR="00974133" w:rsidRPr="00287E1A">
        <w:rPr>
          <w:szCs w:val="24"/>
        </w:rPr>
        <w:t>přístaveb) přesahoval počet zahájených bytů v</w:t>
      </w:r>
      <w:r w:rsidR="003709CA">
        <w:rPr>
          <w:szCs w:val="24"/>
        </w:rPr>
        <w:t> </w:t>
      </w:r>
      <w:r w:rsidR="00974133" w:rsidRPr="00287E1A">
        <w:rPr>
          <w:szCs w:val="24"/>
        </w:rPr>
        <w:t>letech 2010–201</w:t>
      </w:r>
      <w:r w:rsidR="00287E1A" w:rsidRPr="00287E1A">
        <w:rPr>
          <w:szCs w:val="24"/>
        </w:rPr>
        <w:t>4</w:t>
      </w:r>
      <w:r w:rsidR="00974133" w:rsidRPr="00287E1A">
        <w:rPr>
          <w:szCs w:val="24"/>
        </w:rPr>
        <w:t xml:space="preserve">. V posledních čtyřech letech </w:t>
      </w:r>
      <w:r w:rsidR="00287E1A" w:rsidRPr="00287E1A">
        <w:rPr>
          <w:szCs w:val="24"/>
        </w:rPr>
        <w:t>se ukazatel pohyboval</w:t>
      </w:r>
      <w:r w:rsidR="00974133" w:rsidRPr="00287E1A">
        <w:rPr>
          <w:szCs w:val="24"/>
        </w:rPr>
        <w:t xml:space="preserve"> v rozmezí 85 až 96. Průměrná hodnota za celých deset let tak </w:t>
      </w:r>
      <w:r w:rsidR="00287E1A" w:rsidRPr="00287E1A">
        <w:rPr>
          <w:szCs w:val="24"/>
        </w:rPr>
        <w:t xml:space="preserve">byla </w:t>
      </w:r>
      <w:r w:rsidR="00974133" w:rsidRPr="00287E1A">
        <w:rPr>
          <w:szCs w:val="24"/>
        </w:rPr>
        <w:t>téměř ideální, neboť činila 100,</w:t>
      </w:r>
      <w:r w:rsidR="003709CA" w:rsidRPr="00287E1A">
        <w:rPr>
          <w:szCs w:val="24"/>
        </w:rPr>
        <w:t>9</w:t>
      </w:r>
      <w:r w:rsidR="003709CA">
        <w:rPr>
          <w:szCs w:val="24"/>
        </w:rPr>
        <w:t> </w:t>
      </w:r>
      <w:r w:rsidR="00974133" w:rsidRPr="00287E1A">
        <w:rPr>
          <w:szCs w:val="24"/>
        </w:rPr>
        <w:t xml:space="preserve">bytu. </w:t>
      </w:r>
      <w:r w:rsidR="003709CA" w:rsidRPr="00287E1A">
        <w:rPr>
          <w:szCs w:val="24"/>
        </w:rPr>
        <w:t>V</w:t>
      </w:r>
      <w:r w:rsidR="003709CA">
        <w:rPr>
          <w:szCs w:val="24"/>
        </w:rPr>
        <w:t> </w:t>
      </w:r>
      <w:r w:rsidR="00F573A3" w:rsidRPr="00287E1A">
        <w:rPr>
          <w:szCs w:val="24"/>
        </w:rPr>
        <w:t>případě</w:t>
      </w:r>
      <w:r w:rsidR="00974133" w:rsidRPr="00287E1A">
        <w:rPr>
          <w:szCs w:val="24"/>
        </w:rPr>
        <w:t xml:space="preserve"> bytů </w:t>
      </w:r>
      <w:r w:rsidR="003709CA" w:rsidRPr="00287E1A">
        <w:rPr>
          <w:szCs w:val="24"/>
        </w:rPr>
        <w:t>v</w:t>
      </w:r>
      <w:r w:rsidR="003709CA">
        <w:rPr>
          <w:szCs w:val="24"/>
        </w:rPr>
        <w:t> </w:t>
      </w:r>
      <w:r w:rsidR="00974133" w:rsidRPr="00287E1A">
        <w:rPr>
          <w:szCs w:val="24"/>
        </w:rPr>
        <w:t xml:space="preserve">bytových budovách (opět včetně nástaveb </w:t>
      </w:r>
      <w:r w:rsidR="003709CA" w:rsidRPr="00287E1A">
        <w:rPr>
          <w:szCs w:val="24"/>
        </w:rPr>
        <w:t>a</w:t>
      </w:r>
      <w:r w:rsidR="003709CA">
        <w:rPr>
          <w:szCs w:val="24"/>
        </w:rPr>
        <w:t> </w:t>
      </w:r>
      <w:r w:rsidR="00974133" w:rsidRPr="00287E1A">
        <w:rPr>
          <w:szCs w:val="24"/>
        </w:rPr>
        <w:t xml:space="preserve">přístaveb) přesahoval počet dokončených bytů počet zahájených </w:t>
      </w:r>
      <w:r w:rsidR="00F573A3" w:rsidRPr="00287E1A">
        <w:rPr>
          <w:szCs w:val="24"/>
        </w:rPr>
        <w:t xml:space="preserve">ve všech letech s výjimkou let 2011, 2014 </w:t>
      </w:r>
      <w:r w:rsidR="003709CA" w:rsidRPr="00287E1A">
        <w:rPr>
          <w:szCs w:val="24"/>
        </w:rPr>
        <w:t>a</w:t>
      </w:r>
      <w:r w:rsidR="003709CA">
        <w:rPr>
          <w:szCs w:val="24"/>
        </w:rPr>
        <w:t> </w:t>
      </w:r>
      <w:r w:rsidR="00F573A3" w:rsidRPr="00287E1A">
        <w:rPr>
          <w:szCs w:val="24"/>
        </w:rPr>
        <w:t>2018. V letech 2011</w:t>
      </w:r>
      <w:r w:rsidR="00974133" w:rsidRPr="00287E1A">
        <w:rPr>
          <w:szCs w:val="24"/>
        </w:rPr>
        <w:t xml:space="preserve"> </w:t>
      </w:r>
      <w:r w:rsidR="003709CA" w:rsidRPr="00287E1A">
        <w:rPr>
          <w:szCs w:val="24"/>
        </w:rPr>
        <w:t>a</w:t>
      </w:r>
      <w:r w:rsidR="003709CA">
        <w:rPr>
          <w:szCs w:val="24"/>
        </w:rPr>
        <w:t> </w:t>
      </w:r>
      <w:r w:rsidR="00F573A3" w:rsidRPr="00287E1A">
        <w:rPr>
          <w:szCs w:val="24"/>
        </w:rPr>
        <w:t xml:space="preserve">2014 </w:t>
      </w:r>
      <w:r w:rsidR="00974133" w:rsidRPr="00287E1A">
        <w:rPr>
          <w:szCs w:val="24"/>
        </w:rPr>
        <w:t xml:space="preserve">se jednalo </w:t>
      </w:r>
      <w:r w:rsidR="003709CA" w:rsidRPr="00287E1A">
        <w:rPr>
          <w:szCs w:val="24"/>
        </w:rPr>
        <w:t>o</w:t>
      </w:r>
      <w:r w:rsidR="003709CA">
        <w:rPr>
          <w:szCs w:val="24"/>
        </w:rPr>
        <w:t> </w:t>
      </w:r>
      <w:r w:rsidR="00860B7B" w:rsidRPr="00287E1A">
        <w:rPr>
          <w:szCs w:val="24"/>
        </w:rPr>
        <w:t>vliv ekonomické krize</w:t>
      </w:r>
      <w:r w:rsidR="00974133" w:rsidRPr="00287E1A">
        <w:rPr>
          <w:szCs w:val="24"/>
        </w:rPr>
        <w:t>.</w:t>
      </w:r>
      <w:r w:rsidR="00860B7B" w:rsidRPr="00287E1A">
        <w:rPr>
          <w:szCs w:val="24"/>
        </w:rPr>
        <w:t xml:space="preserve"> Zároveň je však třeba </w:t>
      </w:r>
      <w:r w:rsidR="00287E1A" w:rsidRPr="00287E1A">
        <w:rPr>
          <w:szCs w:val="24"/>
        </w:rPr>
        <w:t>připomenout</w:t>
      </w:r>
      <w:r w:rsidR="00860B7B" w:rsidRPr="00287E1A">
        <w:rPr>
          <w:szCs w:val="24"/>
        </w:rPr>
        <w:t xml:space="preserve">, že počty zahajovaných bytů v bytových domech byly na nízké úrovni, neboť </w:t>
      </w:r>
      <w:r w:rsidR="00F573A3" w:rsidRPr="00287E1A">
        <w:t xml:space="preserve">z minulých desetiletí </w:t>
      </w:r>
      <w:r w:rsidR="00860B7B" w:rsidRPr="00287E1A">
        <w:t xml:space="preserve">zůstala </w:t>
      </w:r>
      <w:r w:rsidR="00F573A3" w:rsidRPr="00287E1A">
        <w:t xml:space="preserve">nahromaděná určitá rezerva bytů, která snižovala objektivní potřebu nových bytů. Příznivější podmínky na trhu práce v ostatních regionech navíc </w:t>
      </w:r>
      <w:r w:rsidR="00287E1A" w:rsidRPr="00287E1A">
        <w:t>vyvolávaly</w:t>
      </w:r>
      <w:r w:rsidR="00F573A3" w:rsidRPr="00287E1A">
        <w:t xml:space="preserve"> tlak na sílící emigrační tendence</w:t>
      </w:r>
      <w:r w:rsidR="00287E1A" w:rsidRPr="00287E1A">
        <w:t xml:space="preserve"> </w:t>
      </w:r>
      <w:r w:rsidR="003709CA" w:rsidRPr="00287E1A">
        <w:t>z</w:t>
      </w:r>
      <w:r w:rsidR="003709CA">
        <w:t> </w:t>
      </w:r>
      <w:r w:rsidR="00F573A3" w:rsidRPr="00287E1A">
        <w:t>kraje.</w:t>
      </w:r>
    </w:p>
    <w:p w:rsidR="00545BCE" w:rsidRPr="00DD0DA4" w:rsidRDefault="00545BCE" w:rsidP="005C098C">
      <w:pPr>
        <w:pStyle w:val="Zkladntext"/>
        <w:autoSpaceDE/>
        <w:autoSpaceDN/>
        <w:adjustRightInd/>
        <w:spacing w:line="276" w:lineRule="auto"/>
        <w:jc w:val="left"/>
        <w:rPr>
          <w:szCs w:val="24"/>
        </w:rPr>
      </w:pPr>
    </w:p>
    <w:p w:rsidR="00545BCE" w:rsidRPr="00A06113" w:rsidRDefault="00545BCE" w:rsidP="00545BCE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5BCE" w:rsidRPr="00A06113" w:rsidRDefault="00545BCE" w:rsidP="004F6C4B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545BCE" w:rsidRPr="00A06113" w:rsidRDefault="00545BCE" w:rsidP="004F6C4B">
      <w:pPr>
        <w:spacing w:line="264" w:lineRule="auto"/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5BCE" w:rsidRPr="00A06113" w:rsidRDefault="00545BCE" w:rsidP="004F6C4B">
      <w:pPr>
        <w:spacing w:line="264" w:lineRule="auto"/>
        <w:rPr>
          <w:rFonts w:cs="Arial"/>
          <w:szCs w:val="20"/>
        </w:rPr>
      </w:pPr>
      <w:r w:rsidRPr="00A06113">
        <w:rPr>
          <w:rFonts w:cs="Arial"/>
          <w:szCs w:val="20"/>
        </w:rPr>
        <w:t>Tel.: 595 131 22</w:t>
      </w:r>
      <w:r>
        <w:rPr>
          <w:rFonts w:cs="Arial"/>
          <w:szCs w:val="20"/>
        </w:rPr>
        <w:t>0</w:t>
      </w:r>
    </w:p>
    <w:p w:rsidR="0081050D" w:rsidRDefault="00545BCE" w:rsidP="004F6C4B">
      <w:pPr>
        <w:spacing w:line="264" w:lineRule="auto"/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E-mail: </w:t>
      </w:r>
      <w:proofErr w:type="spellStart"/>
      <w:r>
        <w:rPr>
          <w:rFonts w:cs="Arial"/>
          <w:szCs w:val="20"/>
        </w:rPr>
        <w:t>patrik.szabo</w:t>
      </w:r>
      <w:r w:rsidRPr="00A06113">
        <w:rPr>
          <w:rFonts w:cs="Arial"/>
          <w:szCs w:val="20"/>
        </w:rPr>
        <w:t>@czso.cz</w:t>
      </w:r>
      <w:proofErr w:type="spellEnd"/>
    </w:p>
    <w:sectPr w:rsidR="0081050D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11" w:rsidRDefault="00FB2411" w:rsidP="00BA6370">
      <w:r>
        <w:separator/>
      </w:r>
    </w:p>
  </w:endnote>
  <w:endnote w:type="continuationSeparator" w:id="0">
    <w:p w:rsidR="00FB2411" w:rsidRDefault="00FB241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08D1">
                            <w:rPr>
                              <w:rFonts w:cs="Arial"/>
                              <w:noProof/>
                              <w:szCs w:val="15"/>
                            </w:rPr>
                            <w:t>6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08D1">
                      <w:rPr>
                        <w:rFonts w:cs="Arial"/>
                        <w:noProof/>
                        <w:szCs w:val="15"/>
                      </w:rPr>
                      <w:t>6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11" w:rsidRDefault="00FB2411" w:rsidP="00BA6370">
      <w:r>
        <w:separator/>
      </w:r>
    </w:p>
  </w:footnote>
  <w:footnote w:type="continuationSeparator" w:id="0">
    <w:p w:rsidR="00FB2411" w:rsidRDefault="00FB241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60A4"/>
    <w:multiLevelType w:val="hybridMultilevel"/>
    <w:tmpl w:val="748C88E4"/>
    <w:lvl w:ilvl="0" w:tplc="A5B22C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147D8"/>
    <w:rsid w:val="000210EE"/>
    <w:rsid w:val="0002393A"/>
    <w:rsid w:val="00043707"/>
    <w:rsid w:val="00043BF4"/>
    <w:rsid w:val="00044676"/>
    <w:rsid w:val="0005506C"/>
    <w:rsid w:val="00075FCA"/>
    <w:rsid w:val="000775E2"/>
    <w:rsid w:val="000842D2"/>
    <w:rsid w:val="000843A5"/>
    <w:rsid w:val="00086DE3"/>
    <w:rsid w:val="000B4D9F"/>
    <w:rsid w:val="000B6F63"/>
    <w:rsid w:val="000C29D6"/>
    <w:rsid w:val="000C435D"/>
    <w:rsid w:val="000D772E"/>
    <w:rsid w:val="000E6C80"/>
    <w:rsid w:val="000F0325"/>
    <w:rsid w:val="001165D7"/>
    <w:rsid w:val="00127921"/>
    <w:rsid w:val="00137FE4"/>
    <w:rsid w:val="001404AB"/>
    <w:rsid w:val="00144A9E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C5B38"/>
    <w:rsid w:val="001D369A"/>
    <w:rsid w:val="001D4FB5"/>
    <w:rsid w:val="001D7448"/>
    <w:rsid w:val="001F2ABC"/>
    <w:rsid w:val="002070FB"/>
    <w:rsid w:val="00213729"/>
    <w:rsid w:val="002272A6"/>
    <w:rsid w:val="002339BF"/>
    <w:rsid w:val="002406FA"/>
    <w:rsid w:val="002460EA"/>
    <w:rsid w:val="00262787"/>
    <w:rsid w:val="0026346B"/>
    <w:rsid w:val="0027601F"/>
    <w:rsid w:val="00277376"/>
    <w:rsid w:val="002846CC"/>
    <w:rsid w:val="002848DA"/>
    <w:rsid w:val="00287E1A"/>
    <w:rsid w:val="002924E5"/>
    <w:rsid w:val="00296DD9"/>
    <w:rsid w:val="002A2CC6"/>
    <w:rsid w:val="002B2E47"/>
    <w:rsid w:val="002C5242"/>
    <w:rsid w:val="002D6A6C"/>
    <w:rsid w:val="002F0983"/>
    <w:rsid w:val="003213D2"/>
    <w:rsid w:val="00322412"/>
    <w:rsid w:val="003301A3"/>
    <w:rsid w:val="003556A4"/>
    <w:rsid w:val="0035578A"/>
    <w:rsid w:val="0036777B"/>
    <w:rsid w:val="003709CA"/>
    <w:rsid w:val="003723F1"/>
    <w:rsid w:val="00377FA8"/>
    <w:rsid w:val="0038282A"/>
    <w:rsid w:val="00391CA6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17C66"/>
    <w:rsid w:val="00421BBC"/>
    <w:rsid w:val="004230FF"/>
    <w:rsid w:val="004436EE"/>
    <w:rsid w:val="0045547F"/>
    <w:rsid w:val="00460236"/>
    <w:rsid w:val="00466282"/>
    <w:rsid w:val="00466709"/>
    <w:rsid w:val="00477364"/>
    <w:rsid w:val="00483248"/>
    <w:rsid w:val="00485B6D"/>
    <w:rsid w:val="004920AD"/>
    <w:rsid w:val="004B6985"/>
    <w:rsid w:val="004C0641"/>
    <w:rsid w:val="004C7C50"/>
    <w:rsid w:val="004D05B3"/>
    <w:rsid w:val="004D07E4"/>
    <w:rsid w:val="004D409E"/>
    <w:rsid w:val="004E2493"/>
    <w:rsid w:val="004E479E"/>
    <w:rsid w:val="004E583B"/>
    <w:rsid w:val="004F6C4B"/>
    <w:rsid w:val="004F78E6"/>
    <w:rsid w:val="00512D99"/>
    <w:rsid w:val="005137D3"/>
    <w:rsid w:val="0051551D"/>
    <w:rsid w:val="00522A43"/>
    <w:rsid w:val="00524D45"/>
    <w:rsid w:val="00531DBB"/>
    <w:rsid w:val="00531E36"/>
    <w:rsid w:val="005421B5"/>
    <w:rsid w:val="00543E08"/>
    <w:rsid w:val="00545BCE"/>
    <w:rsid w:val="0055479C"/>
    <w:rsid w:val="00563CBF"/>
    <w:rsid w:val="005A4341"/>
    <w:rsid w:val="005A4CF0"/>
    <w:rsid w:val="005C098C"/>
    <w:rsid w:val="005D0CF2"/>
    <w:rsid w:val="005E428A"/>
    <w:rsid w:val="005E4453"/>
    <w:rsid w:val="005E537D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682"/>
    <w:rsid w:val="00622B80"/>
    <w:rsid w:val="00634DF5"/>
    <w:rsid w:val="0064139A"/>
    <w:rsid w:val="00642389"/>
    <w:rsid w:val="0065229C"/>
    <w:rsid w:val="00661292"/>
    <w:rsid w:val="00671136"/>
    <w:rsid w:val="00675D16"/>
    <w:rsid w:val="00687D20"/>
    <w:rsid w:val="006D0967"/>
    <w:rsid w:val="006D549F"/>
    <w:rsid w:val="006E024F"/>
    <w:rsid w:val="006E4E81"/>
    <w:rsid w:val="00707F7D"/>
    <w:rsid w:val="00717EC5"/>
    <w:rsid w:val="00727525"/>
    <w:rsid w:val="00734628"/>
    <w:rsid w:val="00737B80"/>
    <w:rsid w:val="00745928"/>
    <w:rsid w:val="007529C9"/>
    <w:rsid w:val="00755517"/>
    <w:rsid w:val="007722F2"/>
    <w:rsid w:val="00791BCE"/>
    <w:rsid w:val="00796380"/>
    <w:rsid w:val="007A03A8"/>
    <w:rsid w:val="007A57F2"/>
    <w:rsid w:val="007B1333"/>
    <w:rsid w:val="007B473A"/>
    <w:rsid w:val="007B6C04"/>
    <w:rsid w:val="007C4721"/>
    <w:rsid w:val="007D5E80"/>
    <w:rsid w:val="007D7E4F"/>
    <w:rsid w:val="007E2A8E"/>
    <w:rsid w:val="007E622A"/>
    <w:rsid w:val="007F4AEB"/>
    <w:rsid w:val="007F5D77"/>
    <w:rsid w:val="007F75B2"/>
    <w:rsid w:val="008043C4"/>
    <w:rsid w:val="0080519E"/>
    <w:rsid w:val="0081050D"/>
    <w:rsid w:val="008108D7"/>
    <w:rsid w:val="00831B1B"/>
    <w:rsid w:val="00860B7B"/>
    <w:rsid w:val="00861D0E"/>
    <w:rsid w:val="00867569"/>
    <w:rsid w:val="00874373"/>
    <w:rsid w:val="008805CB"/>
    <w:rsid w:val="00882382"/>
    <w:rsid w:val="00892918"/>
    <w:rsid w:val="008A4BA5"/>
    <w:rsid w:val="008A5F4F"/>
    <w:rsid w:val="008A750A"/>
    <w:rsid w:val="008C384C"/>
    <w:rsid w:val="008D0F11"/>
    <w:rsid w:val="008E1B7C"/>
    <w:rsid w:val="008F2493"/>
    <w:rsid w:val="008F35B4"/>
    <w:rsid w:val="008F63FB"/>
    <w:rsid w:val="008F73B4"/>
    <w:rsid w:val="008F77DA"/>
    <w:rsid w:val="00902B29"/>
    <w:rsid w:val="009422F7"/>
    <w:rsid w:val="0094402F"/>
    <w:rsid w:val="00945590"/>
    <w:rsid w:val="009668FF"/>
    <w:rsid w:val="00974133"/>
    <w:rsid w:val="00981088"/>
    <w:rsid w:val="00984C08"/>
    <w:rsid w:val="00987C88"/>
    <w:rsid w:val="009938B4"/>
    <w:rsid w:val="009B55B1"/>
    <w:rsid w:val="009B67F9"/>
    <w:rsid w:val="009C2234"/>
    <w:rsid w:val="009D564B"/>
    <w:rsid w:val="00A00672"/>
    <w:rsid w:val="00A1409F"/>
    <w:rsid w:val="00A15D60"/>
    <w:rsid w:val="00A4343D"/>
    <w:rsid w:val="00A502F1"/>
    <w:rsid w:val="00A53C99"/>
    <w:rsid w:val="00A70A83"/>
    <w:rsid w:val="00A81EB3"/>
    <w:rsid w:val="00A842CF"/>
    <w:rsid w:val="00AC629E"/>
    <w:rsid w:val="00AE1690"/>
    <w:rsid w:val="00AE3FCA"/>
    <w:rsid w:val="00AE6D5B"/>
    <w:rsid w:val="00AF0FCD"/>
    <w:rsid w:val="00B00C1D"/>
    <w:rsid w:val="00B03E21"/>
    <w:rsid w:val="00B1128D"/>
    <w:rsid w:val="00B125F1"/>
    <w:rsid w:val="00B129C9"/>
    <w:rsid w:val="00B2612C"/>
    <w:rsid w:val="00B40799"/>
    <w:rsid w:val="00B44045"/>
    <w:rsid w:val="00B5400E"/>
    <w:rsid w:val="00B74F37"/>
    <w:rsid w:val="00B92E08"/>
    <w:rsid w:val="00B94694"/>
    <w:rsid w:val="00BA439F"/>
    <w:rsid w:val="00BA6370"/>
    <w:rsid w:val="00BC2B5C"/>
    <w:rsid w:val="00BC3A57"/>
    <w:rsid w:val="00BF07E1"/>
    <w:rsid w:val="00C1513D"/>
    <w:rsid w:val="00C16E9C"/>
    <w:rsid w:val="00C20D1C"/>
    <w:rsid w:val="00C269D4"/>
    <w:rsid w:val="00C37ED3"/>
    <w:rsid w:val="00C4160D"/>
    <w:rsid w:val="00C52466"/>
    <w:rsid w:val="00C568C0"/>
    <w:rsid w:val="00C62F5D"/>
    <w:rsid w:val="00C77F4A"/>
    <w:rsid w:val="00C8406E"/>
    <w:rsid w:val="00C91AF5"/>
    <w:rsid w:val="00CA7E45"/>
    <w:rsid w:val="00CB2709"/>
    <w:rsid w:val="00CB6F89"/>
    <w:rsid w:val="00CB7797"/>
    <w:rsid w:val="00CC7101"/>
    <w:rsid w:val="00CD2BB6"/>
    <w:rsid w:val="00CE228C"/>
    <w:rsid w:val="00CF545B"/>
    <w:rsid w:val="00CF74AC"/>
    <w:rsid w:val="00D018F0"/>
    <w:rsid w:val="00D27074"/>
    <w:rsid w:val="00D27D69"/>
    <w:rsid w:val="00D27DEC"/>
    <w:rsid w:val="00D27F3A"/>
    <w:rsid w:val="00D448C2"/>
    <w:rsid w:val="00D666C3"/>
    <w:rsid w:val="00D71A18"/>
    <w:rsid w:val="00D750D2"/>
    <w:rsid w:val="00D908D1"/>
    <w:rsid w:val="00D92D83"/>
    <w:rsid w:val="00DA093A"/>
    <w:rsid w:val="00DA50A3"/>
    <w:rsid w:val="00DB058A"/>
    <w:rsid w:val="00DB3587"/>
    <w:rsid w:val="00DB517B"/>
    <w:rsid w:val="00DD0DA4"/>
    <w:rsid w:val="00DD7A17"/>
    <w:rsid w:val="00DE02B3"/>
    <w:rsid w:val="00DF47FE"/>
    <w:rsid w:val="00E2374E"/>
    <w:rsid w:val="00E2388D"/>
    <w:rsid w:val="00E245E0"/>
    <w:rsid w:val="00E26704"/>
    <w:rsid w:val="00E27C40"/>
    <w:rsid w:val="00E31980"/>
    <w:rsid w:val="00E6423C"/>
    <w:rsid w:val="00E676DA"/>
    <w:rsid w:val="00E70CF3"/>
    <w:rsid w:val="00E93830"/>
    <w:rsid w:val="00E93E0E"/>
    <w:rsid w:val="00EA2D8A"/>
    <w:rsid w:val="00EB1ED3"/>
    <w:rsid w:val="00EB63FF"/>
    <w:rsid w:val="00EC2D51"/>
    <w:rsid w:val="00EE4867"/>
    <w:rsid w:val="00F12DFF"/>
    <w:rsid w:val="00F1647C"/>
    <w:rsid w:val="00F20CDE"/>
    <w:rsid w:val="00F26395"/>
    <w:rsid w:val="00F310A4"/>
    <w:rsid w:val="00F43A6D"/>
    <w:rsid w:val="00F46F18"/>
    <w:rsid w:val="00F573A3"/>
    <w:rsid w:val="00F82157"/>
    <w:rsid w:val="00FB000A"/>
    <w:rsid w:val="00FB005B"/>
    <w:rsid w:val="00FB2411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ACE0730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545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5BCE"/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545BCE"/>
    <w:pPr>
      <w:autoSpaceDE w:val="0"/>
      <w:autoSpaceDN w:val="0"/>
      <w:adjustRightInd w:val="0"/>
      <w:spacing w:line="240" w:lineRule="auto"/>
      <w:jc w:val="both"/>
    </w:pPr>
    <w:rPr>
      <w:rFonts w:eastAsia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45BCE"/>
    <w:rPr>
      <w:rFonts w:ascii="Arial" w:eastAsia="Times New Roman" w:hAnsi="Arial"/>
      <w:szCs w:val="22"/>
    </w:rPr>
  </w:style>
  <w:style w:type="paragraph" w:styleId="Revize">
    <w:name w:val="Revision"/>
    <w:hidden/>
    <w:uiPriority w:val="99"/>
    <w:semiHidden/>
    <w:rsid w:val="00545BCE"/>
    <w:rPr>
      <w:rFonts w:ascii="Arial" w:eastAsia="Times New Roman" w:hAnsi="Arial"/>
      <w:szCs w:val="24"/>
    </w:rPr>
  </w:style>
  <w:style w:type="paragraph" w:styleId="Odstavecseseznamem">
    <w:name w:val="List Paragraph"/>
    <w:basedOn w:val="Normln"/>
    <w:uiPriority w:val="34"/>
    <w:rsid w:val="0042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C1D0-F5B7-433D-A9F5-2C354373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851</TotalTime>
  <Pages>6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11984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45</cp:revision>
  <cp:lastPrinted>2019-08-15T11:50:00Z</cp:lastPrinted>
  <dcterms:created xsi:type="dcterms:W3CDTF">2019-06-25T06:23:00Z</dcterms:created>
  <dcterms:modified xsi:type="dcterms:W3CDTF">2019-08-20T12:48:00Z</dcterms:modified>
</cp:coreProperties>
</file>