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9A" w:rsidRPr="005D5B9C" w:rsidRDefault="00E20F9E" w:rsidP="005F08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cs-CZ"/>
        </w:rPr>
        <w:t>REGIONÁLNÍ ÚČTY</w:t>
      </w:r>
      <w:r w:rsidR="0041429A" w:rsidRPr="005D5B9C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cs-CZ"/>
        </w:rPr>
        <w:t xml:space="preserve"> 2017</w:t>
      </w:r>
      <w:r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cs-CZ"/>
        </w:rPr>
        <w:t xml:space="preserve"> – MORAVSKOSLEZSKÝ KRAJ</w:t>
      </w:r>
    </w:p>
    <w:p w:rsidR="0041429A" w:rsidRPr="00205277" w:rsidRDefault="003F0A94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Hrubý domácí produkt dosáhl 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roce 2017 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Moravskoslezském kraji 474,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mld. Kč. Meziročně se objem HDP zvýšil, stejně jako ve všech ostatních krajích. Odvětvová struktura hrubé </w:t>
      </w:r>
      <w:r w:rsidR="00E9402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přidané hodnoty se vyznačovala na rozdíl od republiky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nadprůměrným podílem 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sekundárního sektoru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(46,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%). Naopak hodnoty v</w:t>
      </w:r>
      <w:r w:rsidR="00105A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 primárním 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 </w:t>
      </w:r>
      <w:r w:rsidR="00105A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zejména 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terciárním sektoru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byly pod průměrem České republiky. Tvorba hrubého fixního kapitálu na obyvatele dosáhla 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Moravskoslezském kraji 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roce 2016 téměř 82 tis. Kč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B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yla 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tak 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řetí nejnižší mezi všemi kraji, přičemž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za republikovým pr</w:t>
      </w:r>
      <w:r w:rsidR="00105A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ůměrem zaostávala 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 </w:t>
      </w:r>
      <w:r w:rsidR="00105A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více než 30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tis. Kč na obyvatele. Čistý disponib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ilní důchod domácností dosáhl v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roce 2017 své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dosavadní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nejvyšší hodnoty 250,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mld. Kč. 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Při přepočtu na 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1 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obyvatele však zaostával za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republikovým průměrem </w:t>
      </w:r>
      <w:r w:rsidR="009A1A25"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="00602B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cca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23 tis. </w:t>
      </w:r>
      <w:r w:rsidR="006431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Kč</w:t>
      </w:r>
      <w:r w:rsidRPr="003F0A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41429A"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41429A" w:rsidRPr="00205277" w:rsidRDefault="003B74D7" w:rsidP="003F0A94">
      <w:pPr>
        <w:spacing w:before="36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Regionální hrubý domácí produkt</w:t>
      </w:r>
    </w:p>
    <w:p w:rsidR="0041429A" w:rsidRPr="005D5B9C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sz w:val="20"/>
          <w:szCs w:val="20"/>
          <w:lang w:eastAsia="cs-CZ"/>
        </w:rPr>
        <w:t>Základní ukazatel pro hodnocení výkonnosti ekonomiky na daném úze</w:t>
      </w:r>
      <w:bookmarkStart w:id="0" w:name="_GoBack"/>
      <w:bookmarkEnd w:id="0"/>
      <w:r w:rsidRPr="00205277">
        <w:rPr>
          <w:rFonts w:ascii="Arial" w:eastAsia="Times New Roman" w:hAnsi="Arial" w:cs="Arial"/>
          <w:sz w:val="20"/>
          <w:szCs w:val="20"/>
          <w:lang w:eastAsia="cs-CZ"/>
        </w:rPr>
        <w:t>mí</w:t>
      </w:r>
      <w:r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Pr="00727A99">
        <w:rPr>
          <w:rFonts w:ascii="Arial" w:eastAsia="Times New Roman" w:hAnsi="Arial" w:cs="Arial"/>
          <w:bCs/>
          <w:sz w:val="20"/>
          <w:szCs w:val="20"/>
          <w:lang w:eastAsia="cs-CZ"/>
        </w:rPr>
        <w:t>hrubý domácí produkt</w:t>
      </w:r>
      <w:r w:rsidR="003B74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(HDP)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. Představuje souhrn hodnot přidaných zpracováním ve všech odvětvích 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považovaných v systému národního účetnictví za produktivní (tj. včetně služeb tržní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netržní povahy) a čistých daní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produktů (bez dotací).</w:t>
      </w:r>
    </w:p>
    <w:p w:rsidR="0041429A" w:rsidRPr="005D5B9C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5B9C">
        <w:rPr>
          <w:rFonts w:ascii="Arial" w:eastAsia="Times New Roman" w:hAnsi="Arial" w:cs="Arial"/>
          <w:sz w:val="20"/>
          <w:szCs w:val="20"/>
          <w:lang w:eastAsia="cs-CZ"/>
        </w:rPr>
        <w:t>Hrubý domácí produkt v </w:t>
      </w:r>
      <w:r w:rsidR="00FA3749" w:rsidRPr="005D5B9C">
        <w:rPr>
          <w:rFonts w:ascii="Arial" w:eastAsia="Times New Roman" w:hAnsi="Arial" w:cs="Arial"/>
          <w:sz w:val="20"/>
          <w:szCs w:val="20"/>
          <w:lang w:eastAsia="cs-CZ"/>
        </w:rPr>
        <w:t>Moravskoslezském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kraji zaznamenal v roce 2017 pozitivní hospodářský vývoj. Objem HDP ve </w:t>
      </w:r>
      <w:r w:rsidR="00727A99">
        <w:rPr>
          <w:rFonts w:ascii="Arial" w:eastAsia="Times New Roman" w:hAnsi="Arial" w:cs="Arial"/>
          <w:sz w:val="20"/>
          <w:szCs w:val="20"/>
          <w:lang w:eastAsia="cs-CZ"/>
        </w:rPr>
        <w:t>srovnatelných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cenách mezi </w:t>
      </w:r>
      <w:proofErr w:type="gramStart"/>
      <w:r w:rsidRPr="005D5B9C">
        <w:rPr>
          <w:rFonts w:ascii="Arial" w:eastAsia="Times New Roman" w:hAnsi="Arial" w:cs="Arial"/>
          <w:sz w:val="20"/>
          <w:szCs w:val="20"/>
          <w:lang w:eastAsia="cs-CZ"/>
        </w:rPr>
        <w:t>se</w:t>
      </w:r>
      <w:proofErr w:type="gramEnd"/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5AC6">
        <w:rPr>
          <w:rFonts w:ascii="Arial" w:eastAsia="Times New Roman" w:hAnsi="Arial" w:cs="Arial"/>
          <w:sz w:val="20"/>
          <w:szCs w:val="20"/>
          <w:lang w:eastAsia="cs-CZ"/>
        </w:rPr>
        <w:t xml:space="preserve">proti roku 2016 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zvýšil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200396" w:rsidRPr="005D5B9C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200396" w:rsidRPr="005D5B9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 %. </w:t>
      </w:r>
      <w:r w:rsidR="003B74D7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eziročně vzrostl ve všech krajích republiky. Nejrychleji se ekonomika vyvíjela v Královéhradeckém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 Středočeském kraji (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10,2</w:t>
      </w:r>
      <w:r w:rsidR="00105AC6">
        <w:rPr>
          <w:rFonts w:ascii="Arial" w:eastAsia="Times New Roman" w:hAnsi="Arial" w:cs="Arial"/>
          <w:sz w:val="20"/>
          <w:szCs w:val="20"/>
          <w:lang w:eastAsia="cs-CZ"/>
        </w:rPr>
        <w:t> %</w:t>
      </w:r>
      <w:r w:rsidR="003B74D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resp. 7,7 %). Naproti tomu růst v </w:t>
      </w:r>
      <w:r w:rsidR="00982BBD" w:rsidRPr="005D5B9C">
        <w:rPr>
          <w:rFonts w:ascii="Arial" w:eastAsia="Times New Roman" w:hAnsi="Arial" w:cs="Arial"/>
          <w:sz w:val="20"/>
          <w:szCs w:val="20"/>
          <w:lang w:eastAsia="cs-CZ"/>
        </w:rPr>
        <w:t>Moravskoslezském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kraji byl mezi kraji </w:t>
      </w:r>
      <w:r w:rsidR="00982BBD"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třetí 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nejnižší.</w:t>
      </w:r>
    </w:p>
    <w:p w:rsidR="005D5B9C" w:rsidRPr="005D5B9C" w:rsidRDefault="005D5B9C" w:rsidP="005D5B9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D5B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Regionální hrubý domácí produkt podle krajů v letech 2013 až 2017</w:t>
      </w:r>
    </w:p>
    <w:p w:rsidR="005D5B9C" w:rsidRPr="005D5B9C" w:rsidRDefault="005D5B9C" w:rsidP="005D5B9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5B9C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2A4E0B5B" wp14:editId="0F1664C0">
            <wp:extent cx="6120130" cy="3886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dp_2013_201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8" b="1246"/>
                    <a:stretch/>
                  </pic:blipFill>
                  <pic:spPr bwMode="auto">
                    <a:xfrm>
                      <a:off x="0" y="0"/>
                      <a:ext cx="612013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B9A" w:rsidRPr="005D5B9C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B74D7">
        <w:rPr>
          <w:rFonts w:ascii="Arial" w:eastAsia="Times New Roman" w:hAnsi="Arial" w:cs="Arial"/>
          <w:sz w:val="20"/>
          <w:szCs w:val="20"/>
          <w:lang w:eastAsia="cs-CZ"/>
        </w:rPr>
        <w:t xml:space="preserve">Regionální </w:t>
      </w:r>
      <w:r w:rsidR="003B74D7"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HDP </w:t>
      </w:r>
      <w:r w:rsidR="00FA3749"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>Moravskoslezského</w:t>
      </w:r>
      <w:r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kraje</w:t>
      </w:r>
      <w:r w:rsidRPr="003B74D7">
        <w:rPr>
          <w:rFonts w:ascii="Arial" w:eastAsia="Times New Roman" w:hAnsi="Arial" w:cs="Arial"/>
          <w:sz w:val="20"/>
          <w:szCs w:val="20"/>
          <w:lang w:eastAsia="cs-CZ"/>
        </w:rPr>
        <w:t xml:space="preserve"> dosáhl v roce 2017 v běžných cenách hodnoty</w:t>
      </w:r>
      <w:r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D8664C"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>474</w:t>
      </w:r>
      <w:r w:rsidR="00105AC6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> 3</w:t>
      </w:r>
      <w:r w:rsidR="00105AC6">
        <w:rPr>
          <w:rFonts w:ascii="Arial" w:eastAsia="Times New Roman" w:hAnsi="Arial" w:cs="Arial"/>
          <w:bCs/>
          <w:sz w:val="20"/>
          <w:szCs w:val="20"/>
          <w:lang w:eastAsia="cs-CZ"/>
        </w:rPr>
        <w:t> mld</w:t>
      </w:r>
      <w:r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>. Kč</w:t>
      </w:r>
      <w:r w:rsidR="003B74D7">
        <w:rPr>
          <w:rFonts w:ascii="Arial" w:eastAsia="Times New Roman" w:hAnsi="Arial" w:cs="Arial"/>
          <w:sz w:val="20"/>
          <w:szCs w:val="20"/>
          <w:lang w:eastAsia="cs-CZ"/>
        </w:rPr>
        <w:t xml:space="preserve"> a </w:t>
      </w:r>
      <w:r w:rsidRPr="003B74D7">
        <w:rPr>
          <w:rFonts w:ascii="Arial" w:eastAsia="Times New Roman" w:hAnsi="Arial" w:cs="Arial"/>
          <w:sz w:val="20"/>
          <w:szCs w:val="20"/>
          <w:lang w:eastAsia="cs-CZ"/>
        </w:rPr>
        <w:t>byl nejvyšší od roku 1995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. Úloha kraje v rámci republiky však postupně klesala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v roce 2017 se na tvorbě HDP ČR kraj podílel </w:t>
      </w:r>
      <w:r w:rsidR="00D8664C" w:rsidRPr="005D5B9C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8664C" w:rsidRPr="005D5B9C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 %, proti </w:t>
      </w:r>
      <w:r w:rsidR="00D8664C" w:rsidRPr="005D5B9C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8664C" w:rsidRPr="005D5B9C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 %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roce 1995. V mezikraj</w:t>
      </w:r>
      <w:r w:rsidR="00D8664C" w:rsidRPr="005D5B9C">
        <w:rPr>
          <w:rFonts w:ascii="Arial" w:eastAsia="Times New Roman" w:hAnsi="Arial" w:cs="Arial"/>
          <w:sz w:val="20"/>
          <w:szCs w:val="20"/>
          <w:lang w:eastAsia="cs-CZ"/>
        </w:rPr>
        <w:t>ském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srovnání je pořadí podílu </w:t>
      </w:r>
      <w:r w:rsidR="00D8664C" w:rsidRPr="005D5B9C">
        <w:rPr>
          <w:rFonts w:ascii="Arial" w:eastAsia="Times New Roman" w:hAnsi="Arial" w:cs="Arial"/>
          <w:sz w:val="20"/>
          <w:szCs w:val="20"/>
          <w:lang w:eastAsia="cs-CZ"/>
        </w:rPr>
        <w:t>Moravskoslezského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kraje </w:t>
      </w:r>
      <w:r w:rsidR="006F7E35" w:rsidRPr="005D5B9C">
        <w:rPr>
          <w:rFonts w:ascii="Arial" w:eastAsia="Times New Roman" w:hAnsi="Arial" w:cs="Arial"/>
          <w:sz w:val="20"/>
          <w:szCs w:val="20"/>
          <w:lang w:eastAsia="cs-CZ"/>
        </w:rPr>
        <w:t>dlouhodobě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8664C" w:rsidRPr="005D5B9C">
        <w:rPr>
          <w:rFonts w:ascii="Arial" w:eastAsia="Times New Roman" w:hAnsi="Arial" w:cs="Arial"/>
          <w:sz w:val="20"/>
          <w:szCs w:val="20"/>
          <w:lang w:eastAsia="cs-CZ"/>
        </w:rPr>
        <w:t>čtvrté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nejvyšší.</w:t>
      </w:r>
    </w:p>
    <w:p w:rsidR="0041429A" w:rsidRPr="005D5B9C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5D7A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HDP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v přepočtu </w:t>
      </w:r>
      <w:r w:rsidRPr="00FC5D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na </w:t>
      </w:r>
      <w:r w:rsidR="009A1A25" w:rsidRPr="00FC5D7A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="009A1A25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FC5D7A">
        <w:rPr>
          <w:rFonts w:ascii="Arial" w:eastAsia="Times New Roman" w:hAnsi="Arial" w:cs="Arial"/>
          <w:bCs/>
          <w:sz w:val="20"/>
          <w:szCs w:val="20"/>
          <w:lang w:eastAsia="cs-CZ"/>
        </w:rPr>
        <w:t>obyvatele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70322" w:rsidRPr="00FC5D7A">
        <w:rPr>
          <w:rFonts w:ascii="Arial" w:eastAsia="Times New Roman" w:hAnsi="Arial" w:cs="Arial"/>
          <w:sz w:val="20"/>
          <w:szCs w:val="20"/>
          <w:lang w:eastAsia="cs-CZ"/>
        </w:rPr>
        <w:t>Moravskoslezského kraje dosáhlo hodnoty 392,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70322" w:rsidRPr="00FC5D7A">
        <w:rPr>
          <w:rFonts w:ascii="Arial" w:eastAsia="Times New Roman" w:hAnsi="Arial" w:cs="Arial"/>
          <w:sz w:val="20"/>
          <w:szCs w:val="20"/>
          <w:lang w:eastAsia="cs-CZ"/>
        </w:rPr>
        <w:t>tis. Kč. M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eziročně rostl </w:t>
      </w:r>
      <w:r w:rsidR="00B70322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tento ukazatel 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téměř ve všech letech s výjimkou </w:t>
      </w:r>
      <w:r w:rsidR="003B74D7" w:rsidRPr="00FC5D7A">
        <w:rPr>
          <w:rFonts w:ascii="Arial" w:eastAsia="Times New Roman" w:hAnsi="Arial" w:cs="Arial"/>
          <w:sz w:val="20"/>
          <w:szCs w:val="20"/>
          <w:lang w:eastAsia="cs-CZ"/>
        </w:rPr>
        <w:t>let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20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09 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>2013. Postavení kraje v mezikraj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>ském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srovnání se od roku 1995, kdy 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>Moravskoslezský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kraj zaujímal 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>čtvrtou nejnižší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příčku, z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>lepšilo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. V posledních 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>třech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letech (201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až 2017) se posunul na </w:t>
      </w:r>
      <w:r w:rsidR="005B79AB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sedmou nejvyšší 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>pozici.</w:t>
      </w:r>
      <w:r w:rsidR="0016747B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70322" w:rsidRPr="00FC5D7A">
        <w:rPr>
          <w:rFonts w:ascii="Arial" w:eastAsia="Times New Roman" w:hAnsi="Arial" w:cs="Arial"/>
          <w:sz w:val="20"/>
          <w:szCs w:val="20"/>
          <w:lang w:eastAsia="cs-CZ"/>
        </w:rPr>
        <w:t>Jak již bylo řečeno,</w:t>
      </w:r>
      <w:r w:rsidR="007F3BF8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70322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vykazuje 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krajské 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HDP na 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obyvatele </w:t>
      </w:r>
      <w:r w:rsidR="007F3BF8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v absolutní hodnotě </w:t>
      </w:r>
      <w:r w:rsidR="00B70322" w:rsidRPr="00FC5D7A">
        <w:rPr>
          <w:rFonts w:ascii="Arial" w:eastAsia="Times New Roman" w:hAnsi="Arial" w:cs="Arial"/>
          <w:sz w:val="20"/>
          <w:szCs w:val="20"/>
          <w:lang w:eastAsia="cs-CZ"/>
        </w:rPr>
        <w:t>převážně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rostoucí trend</w:t>
      </w:r>
      <w:r w:rsidR="007F3BF8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B70322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nicméně 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>tempo jeho růstu je pomalejší než</w:t>
      </w:r>
      <w:r w:rsidR="007F3BF8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republik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>ový průměr.</w:t>
      </w:r>
      <w:r w:rsidR="007F3BF8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>Zatímco v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 roce 1995 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bylo HDP na obyvatele </w:t>
      </w:r>
      <w:r w:rsidR="007F3BF8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proti republikovému průměru 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nižší 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41462" w:rsidRPr="00FC5D7A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541462" w:rsidRPr="00FC5D7A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> %</w:t>
      </w:r>
      <w:r w:rsidR="004D475E" w:rsidRPr="00FC5D7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v roce 2017 se </w:t>
      </w:r>
      <w:r w:rsidR="007F3BF8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již 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>jednalo o </w:t>
      </w:r>
      <w:r w:rsidR="00541462" w:rsidRPr="00FC5D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>7,6 %.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D5B9C" w:rsidRPr="005D5B9C" w:rsidRDefault="005D5B9C" w:rsidP="005D5B9C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D5B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Hrubý domácí produkt v Moravskoslezském kraji</w:t>
      </w:r>
    </w:p>
    <w:p w:rsidR="005D5B9C" w:rsidRPr="005D5B9C" w:rsidRDefault="00035233" w:rsidP="005D5B9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5233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24098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9A" w:rsidRPr="005D5B9C" w:rsidRDefault="0041429A" w:rsidP="005D5B9C">
      <w:pPr>
        <w:keepLines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Výkonnost (produktivita) regionu, počítaná jako </w:t>
      </w:r>
      <w:r w:rsidRPr="003B74D7">
        <w:rPr>
          <w:rFonts w:ascii="Arial" w:eastAsia="Times New Roman" w:hAnsi="Arial" w:cs="Arial"/>
          <w:sz w:val="20"/>
          <w:szCs w:val="20"/>
          <w:lang w:eastAsia="cs-CZ"/>
        </w:rPr>
        <w:t xml:space="preserve">podíl </w:t>
      </w:r>
      <w:r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HDP na </w:t>
      </w:r>
      <w:r w:rsidR="009A1A25"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="009A1A25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3B74D7">
        <w:rPr>
          <w:rFonts w:ascii="Arial" w:eastAsia="Times New Roman" w:hAnsi="Arial" w:cs="Arial"/>
          <w:bCs/>
          <w:sz w:val="20"/>
          <w:szCs w:val="20"/>
          <w:lang w:eastAsia="cs-CZ"/>
        </w:rPr>
        <w:t>zaměstnaného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(podle místa pracoviště vč. </w:t>
      </w:r>
      <w:proofErr w:type="spellStart"/>
      <w:r w:rsidRPr="005D5B9C">
        <w:rPr>
          <w:rFonts w:ascii="Arial" w:eastAsia="Times New Roman" w:hAnsi="Arial" w:cs="Arial"/>
          <w:sz w:val="20"/>
          <w:szCs w:val="20"/>
          <w:lang w:eastAsia="cs-CZ"/>
        </w:rPr>
        <w:t>sebezaměstnaných</w:t>
      </w:r>
      <w:proofErr w:type="spellEnd"/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), </w:t>
      </w:r>
      <w:r w:rsidR="00D62EEC">
        <w:rPr>
          <w:rFonts w:ascii="Arial" w:eastAsia="Times New Roman" w:hAnsi="Arial" w:cs="Arial"/>
          <w:sz w:val="20"/>
          <w:szCs w:val="20"/>
          <w:lang w:eastAsia="cs-CZ"/>
        </w:rPr>
        <w:t xml:space="preserve">činila </w:t>
      </w:r>
      <w:r w:rsidR="00D62EEC" w:rsidRPr="005D5B9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D62EEC">
        <w:rPr>
          <w:rFonts w:ascii="Arial" w:eastAsia="Times New Roman" w:hAnsi="Arial" w:cs="Arial"/>
          <w:sz w:val="20"/>
          <w:szCs w:val="20"/>
          <w:lang w:eastAsia="cs-CZ"/>
        </w:rPr>
        <w:t> roce 2017</w:t>
      </w:r>
      <w:r w:rsidR="00D62EEC"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62EEC">
        <w:rPr>
          <w:rFonts w:ascii="Arial" w:eastAsia="Times New Roman" w:hAnsi="Arial" w:cs="Arial"/>
          <w:sz w:val="20"/>
          <w:szCs w:val="20"/>
          <w:lang w:eastAsia="cs-CZ"/>
        </w:rPr>
        <w:t xml:space="preserve">cca 833 tis. Kč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a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proti </w:t>
      </w:r>
      <w:r w:rsidR="00D62EEC">
        <w:rPr>
          <w:rFonts w:ascii="Arial" w:eastAsia="Times New Roman" w:hAnsi="Arial" w:cs="Arial"/>
          <w:sz w:val="20"/>
          <w:szCs w:val="20"/>
          <w:lang w:eastAsia="cs-CZ"/>
        </w:rPr>
        <w:t xml:space="preserve">předešlému 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roku </w:t>
      </w:r>
      <w:r w:rsidR="00D62EEC">
        <w:rPr>
          <w:rFonts w:ascii="Arial" w:eastAsia="Times New Roman" w:hAnsi="Arial" w:cs="Arial"/>
          <w:sz w:val="20"/>
          <w:szCs w:val="20"/>
          <w:lang w:eastAsia="cs-CZ"/>
        </w:rPr>
        <w:t>se zvýšila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2,</w:t>
      </w:r>
      <w:r w:rsidR="003B3E51" w:rsidRPr="005D5B9C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 %. K meziročnímu poklesu došlo od roku 1995 pouze v</w:t>
      </w:r>
      <w:r w:rsidR="003B3E51" w:rsidRPr="005D5B9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B3E51" w:rsidRPr="005D5B9C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letech (200</w:t>
      </w:r>
      <w:r w:rsidR="003B3E51"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9 </w:t>
      </w:r>
      <w:r w:rsidR="009A1A25" w:rsidRPr="005D5B9C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3B3E51" w:rsidRPr="005D5B9C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), v ostatních letech produktivita meziročně rostla. </w:t>
      </w:r>
      <w:r w:rsidR="00D62EE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 mezikraj</w:t>
      </w:r>
      <w:r w:rsidR="00C07780" w:rsidRPr="005D5B9C">
        <w:rPr>
          <w:rFonts w:ascii="Arial" w:eastAsia="Times New Roman" w:hAnsi="Arial" w:cs="Arial"/>
          <w:sz w:val="20"/>
          <w:szCs w:val="20"/>
          <w:lang w:eastAsia="cs-CZ"/>
        </w:rPr>
        <w:t>ském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srovnání </w:t>
      </w:r>
      <w:r w:rsidR="00D62EEC">
        <w:rPr>
          <w:rFonts w:ascii="Arial" w:eastAsia="Times New Roman" w:hAnsi="Arial" w:cs="Arial"/>
          <w:sz w:val="20"/>
          <w:szCs w:val="20"/>
          <w:lang w:eastAsia="cs-CZ"/>
        </w:rPr>
        <w:t>byla v</w:t>
      </w:r>
      <w:r w:rsidR="00D62EEC"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ýkonnost Moravskoslezského kraje </w:t>
      </w:r>
      <w:r w:rsidR="003F42A7" w:rsidRPr="005D5B9C">
        <w:rPr>
          <w:rFonts w:ascii="Arial" w:eastAsia="Times New Roman" w:hAnsi="Arial" w:cs="Arial"/>
          <w:sz w:val="20"/>
          <w:szCs w:val="20"/>
          <w:lang w:eastAsia="cs-CZ"/>
        </w:rPr>
        <w:t>sedmá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 xml:space="preserve"> nej</w:t>
      </w:r>
      <w:r w:rsidR="003F42A7" w:rsidRPr="005D5B9C">
        <w:rPr>
          <w:rFonts w:ascii="Arial" w:eastAsia="Times New Roman" w:hAnsi="Arial" w:cs="Arial"/>
          <w:sz w:val="20"/>
          <w:szCs w:val="20"/>
          <w:lang w:eastAsia="cs-CZ"/>
        </w:rPr>
        <w:t>vyšší</w:t>
      </w:r>
      <w:r w:rsidRPr="005D5B9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D5B9C" w:rsidRPr="005D5B9C" w:rsidRDefault="005D5B9C" w:rsidP="005D5B9C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D5B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Meziroční růst/pokles HDP ve stálých cenách v České republice </w:t>
      </w:r>
      <w:r w:rsidR="009A1A25" w:rsidRPr="005D5B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5D5B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Moravskoslezském kraji</w:t>
      </w:r>
    </w:p>
    <w:p w:rsidR="005D5B9C" w:rsidRPr="005D5B9C" w:rsidRDefault="00035233" w:rsidP="005D5B9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5233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21050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9A" w:rsidRPr="00205277" w:rsidRDefault="0041429A" w:rsidP="005360AA">
      <w:pPr>
        <w:spacing w:before="36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</w:t>
      </w:r>
      <w:r w:rsidR="005568D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rubá přidaná hodnota</w:t>
      </w:r>
    </w:p>
    <w:p w:rsidR="0071458A" w:rsidRPr="00526F23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Meziroční růst HDP </w:t>
      </w:r>
      <w:r w:rsidR="0046709D" w:rsidRPr="00205277">
        <w:rPr>
          <w:rFonts w:ascii="Arial" w:eastAsia="Times New Roman" w:hAnsi="Arial" w:cs="Arial"/>
          <w:sz w:val="20"/>
          <w:szCs w:val="20"/>
          <w:lang w:eastAsia="cs-CZ"/>
        </w:rPr>
        <w:t>Moravskoslezského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kraje v roce 2017 ovlivnil vývoj </w:t>
      </w:r>
      <w:r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hrubé přidané hodnoty</w:t>
      </w:r>
      <w:r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(HPH) v odvětví průmyslu (index 2017/2016 byl 10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 %), z toho ve zpracovatelském průmyslu došlo </w:t>
      </w:r>
      <w:r w:rsidR="009A1A25" w:rsidRPr="00205277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meziročnímu nárůstu o 1,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 %. Ve v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šech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ostatních odvětví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 xml:space="preserve">HPH proti roku 2016 vzrostla,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výjimkou 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>bylo</w:t>
      </w:r>
      <w:r w:rsidR="00B132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>peněžnictví a 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pojišťovnictví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 xml:space="preserve"> s meziročním poklesem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A25" w:rsidRPr="00205277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poklesu </w:t>
      </w:r>
      <w:r w:rsidR="009A1A25" w:rsidRPr="00205277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B630A" w:rsidRPr="00205277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 %.</w:t>
      </w:r>
      <w:r w:rsidRPr="00224D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1429A" w:rsidRPr="00205277" w:rsidRDefault="009A1A25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sektorové skladbě ekonomiky </w:t>
      </w:r>
      <w:r w:rsidR="0046709D" w:rsidRPr="00205277">
        <w:rPr>
          <w:rFonts w:ascii="Arial" w:eastAsia="Times New Roman" w:hAnsi="Arial" w:cs="Arial"/>
          <w:sz w:val="20"/>
          <w:szCs w:val="20"/>
          <w:lang w:eastAsia="cs-CZ"/>
        </w:rPr>
        <w:t>Moravskoslezského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1429A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kraje </w:t>
      </w:r>
      <w:r w:rsidR="002A1E9C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se</w:t>
      </w:r>
      <w:r w:rsidR="0041429A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1429A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podíl primárního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sektoru (zemědělství, lesnict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 xml:space="preserve">ví </w:t>
      </w:r>
      <w:r>
        <w:rPr>
          <w:rFonts w:ascii="Arial" w:eastAsia="Times New Roman" w:hAnsi="Arial" w:cs="Arial"/>
          <w:sz w:val="20"/>
          <w:szCs w:val="20"/>
          <w:lang w:eastAsia="cs-CZ"/>
        </w:rPr>
        <w:t>a 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>rybářství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) v letech </w:t>
      </w:r>
      <w:r w:rsidR="002A1E9C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2011 </w:t>
      </w:r>
      <w:r w:rsidR="00F62782" w:rsidRPr="00205277">
        <w:rPr>
          <w:rFonts w:ascii="Arial" w:eastAsia="Times New Roman" w:hAnsi="Arial" w:cs="Arial"/>
          <w:sz w:val="20"/>
          <w:szCs w:val="20"/>
          <w:lang w:eastAsia="cs-CZ"/>
        </w:rPr>
        <w:t>až</w:t>
      </w:r>
      <w:r w:rsidR="002A1E9C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2017 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ustálil zhruba na </w:t>
      </w:r>
      <w:r w:rsidR="00D24BD4" w:rsidRPr="00205277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24BD4" w:rsidRPr="00205277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 % až </w:t>
      </w:r>
      <w:r w:rsidR="00D24BD4" w:rsidRPr="00205277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24BD4" w:rsidRPr="00205277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 % HPH kraje. Meziroční pokles primárního sektoru jsme v roce 2017 zaznamenali v pěti krajích</w:t>
      </w:r>
      <w:r w:rsidR="00D24BD4" w:rsidRPr="00205277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2733C" w:rsidRPr="00224DB3" w:rsidRDefault="00B13254" w:rsidP="00D2733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Zastoupení</w:t>
      </w:r>
      <w:r w:rsid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2733C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sekundárního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a </w:t>
      </w:r>
      <w:r w:rsidR="00D2733C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terciárního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 sektoru se </w:t>
      </w:r>
      <w:r w:rsidR="008B5C7E">
        <w:rPr>
          <w:rFonts w:ascii="Arial" w:eastAsia="Times New Roman" w:hAnsi="Arial" w:cs="Arial"/>
          <w:sz w:val="20"/>
          <w:szCs w:val="20"/>
          <w:lang w:eastAsia="cs-CZ"/>
        </w:rPr>
        <w:t>v poslední době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 pohybuje </w:t>
      </w:r>
      <w:r>
        <w:rPr>
          <w:rFonts w:ascii="Arial" w:eastAsia="Times New Roman" w:hAnsi="Arial" w:cs="Arial"/>
          <w:sz w:val="20"/>
          <w:szCs w:val="20"/>
          <w:lang w:eastAsia="cs-CZ"/>
        </w:rPr>
        <w:t>na úrovni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cs-CZ"/>
        </w:rPr>
        <w:t>7 %, resp. 51 %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 hrubé přidané hodnoty </w:t>
      </w:r>
      <w:r w:rsidR="009A1A25" w:rsidRPr="005568D5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v průběhu let se </w:t>
      </w:r>
      <w:r w:rsidR="00D2733C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měnilo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 jen </w:t>
      </w:r>
      <w:r w:rsidR="00D2733C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nepatrně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>. V roce</w:t>
      </w:r>
      <w:r w:rsidR="00D2733C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2017 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>připadalo na </w:t>
      </w:r>
      <w:r w:rsidR="00D2733C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sekundární 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>sektor (průmysl a 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>stavebnictví) 46,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> % HPH kraje, proti celorepublikové úrovni byl podíl o </w:t>
      </w:r>
      <w:r w:rsidR="005568D5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,7 p. b. </w:t>
      </w:r>
      <w:proofErr w:type="gramStart"/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>vyšší</w:t>
      </w:r>
      <w:proofErr w:type="gramEnd"/>
      <w:r w:rsidR="00D2733C" w:rsidRPr="005568D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D2733C" w:rsidRPr="005568D5">
        <w:rPr>
          <w:rFonts w:ascii="Arial" w:eastAsia="Times New Roman" w:hAnsi="Arial" w:cs="Arial"/>
          <w:bCs/>
          <w:sz w:val="20"/>
          <w:szCs w:val="20"/>
          <w:lang w:eastAsia="cs-CZ"/>
        </w:rPr>
        <w:t>Terciární</w:t>
      </w:r>
      <w:r w:rsidR="00D2733C"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2733C" w:rsidRPr="00205277">
        <w:rPr>
          <w:rFonts w:ascii="Arial" w:eastAsia="Times New Roman" w:hAnsi="Arial" w:cs="Arial"/>
          <w:sz w:val="20"/>
          <w:szCs w:val="20"/>
          <w:lang w:eastAsia="cs-CZ"/>
        </w:rPr>
        <w:t>sektor</w:t>
      </w:r>
      <w:r w:rsidR="00D2733C"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8B5C7E">
        <w:rPr>
          <w:rFonts w:ascii="Arial" w:eastAsia="Times New Roman" w:hAnsi="Arial" w:cs="Arial"/>
          <w:sz w:val="20"/>
          <w:szCs w:val="20"/>
          <w:lang w:eastAsia="cs-CZ"/>
        </w:rPr>
        <w:t>(doprava,</w:t>
      </w:r>
      <w:r w:rsidR="00D2733C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služby</w:t>
      </w:r>
      <w:r w:rsidR="008B5C7E">
        <w:rPr>
          <w:rFonts w:ascii="Arial" w:eastAsia="Times New Roman" w:hAnsi="Arial" w:cs="Arial"/>
          <w:sz w:val="20"/>
          <w:szCs w:val="20"/>
          <w:lang w:eastAsia="cs-CZ"/>
        </w:rPr>
        <w:t>, veřejná správa</w:t>
      </w:r>
      <w:r w:rsidR="00D2733C" w:rsidRPr="00205277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2733C"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2733C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se v roce 2017 podílel na HPH kraje 51,6 % </w:t>
      </w:r>
      <w:r w:rsidR="009A1A25" w:rsidRPr="00205277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2733C" w:rsidRPr="00205277">
        <w:rPr>
          <w:rFonts w:ascii="Arial" w:eastAsia="Times New Roman" w:hAnsi="Arial" w:cs="Arial"/>
          <w:sz w:val="20"/>
          <w:szCs w:val="20"/>
          <w:lang w:eastAsia="cs-CZ"/>
        </w:rPr>
        <w:t>za celostátním průměrem zaostával o 9,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1 </w:t>
      </w:r>
      <w:r w:rsidR="00D2733C" w:rsidRPr="00205277">
        <w:rPr>
          <w:rFonts w:ascii="Arial" w:eastAsia="Times New Roman" w:hAnsi="Arial" w:cs="Arial"/>
          <w:sz w:val="20"/>
          <w:szCs w:val="20"/>
          <w:lang w:eastAsia="cs-CZ"/>
        </w:rPr>
        <w:t>p. b.</w:t>
      </w:r>
      <w:r w:rsidR="00D2733C" w:rsidRPr="00224D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2733C" w:rsidRPr="001F6265" w:rsidRDefault="00D2733C" w:rsidP="005D5B9C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Odvětvová struktura hrubé přidané hodnoty </w:t>
      </w:r>
      <w:r w:rsidR="009A1A25"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České republice </w:t>
      </w:r>
      <w:r w:rsidR="009A1A25"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Moravskoslezském kraji</w:t>
      </w:r>
    </w:p>
    <w:p w:rsidR="00D2733C" w:rsidRPr="00224DB3" w:rsidRDefault="007F34AA" w:rsidP="00D2733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34AA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2914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9A" w:rsidRPr="00D914A6" w:rsidRDefault="0041429A" w:rsidP="005360AA">
      <w:pPr>
        <w:spacing w:before="36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14A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Tvorba hr</w:t>
      </w:r>
      <w:r w:rsidR="0028414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ubého fixního kapitálu</w:t>
      </w:r>
    </w:p>
    <w:p w:rsidR="0041429A" w:rsidRPr="008B5C7E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Vývoj investiční aktivity </w:t>
      </w:r>
      <w:r w:rsidR="009A1A25" w:rsidRPr="008B5C7E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regionálním členění (např. nové investice, rekonstrukce, modernizace, nákupy) představuje </w:t>
      </w: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tvorba hrubého fixního kapitálu</w:t>
      </w:r>
      <w:r w:rsidR="0028414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(THFK)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, která dosáhla nejvyšší hodnoty v roce 201</w:t>
      </w:r>
      <w:r w:rsidR="0046709D" w:rsidRPr="008B5C7E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A1A25" w:rsidRPr="008B5C7E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to</w:t>
      </w: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jak absolutně (</w:t>
      </w:r>
      <w:r w:rsidR="0046709D" w:rsidRPr="008B5C7E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46709D" w:rsidRPr="008B5C7E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247C5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3 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A247C5">
        <w:rPr>
          <w:rFonts w:ascii="Arial" w:eastAsia="Times New Roman" w:hAnsi="Arial" w:cs="Arial"/>
          <w:sz w:val="20"/>
          <w:szCs w:val="20"/>
          <w:lang w:eastAsia="cs-CZ"/>
        </w:rPr>
        <w:t>ld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. K</w:t>
      </w:r>
      <w:r w:rsidR="00A247C5">
        <w:rPr>
          <w:rFonts w:ascii="Arial" w:eastAsia="Times New Roman" w:hAnsi="Arial" w:cs="Arial"/>
          <w:sz w:val="20"/>
          <w:szCs w:val="20"/>
          <w:lang w:eastAsia="cs-CZ"/>
        </w:rPr>
        <w:t xml:space="preserve">č), tak na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1 </w:t>
      </w:r>
      <w:r w:rsidR="00A247C5">
        <w:rPr>
          <w:rFonts w:ascii="Arial" w:eastAsia="Times New Roman" w:hAnsi="Arial" w:cs="Arial"/>
          <w:sz w:val="20"/>
          <w:szCs w:val="20"/>
          <w:lang w:eastAsia="cs-CZ"/>
        </w:rPr>
        <w:t>obyvatele kraje (99,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0 </w:t>
      </w:r>
      <w:r w:rsidR="00A247C5">
        <w:rPr>
          <w:rFonts w:ascii="Arial" w:eastAsia="Times New Roman" w:hAnsi="Arial" w:cs="Arial"/>
          <w:sz w:val="20"/>
          <w:szCs w:val="20"/>
          <w:lang w:eastAsia="cs-CZ"/>
        </w:rPr>
        <w:t>tis.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 Kč). </w:t>
      </w:r>
      <w:r w:rsidR="0028414D">
        <w:rPr>
          <w:rFonts w:ascii="Arial" w:eastAsia="Times New Roman" w:hAnsi="Arial" w:cs="Arial"/>
          <w:sz w:val="20"/>
          <w:szCs w:val="20"/>
          <w:lang w:eastAsia="cs-CZ"/>
        </w:rPr>
        <w:t xml:space="preserve">Výší 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8B5C7E">
        <w:rPr>
          <w:rFonts w:ascii="Arial" w:eastAsia="Times New Roman" w:hAnsi="Arial" w:cs="Arial"/>
          <w:sz w:val="20"/>
          <w:szCs w:val="20"/>
          <w:lang w:eastAsia="cs-CZ"/>
        </w:rPr>
        <w:t>THFK</w:t>
      </w:r>
      <w:proofErr w:type="spellEnd"/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na</w:t>
      </w:r>
      <w:r w:rsidR="002841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1 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obyvatele </w:t>
      </w:r>
      <w:r w:rsidR="0028414D">
        <w:rPr>
          <w:rFonts w:ascii="Arial" w:eastAsia="Times New Roman" w:hAnsi="Arial" w:cs="Arial"/>
          <w:sz w:val="20"/>
          <w:szCs w:val="20"/>
          <w:lang w:eastAsia="cs-CZ"/>
        </w:rPr>
        <w:t>se Moravskoslezský kraj řadil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na 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>čtvrtou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nejvyšší příčku mezi kraji, </w:t>
      </w:r>
      <w:r w:rsidR="00FC5D7A">
        <w:rPr>
          <w:rFonts w:ascii="Arial" w:eastAsia="Times New Roman" w:hAnsi="Arial" w:cs="Arial"/>
          <w:sz w:val="20"/>
          <w:szCs w:val="20"/>
          <w:lang w:eastAsia="cs-CZ"/>
        </w:rPr>
        <w:t xml:space="preserve">aby 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v následující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roce </w:t>
      </w:r>
      <w:r w:rsidR="0028414D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="00A247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8414D">
        <w:rPr>
          <w:rFonts w:ascii="Arial" w:eastAsia="Times New Roman" w:hAnsi="Arial" w:cs="Arial"/>
          <w:sz w:val="20"/>
          <w:szCs w:val="20"/>
          <w:lang w:eastAsia="cs-CZ"/>
        </w:rPr>
        <w:t>propadl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>na třetí nejnižší.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Ve všech letech byla hodnota regionálního THFK na obyvatele pod republikovým průměrem</w:t>
      </w:r>
      <w:r w:rsidR="0028414D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 roce 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>představova</w:t>
      </w:r>
      <w:r w:rsidR="0028414D">
        <w:rPr>
          <w:rFonts w:ascii="Arial" w:eastAsia="Times New Roman" w:hAnsi="Arial" w:cs="Arial"/>
          <w:sz w:val="20"/>
          <w:szCs w:val="20"/>
          <w:lang w:eastAsia="cs-CZ"/>
        </w:rPr>
        <w:t>l rozdíl více než 30 tis.</w:t>
      </w:r>
      <w:r w:rsidR="00E86FA0"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Kč na obyvatele. 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1429A" w:rsidRPr="008B5C7E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V roce 2016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dosáhl </w:t>
      </w:r>
      <w:r w:rsidR="00FE55E2">
        <w:rPr>
          <w:rFonts w:ascii="Arial" w:eastAsia="Times New Roman" w:hAnsi="Arial" w:cs="Arial"/>
          <w:sz w:val="20"/>
          <w:szCs w:val="20"/>
          <w:lang w:eastAsia="cs-CZ"/>
        </w:rPr>
        <w:t>krajský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objem THFK v běžných cenách </w:t>
      </w:r>
      <w:r w:rsidR="00BD508E"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99</w:t>
      </w:r>
      <w:r w:rsidR="00FC5D7A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9A1A25">
        <w:rPr>
          <w:rFonts w:ascii="Arial" w:eastAsia="Times New Roman" w:hAnsi="Arial" w:cs="Arial"/>
          <w:bCs/>
          <w:sz w:val="20"/>
          <w:szCs w:val="20"/>
          <w:lang w:eastAsia="cs-CZ"/>
        </w:rPr>
        <w:t>0 </w:t>
      </w:r>
      <w:r w:rsidR="00FC5D7A">
        <w:rPr>
          <w:rFonts w:ascii="Arial" w:eastAsia="Times New Roman" w:hAnsi="Arial" w:cs="Arial"/>
          <w:bCs/>
          <w:sz w:val="20"/>
          <w:szCs w:val="20"/>
          <w:lang w:eastAsia="cs-CZ"/>
        </w:rPr>
        <w:t>mld</w:t>
      </w: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. Kč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A25" w:rsidRPr="008B5C7E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na celkové tvorbě hrubého fixního kapitálu České republiky se podílel </w:t>
      </w:r>
      <w:r w:rsidR="00BD508E" w:rsidRPr="008B5C7E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,3 %. V mezikraj</w:t>
      </w:r>
      <w:r w:rsidR="00BD508E" w:rsidRPr="008B5C7E">
        <w:rPr>
          <w:rFonts w:ascii="Arial" w:eastAsia="Times New Roman" w:hAnsi="Arial" w:cs="Arial"/>
          <w:sz w:val="20"/>
          <w:szCs w:val="20"/>
          <w:lang w:eastAsia="cs-CZ"/>
        </w:rPr>
        <w:t>ském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srovnání je dlouhodobě </w:t>
      </w:r>
      <w:r w:rsidR="00BD508E"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čtvrtý</w:t>
      </w: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nejvyšší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. V přepočtu</w:t>
      </w: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 </w:t>
      </w:r>
      <w:r w:rsidR="009A1A25"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="009A1A25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obyvatele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kraje </w:t>
      </w:r>
      <w:r w:rsidR="00FE55E2">
        <w:rPr>
          <w:rFonts w:ascii="Arial" w:eastAsia="Times New Roman" w:hAnsi="Arial" w:cs="Arial"/>
          <w:sz w:val="20"/>
          <w:szCs w:val="20"/>
          <w:lang w:eastAsia="cs-CZ"/>
        </w:rPr>
        <w:t>činila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FE55E2" w:rsidRPr="008B5C7E">
        <w:rPr>
          <w:rFonts w:ascii="Arial" w:eastAsia="Times New Roman" w:hAnsi="Arial" w:cs="Arial"/>
          <w:sz w:val="20"/>
          <w:szCs w:val="20"/>
          <w:lang w:eastAsia="cs-CZ"/>
        </w:rPr>
        <w:t>THFK</w:t>
      </w:r>
      <w:proofErr w:type="spellEnd"/>
      <w:r w:rsidR="00FE55E2"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801B6E"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>81</w:t>
      </w:r>
      <w:r w:rsidR="00FC5D7A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9A1A25">
        <w:rPr>
          <w:rFonts w:ascii="Arial" w:eastAsia="Times New Roman" w:hAnsi="Arial" w:cs="Arial"/>
          <w:bCs/>
          <w:sz w:val="20"/>
          <w:szCs w:val="20"/>
          <w:lang w:eastAsia="cs-CZ"/>
        </w:rPr>
        <w:t>8 </w:t>
      </w:r>
      <w:r w:rsidR="00FC5D7A">
        <w:rPr>
          <w:rFonts w:ascii="Arial" w:eastAsia="Times New Roman" w:hAnsi="Arial" w:cs="Arial"/>
          <w:bCs/>
          <w:sz w:val="20"/>
          <w:szCs w:val="20"/>
          <w:lang w:eastAsia="cs-CZ"/>
        </w:rPr>
        <w:t>tis.</w:t>
      </w:r>
      <w:r w:rsidRPr="008B5C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Kč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, což </w:t>
      </w:r>
      <w:r w:rsidR="00FE55E2">
        <w:rPr>
          <w:rFonts w:ascii="Arial" w:eastAsia="Times New Roman" w:hAnsi="Arial" w:cs="Arial"/>
          <w:sz w:val="20"/>
          <w:szCs w:val="20"/>
          <w:lang w:eastAsia="cs-CZ"/>
        </w:rPr>
        <w:t>bylo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o </w:t>
      </w:r>
      <w:r w:rsidR="00FE55E2">
        <w:rPr>
          <w:rFonts w:ascii="Arial" w:eastAsia="Times New Roman" w:hAnsi="Arial" w:cs="Arial"/>
          <w:sz w:val="20"/>
          <w:szCs w:val="20"/>
          <w:lang w:eastAsia="cs-CZ"/>
        </w:rPr>
        <w:t xml:space="preserve">více než 17 tis. Kč méně </w:t>
      </w:r>
      <w:r w:rsidR="00910E95" w:rsidRPr="008B5C7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roti rekordní úrovni </w:t>
      </w:r>
      <w:r w:rsidR="009A1A25" w:rsidRPr="008B5C7E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>roku 201</w:t>
      </w:r>
      <w:r w:rsidR="00910E95" w:rsidRPr="008B5C7E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Pr="008B5C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1429A" w:rsidRPr="00205277" w:rsidRDefault="00B80F62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5D7A">
        <w:rPr>
          <w:rFonts w:ascii="Arial" w:eastAsia="Times New Roman" w:hAnsi="Arial" w:cs="Arial"/>
          <w:bCs/>
          <w:sz w:val="20"/>
          <w:szCs w:val="20"/>
          <w:lang w:eastAsia="cs-CZ"/>
        </w:rPr>
        <w:t>M</w:t>
      </w:r>
      <w:r w:rsidR="0041429A" w:rsidRPr="00FC5D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íra investování 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(podíl tvorby hrubého fixního kapitálu na hrubém domácím produktu) v </w:t>
      </w:r>
      <w:r w:rsidR="00975C50" w:rsidRPr="00FC5D7A">
        <w:rPr>
          <w:rFonts w:ascii="Arial" w:eastAsia="Times New Roman" w:hAnsi="Arial" w:cs="Arial"/>
          <w:sz w:val="20"/>
          <w:szCs w:val="20"/>
          <w:lang w:eastAsia="cs-CZ"/>
        </w:rPr>
        <w:t>Moravskoslezském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kraji v roce 200</w:t>
      </w:r>
      <w:r w:rsidR="00CF0F24" w:rsidRPr="00FC5D7A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dosáhla </w:t>
      </w:r>
      <w:r w:rsidR="00CF0F24" w:rsidRPr="00FC5D7A">
        <w:rPr>
          <w:rFonts w:ascii="Arial" w:eastAsia="Times New Roman" w:hAnsi="Arial" w:cs="Arial"/>
          <w:sz w:val="20"/>
          <w:szCs w:val="20"/>
          <w:lang w:eastAsia="cs-CZ"/>
        </w:rPr>
        <w:t>26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CF0F24" w:rsidRPr="00FC5D7A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 %</w:t>
      </w:r>
      <w:r w:rsidR="009E5B7E" w:rsidRPr="00FC5D7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následujících letech se tento podíl postupně snižoval až na 2</w:t>
      </w:r>
      <w:r w:rsidR="00CF0F24" w:rsidRPr="00FC5D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CF0F24" w:rsidRPr="00FC5D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FC5D7A" w:rsidRPr="00FC5D7A">
        <w:rPr>
          <w:rFonts w:ascii="Arial" w:eastAsia="Times New Roman" w:hAnsi="Arial" w:cs="Arial"/>
          <w:sz w:val="20"/>
          <w:szCs w:val="20"/>
          <w:lang w:eastAsia="cs-CZ"/>
        </w:rPr>
        <w:t> % v roce 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CF0F24" w:rsidRPr="00FC5D7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770A94" w:rsidRPr="00FC5D7A">
        <w:rPr>
          <w:rFonts w:ascii="Arial" w:eastAsia="Times New Roman" w:hAnsi="Arial" w:cs="Arial"/>
          <w:sz w:val="20"/>
          <w:szCs w:val="20"/>
          <w:lang w:eastAsia="cs-CZ"/>
        </w:rPr>
        <w:t>Výjimku tvořil pouze rok 2015, kdy míra investic</w:t>
      </w:r>
      <w:r w:rsidR="00470C9E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po dlouholetém poklesu dosáhla 27,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70C9E" w:rsidRPr="00FC5D7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% </w:t>
      </w:r>
      <w:r w:rsidR="009A1A25" w:rsidRPr="00FC5D7A">
        <w:rPr>
          <w:rFonts w:ascii="Arial" w:eastAsia="Times New Roman" w:hAnsi="Arial" w:cs="Arial"/>
          <w:sz w:val="20"/>
          <w:szCs w:val="20"/>
          <w:lang w:val="en-US"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val="en-US" w:eastAsia="cs-CZ"/>
        </w:rPr>
        <w:t> </w:t>
      </w:r>
      <w:r w:rsidR="00470C9E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pouze v tomto roce tak podíl tvorby hrubého fixního kapitálu na hrubém domácím produktu v kraji byl 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470C9E" w:rsidRPr="00FC5D7A">
        <w:rPr>
          <w:rFonts w:ascii="Arial" w:eastAsia="Times New Roman" w:hAnsi="Arial" w:cs="Arial"/>
          <w:sz w:val="20"/>
          <w:szCs w:val="20"/>
          <w:lang w:eastAsia="cs-CZ"/>
        </w:rPr>
        <w:t>ad průměrem České republiky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. Míra investic mezi roky </w:t>
      </w:r>
      <w:r w:rsidR="00FE55E2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2009 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2016 poklesla </w:t>
      </w:r>
      <w:r w:rsidR="00FE55E2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nejen 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v </w:t>
      </w:r>
      <w:r w:rsidR="003A235B" w:rsidRPr="00FC5D7A">
        <w:rPr>
          <w:rFonts w:ascii="Arial" w:eastAsia="Times New Roman" w:hAnsi="Arial" w:cs="Arial"/>
          <w:sz w:val="20"/>
          <w:szCs w:val="20"/>
          <w:lang w:eastAsia="cs-CZ"/>
        </w:rPr>
        <w:t>Moravskoslezském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kraji </w:t>
      </w:r>
      <w:r w:rsidR="00FE55E2" w:rsidRPr="00FC5D7A">
        <w:rPr>
          <w:rFonts w:ascii="Arial" w:eastAsia="Times New Roman" w:hAnsi="Arial" w:cs="Arial"/>
          <w:sz w:val="20"/>
          <w:szCs w:val="20"/>
          <w:lang w:eastAsia="cs-CZ"/>
        </w:rPr>
        <w:t>(–</w:t>
      </w:r>
      <w:r w:rsidR="003A235B" w:rsidRPr="00FC5D7A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2</w:t>
      </w:r>
      <w:proofErr w:type="gramEnd"/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FE55E2" w:rsidRPr="00FC5D7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 b</w:t>
      </w:r>
      <w:r w:rsidR="00FE55E2" w:rsidRPr="00FC5D7A">
        <w:rPr>
          <w:rFonts w:ascii="Arial" w:eastAsia="Times New Roman" w:hAnsi="Arial" w:cs="Arial"/>
          <w:sz w:val="20"/>
          <w:szCs w:val="20"/>
          <w:lang w:eastAsia="cs-CZ"/>
        </w:rPr>
        <w:t>.)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FE55E2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ale 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 xml:space="preserve">celé ČR </w:t>
      </w:r>
      <w:r w:rsidR="00EB5205" w:rsidRPr="00FC5D7A">
        <w:rPr>
          <w:rFonts w:ascii="Arial" w:eastAsia="Times New Roman" w:hAnsi="Arial" w:cs="Arial"/>
          <w:sz w:val="20"/>
          <w:szCs w:val="20"/>
          <w:lang w:eastAsia="cs-CZ"/>
        </w:rPr>
        <w:t>(–</w:t>
      </w:r>
      <w:r w:rsidR="003A235B" w:rsidRPr="00FC5D7A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A1A25" w:rsidRPr="00FC5D7A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p. b</w:t>
      </w:r>
      <w:r w:rsidR="00EB5205" w:rsidRPr="00FC5D7A">
        <w:rPr>
          <w:rFonts w:ascii="Arial" w:eastAsia="Times New Roman" w:hAnsi="Arial" w:cs="Arial"/>
          <w:sz w:val="20"/>
          <w:szCs w:val="20"/>
          <w:lang w:eastAsia="cs-CZ"/>
        </w:rPr>
        <w:t>.)</w:t>
      </w:r>
      <w:r w:rsidR="0041429A" w:rsidRPr="00FC5D7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1429A" w:rsidRPr="00205277" w:rsidRDefault="0041429A" w:rsidP="005360AA">
      <w:pPr>
        <w:spacing w:before="36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Čistý disponibilní důchod </w:t>
      </w:r>
      <w:r w:rsidR="0028414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domácností</w:t>
      </w:r>
    </w:p>
    <w:p w:rsidR="0041429A" w:rsidRPr="00C438B6" w:rsidRDefault="00E55982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Č</w:t>
      </w:r>
      <w:r w:rsidR="0041429A" w:rsidRPr="00C438B6">
        <w:rPr>
          <w:rFonts w:ascii="Arial" w:eastAsia="Times New Roman" w:hAnsi="Arial" w:cs="Arial"/>
          <w:bCs/>
          <w:sz w:val="20"/>
          <w:szCs w:val="20"/>
          <w:lang w:eastAsia="cs-CZ"/>
        </w:rPr>
        <w:t>istý disponibilní důchod domácností</w:t>
      </w:r>
      <w:r w:rsidR="0028414D" w:rsidRPr="00C438B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(ČDDD)</w:t>
      </w:r>
      <w:r w:rsidR="00664DA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ukazatel</w:t>
      </w:r>
      <w:r w:rsidR="00664DA6">
        <w:rPr>
          <w:rFonts w:ascii="Arial" w:eastAsia="Times New Roman" w:hAnsi="Arial" w:cs="Arial"/>
          <w:sz w:val="20"/>
          <w:szCs w:val="20"/>
          <w:lang w:eastAsia="cs-CZ"/>
        </w:rPr>
        <w:t xml:space="preserve"> využívaný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pro hodnocení úrovně materiálního bohatství domácností daného území</w:t>
      </w:r>
      <w:r w:rsidR="00664DA6">
        <w:rPr>
          <w:rFonts w:ascii="Arial" w:eastAsia="Times New Roman" w:hAnsi="Arial" w:cs="Arial"/>
          <w:sz w:val="20"/>
          <w:szCs w:val="20"/>
          <w:lang w:eastAsia="cs-CZ"/>
        </w:rPr>
        <w:t>. V roce 2017 činil celkový objem ČDDD v Moravskoslezském kraji 250</w:t>
      </w:r>
      <w:r>
        <w:rPr>
          <w:rFonts w:ascii="Arial" w:eastAsia="Times New Roman" w:hAnsi="Arial" w:cs="Arial"/>
          <w:sz w:val="20"/>
          <w:szCs w:val="20"/>
          <w:lang w:eastAsia="cs-CZ"/>
        </w:rPr>
        <w:t>,1 </w:t>
      </w:r>
      <w:r w:rsidR="00664DA6">
        <w:rPr>
          <w:rFonts w:ascii="Arial" w:eastAsia="Times New Roman" w:hAnsi="Arial" w:cs="Arial"/>
          <w:sz w:val="20"/>
          <w:szCs w:val="20"/>
          <w:lang w:eastAsia="cs-CZ"/>
        </w:rPr>
        <w:t>mld. Kč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E55982">
        <w:rPr>
          <w:rFonts w:ascii="Arial" w:eastAsia="Times New Roman" w:hAnsi="Arial" w:cs="Arial"/>
          <w:sz w:val="20"/>
          <w:szCs w:val="20"/>
          <w:lang w:eastAsia="cs-CZ"/>
        </w:rPr>
        <w:t xml:space="preserve">na jednoho obyvatele tak připadalo </w:t>
      </w:r>
      <w:r>
        <w:rPr>
          <w:rFonts w:ascii="Arial" w:eastAsia="Times New Roman" w:hAnsi="Arial" w:cs="Arial"/>
          <w:sz w:val="20"/>
          <w:szCs w:val="20"/>
          <w:lang w:eastAsia="cs-CZ"/>
        </w:rPr>
        <w:t>207</w:t>
      </w:r>
      <w:r w:rsidRPr="00E55982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2 </w:t>
      </w:r>
      <w:r w:rsidRPr="00E55982">
        <w:rPr>
          <w:rFonts w:ascii="Arial" w:eastAsia="Times New Roman" w:hAnsi="Arial" w:cs="Arial"/>
          <w:sz w:val="20"/>
          <w:szCs w:val="20"/>
          <w:lang w:eastAsia="cs-CZ"/>
        </w:rPr>
        <w:t>tis. Kč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I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přesto, že se jedná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o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historická maxima, patří 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relativní důchod na </w:t>
      </w:r>
      <w:r w:rsidR="009A1A25" w:rsidRPr="00C438B6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obyvatele </w:t>
      </w:r>
      <w:r w:rsidR="00975C50" w:rsidRPr="00C438B6">
        <w:rPr>
          <w:rFonts w:ascii="Arial" w:eastAsia="Times New Roman" w:hAnsi="Arial" w:cs="Arial"/>
          <w:sz w:val="20"/>
          <w:szCs w:val="20"/>
          <w:lang w:eastAsia="cs-CZ"/>
        </w:rPr>
        <w:t>Moravskoslezského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kraje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 těm nižším – </w:t>
      </w:r>
      <w:r w:rsidR="00DF6C62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střídavě </w:t>
      </w:r>
      <w:r w:rsidR="00C438B6">
        <w:rPr>
          <w:rFonts w:ascii="Arial" w:eastAsia="Times New Roman" w:hAnsi="Arial" w:cs="Arial"/>
          <w:sz w:val="20"/>
          <w:szCs w:val="20"/>
          <w:lang w:eastAsia="cs-CZ"/>
        </w:rPr>
        <w:t>dosahuje</w:t>
      </w:r>
      <w:r w:rsidR="00DF6C62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druh</w:t>
      </w:r>
      <w:r w:rsidR="00C438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DF6C62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až čtvrt</w:t>
      </w:r>
      <w:r w:rsidR="00C438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DF6C62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nejnižší hodnot</w:t>
      </w:r>
      <w:r w:rsidR="00C438B6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mezi kraji</w:t>
      </w:r>
      <w:r w:rsidR="00DF6C62" w:rsidRPr="00C438B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664DA6">
        <w:rPr>
          <w:rFonts w:ascii="Arial" w:eastAsia="Times New Roman" w:hAnsi="Arial" w:cs="Arial"/>
          <w:sz w:val="20"/>
          <w:szCs w:val="20"/>
          <w:lang w:eastAsia="cs-CZ"/>
        </w:rPr>
        <w:t xml:space="preserve"> roce 2017 byl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v 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porovnání s republikovým průměrem 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o </w:t>
      </w:r>
      <w:r w:rsidR="00664DA6">
        <w:rPr>
          <w:rFonts w:ascii="Arial" w:eastAsia="Times New Roman" w:hAnsi="Arial" w:cs="Arial"/>
          <w:sz w:val="20"/>
          <w:szCs w:val="20"/>
          <w:lang w:eastAsia="cs-CZ"/>
        </w:rPr>
        <w:t>23</w:t>
      </w:r>
      <w:r w:rsidR="0041429A" w:rsidRPr="00C438B6">
        <w:rPr>
          <w:rFonts w:ascii="Arial" w:eastAsia="Times New Roman" w:hAnsi="Arial" w:cs="Arial"/>
          <w:sz w:val="20"/>
          <w:szCs w:val="20"/>
          <w:lang w:eastAsia="cs-CZ"/>
        </w:rPr>
        <w:t xml:space="preserve"> tis. Kč nižší. </w:t>
      </w:r>
    </w:p>
    <w:p w:rsidR="00DB2B99" w:rsidRDefault="00727A99" w:rsidP="005360AA">
      <w:pPr>
        <w:spacing w:before="360" w:after="20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27A99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6120130" cy="68435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9A" w:rsidRPr="00205277" w:rsidRDefault="0041429A" w:rsidP="005360AA">
      <w:pPr>
        <w:spacing w:before="36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Porovnání vývoje HDP </w:t>
      </w:r>
      <w:r w:rsidR="009A1A25"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proofErr w:type="spellStart"/>
      <w:r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ČDDD</w:t>
      </w:r>
      <w:proofErr w:type="spellEnd"/>
      <w:r w:rsidRPr="0020527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 obyvatele</w:t>
      </w:r>
    </w:p>
    <w:p w:rsidR="0041429A" w:rsidRPr="00205277" w:rsidRDefault="0041429A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Regionální HDP lze posuzovat jak </w:t>
      </w:r>
      <w:r w:rsidR="009A1A25" w:rsidRPr="00205277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pohledu jeho tvorby, kdy hlavní složkou je hrubá přidaná hodnota jednotlivých odvětví, tak </w:t>
      </w:r>
      <w:r w:rsidR="009A1A25" w:rsidRPr="00205277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1A2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hlediska rozdělení (přerozdělení) HDP, kde podstatnou část tvoří příjmy domácností. </w:t>
      </w:r>
    </w:p>
    <w:p w:rsidR="0041429A" w:rsidRDefault="009A1A25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</w:t>
      </w:r>
      <w:r w:rsidR="00440868">
        <w:rPr>
          <w:rFonts w:ascii="Arial" w:eastAsia="Times New Roman" w:hAnsi="Arial" w:cs="Arial"/>
          <w:sz w:val="20"/>
          <w:szCs w:val="20"/>
          <w:lang w:eastAsia="cs-CZ"/>
        </w:rPr>
        <w:t xml:space="preserve">zájmu srovnatelnosti vývoje 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ČR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75C50" w:rsidRPr="00205277">
        <w:rPr>
          <w:rFonts w:ascii="Arial" w:eastAsia="Times New Roman" w:hAnsi="Arial" w:cs="Arial"/>
          <w:sz w:val="20"/>
          <w:szCs w:val="20"/>
          <w:lang w:eastAsia="cs-CZ"/>
        </w:rPr>
        <w:t>Moravskoslezského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kraje jsou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následujícím grafu zobrazeny přepočtené údaje na 1 obyvatele (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vědomím toho, že se na tvorbě HDP podílejí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cizinci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není zohledněna mezikrajská dojížďka za prací). Graf zahrnuje též vývoj tvorby hrubého fixního kapitálu, přestože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rozdělením HDP souvisí pouze zprostředkovaně.</w:t>
      </w:r>
    </w:p>
    <w:p w:rsidR="001F6265" w:rsidRPr="00526F23" w:rsidRDefault="001F6265" w:rsidP="00DB2B99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 xml:space="preserve">Vývoj HDP, </w:t>
      </w:r>
      <w:proofErr w:type="spellStart"/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THFK</w:t>
      </w:r>
      <w:proofErr w:type="spellEnd"/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A1A25"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proofErr w:type="spellStart"/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ČDDD</w:t>
      </w:r>
      <w:proofErr w:type="spellEnd"/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 obyvatele </w:t>
      </w:r>
      <w:r w:rsidR="009A1A25"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České republice </w:t>
      </w:r>
      <w:r w:rsidR="009A1A25"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9A1A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1F626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Moravskoslezském kraji</w:t>
      </w:r>
    </w:p>
    <w:p w:rsidR="0041429A" w:rsidRDefault="00035233" w:rsidP="00035233">
      <w:pPr>
        <w:spacing w:after="20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35233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6115050" cy="25336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5"/>
                    <a:stretch/>
                  </pic:blipFill>
                  <pic:spPr bwMode="auto">
                    <a:xfrm>
                      <a:off x="0" y="0"/>
                      <a:ext cx="6115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6265" w:rsidRPr="001F6265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</w:p>
    <w:p w:rsidR="00D47799" w:rsidRDefault="009A1A25" w:rsidP="00526F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277">
        <w:rPr>
          <w:rFonts w:ascii="Arial" w:eastAsia="Times New Roman" w:hAnsi="Arial" w:cs="Arial"/>
          <w:sz w:val="20"/>
          <w:szCs w:val="20"/>
          <w:lang w:eastAsia="cs-CZ"/>
        </w:rPr>
        <w:t>Z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grafu je patrné, že vývoj všech tří ukazatelů je jak v ČR, tak v </w:t>
      </w:r>
      <w:r w:rsidR="005B7C9C" w:rsidRPr="00205277">
        <w:rPr>
          <w:rFonts w:ascii="Arial" w:eastAsia="Times New Roman" w:hAnsi="Arial" w:cs="Arial"/>
          <w:sz w:val="20"/>
          <w:szCs w:val="20"/>
          <w:lang w:eastAsia="cs-CZ"/>
        </w:rPr>
        <w:t>Moravskoslezském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 xml:space="preserve"> kraji, obdobný, ale dosahované republikové hodnoty jsou vyšší. Zaostávání kraje za republikovým průměrem je nižší </w:t>
      </w:r>
      <w:r w:rsidRPr="00205277">
        <w:rPr>
          <w:rFonts w:ascii="Arial" w:eastAsia="Times New Roman" w:hAnsi="Arial" w:cs="Arial"/>
          <w:sz w:val="20"/>
          <w:szCs w:val="20"/>
          <w:lang w:eastAsia="cs-CZ"/>
        </w:rPr>
        <w:t>u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1429A" w:rsidRPr="00205277">
        <w:rPr>
          <w:rFonts w:ascii="Arial" w:eastAsia="Times New Roman" w:hAnsi="Arial" w:cs="Arial"/>
          <w:sz w:val="20"/>
          <w:szCs w:val="20"/>
          <w:lang w:eastAsia="cs-CZ"/>
        </w:rPr>
        <w:t>důchodů domácností než u HDP.</w:t>
      </w:r>
    </w:p>
    <w:p w:rsidR="00D47799" w:rsidRPr="00A600C3" w:rsidRDefault="00D47799" w:rsidP="00D47799">
      <w:pPr>
        <w:spacing w:before="120" w:after="200" w:line="276" w:lineRule="auto"/>
        <w:rPr>
          <w:rStyle w:val="odkaz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18"/>
        </w:rPr>
        <w:t>Zdroj dat:</w:t>
      </w:r>
      <w:r>
        <w:rPr>
          <w:rStyle w:val="Siln"/>
          <w:rFonts w:ascii="Arial" w:hAnsi="Arial" w:cs="Arial"/>
          <w:sz w:val="20"/>
          <w:szCs w:val="18"/>
        </w:rPr>
        <w:br/>
      </w:r>
      <w:hyperlink r:id="rId11" w:tgtFrame="_blank" w:tooltip="Odkaz [nové okno]" w:history="1">
        <w:r w:rsidRPr="00D47799">
          <w:rPr>
            <w:rStyle w:val="Hypertextovodkaz"/>
            <w:rFonts w:ascii="Arial" w:hAnsi="Arial" w:cs="Arial"/>
            <w:sz w:val="20"/>
            <w:szCs w:val="20"/>
          </w:rPr>
          <w:t>Databáze regionálních účtů</w:t>
        </w:r>
      </w:hyperlink>
    </w:p>
    <w:p w:rsidR="00D47799" w:rsidRPr="00D47799" w:rsidRDefault="00D47799" w:rsidP="00D47799">
      <w:pPr>
        <w:spacing w:before="120" w:after="200" w:line="276" w:lineRule="auto"/>
        <w:rPr>
          <w:rStyle w:val="Siln"/>
          <w:rFonts w:ascii="Arial" w:hAnsi="Arial" w:cs="Arial"/>
          <w:sz w:val="20"/>
          <w:szCs w:val="18"/>
        </w:rPr>
      </w:pPr>
      <w:r w:rsidRPr="00D2626E">
        <w:rPr>
          <w:rStyle w:val="Siln"/>
          <w:rFonts w:ascii="Arial" w:hAnsi="Arial" w:cs="Arial"/>
          <w:sz w:val="20"/>
          <w:szCs w:val="18"/>
        </w:rPr>
        <w:t>Kontakt:</w:t>
      </w:r>
      <w:r w:rsidRPr="00D2626E">
        <w:rPr>
          <w:rStyle w:val="Siln"/>
          <w:rFonts w:ascii="Arial" w:hAnsi="Arial" w:cs="Arial"/>
          <w:sz w:val="20"/>
          <w:szCs w:val="18"/>
        </w:rPr>
        <w:br/>
      </w:r>
      <w:r w:rsidRPr="00D47799">
        <w:rPr>
          <w:rStyle w:val="Siln"/>
          <w:rFonts w:ascii="Arial" w:hAnsi="Arial" w:cs="Arial"/>
          <w:b w:val="0"/>
          <w:sz w:val="20"/>
          <w:szCs w:val="18"/>
        </w:rPr>
        <w:t>Ing. Patrik Szabo</w:t>
      </w:r>
      <w:r w:rsidRPr="00D47799">
        <w:rPr>
          <w:rStyle w:val="Siln"/>
          <w:rFonts w:ascii="Arial" w:hAnsi="Arial" w:cs="Arial"/>
          <w:b w:val="0"/>
          <w:sz w:val="20"/>
          <w:szCs w:val="18"/>
        </w:rPr>
        <w:br/>
        <w:t>Krajská správa ČSÚ v Ostravě</w:t>
      </w:r>
      <w:r w:rsidRPr="00D47799">
        <w:rPr>
          <w:rStyle w:val="Siln"/>
          <w:rFonts w:ascii="Arial" w:hAnsi="Arial" w:cs="Arial"/>
          <w:b w:val="0"/>
          <w:sz w:val="20"/>
          <w:szCs w:val="18"/>
        </w:rPr>
        <w:br/>
        <w:t>tel.: 595 131 220</w:t>
      </w:r>
      <w:r w:rsidRPr="00D47799">
        <w:rPr>
          <w:rStyle w:val="Siln"/>
          <w:rFonts w:ascii="Arial" w:hAnsi="Arial" w:cs="Arial"/>
          <w:b w:val="0"/>
          <w:sz w:val="20"/>
          <w:szCs w:val="18"/>
        </w:rPr>
        <w:br/>
        <w:t xml:space="preserve">e-mail: </w:t>
      </w:r>
      <w:hyperlink r:id="rId12" w:history="1">
        <w:r w:rsidRPr="00D47799">
          <w:rPr>
            <w:rStyle w:val="Hypertextovodkaz"/>
            <w:rFonts w:ascii="Arial" w:hAnsi="Arial" w:cs="Arial"/>
            <w:sz w:val="20"/>
            <w:szCs w:val="18"/>
          </w:rPr>
          <w:t>patrik.szabo@czso.cz</w:t>
        </w:r>
      </w:hyperlink>
    </w:p>
    <w:sectPr w:rsidR="00D47799" w:rsidRPr="00D47799" w:rsidSect="00FE55E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42"/>
    <w:rsid w:val="00035233"/>
    <w:rsid w:val="000E0D14"/>
    <w:rsid w:val="00105AC6"/>
    <w:rsid w:val="0016747B"/>
    <w:rsid w:val="00193C85"/>
    <w:rsid w:val="001F004A"/>
    <w:rsid w:val="001F6265"/>
    <w:rsid w:val="00200396"/>
    <w:rsid w:val="00205277"/>
    <w:rsid w:val="00224DB3"/>
    <w:rsid w:val="0028414D"/>
    <w:rsid w:val="002A1C6E"/>
    <w:rsid w:val="002A1E9C"/>
    <w:rsid w:val="00331EA9"/>
    <w:rsid w:val="003A1038"/>
    <w:rsid w:val="003A235B"/>
    <w:rsid w:val="003B3E51"/>
    <w:rsid w:val="003B74D7"/>
    <w:rsid w:val="003F0A94"/>
    <w:rsid w:val="003F42A7"/>
    <w:rsid w:val="0041429A"/>
    <w:rsid w:val="00440868"/>
    <w:rsid w:val="00443CDB"/>
    <w:rsid w:val="0046709D"/>
    <w:rsid w:val="00470C9E"/>
    <w:rsid w:val="004A33FB"/>
    <w:rsid w:val="004C62B0"/>
    <w:rsid w:val="004D475E"/>
    <w:rsid w:val="00524ABD"/>
    <w:rsid w:val="00526F23"/>
    <w:rsid w:val="005360AA"/>
    <w:rsid w:val="00541462"/>
    <w:rsid w:val="005568D5"/>
    <w:rsid w:val="005A1611"/>
    <w:rsid w:val="005B4410"/>
    <w:rsid w:val="005B79AB"/>
    <w:rsid w:val="005B7C9C"/>
    <w:rsid w:val="005D5B9C"/>
    <w:rsid w:val="005E5942"/>
    <w:rsid w:val="005F08ED"/>
    <w:rsid w:val="00602B46"/>
    <w:rsid w:val="006431F1"/>
    <w:rsid w:val="00664DA6"/>
    <w:rsid w:val="00671510"/>
    <w:rsid w:val="00673468"/>
    <w:rsid w:val="006F7E35"/>
    <w:rsid w:val="0071458A"/>
    <w:rsid w:val="0071487B"/>
    <w:rsid w:val="00727A99"/>
    <w:rsid w:val="00770A94"/>
    <w:rsid w:val="007F34AA"/>
    <w:rsid w:val="007F3BF8"/>
    <w:rsid w:val="00801B6E"/>
    <w:rsid w:val="00805212"/>
    <w:rsid w:val="00857C3A"/>
    <w:rsid w:val="008B5C7E"/>
    <w:rsid w:val="008E200C"/>
    <w:rsid w:val="00910E95"/>
    <w:rsid w:val="009168BC"/>
    <w:rsid w:val="00935B9A"/>
    <w:rsid w:val="00975C50"/>
    <w:rsid w:val="00982BBD"/>
    <w:rsid w:val="009A1A25"/>
    <w:rsid w:val="009B630A"/>
    <w:rsid w:val="009E5B7E"/>
    <w:rsid w:val="00A247C5"/>
    <w:rsid w:val="00A40728"/>
    <w:rsid w:val="00AE0018"/>
    <w:rsid w:val="00B13254"/>
    <w:rsid w:val="00B70322"/>
    <w:rsid w:val="00B80F62"/>
    <w:rsid w:val="00B87C60"/>
    <w:rsid w:val="00BD508E"/>
    <w:rsid w:val="00C07780"/>
    <w:rsid w:val="00C17445"/>
    <w:rsid w:val="00C438B6"/>
    <w:rsid w:val="00CF0F24"/>
    <w:rsid w:val="00D24BD4"/>
    <w:rsid w:val="00D2733C"/>
    <w:rsid w:val="00D47799"/>
    <w:rsid w:val="00D62EEC"/>
    <w:rsid w:val="00D8664C"/>
    <w:rsid w:val="00D914A6"/>
    <w:rsid w:val="00DB2B99"/>
    <w:rsid w:val="00DF6C62"/>
    <w:rsid w:val="00E20F9E"/>
    <w:rsid w:val="00E55982"/>
    <w:rsid w:val="00E66476"/>
    <w:rsid w:val="00E86FA0"/>
    <w:rsid w:val="00E94024"/>
    <w:rsid w:val="00EB5205"/>
    <w:rsid w:val="00ED2E90"/>
    <w:rsid w:val="00F62782"/>
    <w:rsid w:val="00FA3749"/>
    <w:rsid w:val="00FC5D7A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FFEB-AD91-48FC-B04D-44B2F9B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42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42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4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41429A"/>
  </w:style>
  <w:style w:type="character" w:styleId="Znakapoznpodarou">
    <w:name w:val="footnote reference"/>
    <w:basedOn w:val="Standardnpsmoodstavce"/>
    <w:uiPriority w:val="99"/>
    <w:semiHidden/>
    <w:unhideWhenUsed/>
    <w:rsid w:val="0041429A"/>
  </w:style>
  <w:style w:type="character" w:customStyle="1" w:styleId="grame">
    <w:name w:val="grame"/>
    <w:basedOn w:val="Standardnpsmoodstavce"/>
    <w:rsid w:val="0041429A"/>
  </w:style>
  <w:style w:type="character" w:styleId="Siln">
    <w:name w:val="Strong"/>
    <w:basedOn w:val="Standardnpsmoodstavce"/>
    <w:uiPriority w:val="22"/>
    <w:qFormat/>
    <w:rsid w:val="00D47799"/>
    <w:rPr>
      <w:b/>
      <w:bCs/>
    </w:rPr>
  </w:style>
  <w:style w:type="character" w:customStyle="1" w:styleId="odkaz">
    <w:name w:val="odkaz"/>
    <w:basedOn w:val="Standardnpsmoodstavce"/>
    <w:rsid w:val="00D4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patrik.szabo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apl.czso.cz/pll/rocenka/rocenka.indexnu_re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BEEC-B905-4675-9102-35F0559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Patrik Szabo</dc:creator>
  <cp:keywords/>
  <dc:description/>
  <cp:lastModifiedBy>JD</cp:lastModifiedBy>
  <cp:revision>67</cp:revision>
  <dcterms:created xsi:type="dcterms:W3CDTF">2019-01-25T07:25:00Z</dcterms:created>
  <dcterms:modified xsi:type="dcterms:W3CDTF">2019-01-31T13:21:00Z</dcterms:modified>
</cp:coreProperties>
</file>