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4C3D" w14:textId="48FC550F" w:rsidR="001B5FFB" w:rsidRDefault="001B5FFB" w:rsidP="001B5FFB">
      <w:pPr>
        <w:pStyle w:val="Rnadpis"/>
      </w:pPr>
      <w:bookmarkStart w:id="0" w:name="_GoBack"/>
      <w:bookmarkEnd w:id="0"/>
      <w:r>
        <w:t xml:space="preserve">METODICKÉ </w:t>
      </w:r>
      <w:r w:rsidR="00224462">
        <w:t xml:space="preserve">VYSVĚTLIVKY </w:t>
      </w:r>
      <w:r w:rsidR="005B2AA3" w:rsidRPr="005B2AA3">
        <w:t>–</w:t>
      </w:r>
      <w:r w:rsidR="00224462">
        <w:t xml:space="preserve"> PRVNÍ</w:t>
      </w:r>
      <w:r w:rsidR="00515497">
        <w:t xml:space="preserve"> VÝSLEDKY SČÍTÁNÍ 2021</w:t>
      </w:r>
    </w:p>
    <w:p w14:paraId="5518A3E4" w14:textId="77777777" w:rsidR="001B5FFB" w:rsidRDefault="001B5FFB" w:rsidP="001B5FFB">
      <w:pPr>
        <w:pStyle w:val="Rbntext"/>
        <w:spacing w:before="240"/>
        <w:rPr>
          <w:b/>
          <w:bCs/>
        </w:rPr>
      </w:pPr>
      <w:r>
        <w:rPr>
          <w:b/>
          <w:bCs/>
        </w:rPr>
        <w:t>Obyvatelstvo</w:t>
      </w:r>
    </w:p>
    <w:p w14:paraId="2D54329A" w14:textId="0AA6248E" w:rsidR="00A21708" w:rsidRDefault="001B5FFB" w:rsidP="001B5FFB">
      <w:pPr>
        <w:pStyle w:val="Rbntext"/>
      </w:pPr>
      <w:r>
        <w:t xml:space="preserve">Údaj o </w:t>
      </w:r>
      <w:r>
        <w:rPr>
          <w:b/>
          <w:bCs/>
        </w:rPr>
        <w:t>počtu obyvatel</w:t>
      </w:r>
      <w:r>
        <w:t xml:space="preserve"> v</w:t>
      </w:r>
      <w:r w:rsidR="00885DC2">
        <w:t>e</w:t>
      </w:r>
      <w:r>
        <w:t xml:space="preserve"> výsledcích SLDB 20</w:t>
      </w:r>
      <w:r w:rsidR="00885DC2">
        <w:t>2</w:t>
      </w:r>
      <w:r>
        <w:t>1 zahrnuje všechny osoby, které měly v rozhodný okamžik sčítání místo obvyklého pobytu na území České republiky</w:t>
      </w:r>
      <w:r w:rsidR="00E0061F">
        <w:t>.</w:t>
      </w:r>
    </w:p>
    <w:p w14:paraId="12261072" w14:textId="77777777" w:rsidR="001B5FFB" w:rsidRDefault="001B5FFB" w:rsidP="001B5FFB">
      <w:pPr>
        <w:pStyle w:val="Rbntext"/>
      </w:pPr>
      <w:r>
        <w:rPr>
          <w:b/>
          <w:bCs/>
        </w:rPr>
        <w:t>Místo obvyklého pobytu</w:t>
      </w:r>
      <w:r>
        <w:t xml:space="preserve"> je definováno jako místo, kde osoba </w:t>
      </w:r>
      <w:r w:rsidR="00E0061F">
        <w:t xml:space="preserve">převážně pobývá, </w:t>
      </w:r>
      <w:r>
        <w:t xml:space="preserve">tráví </w:t>
      </w:r>
      <w:r w:rsidR="00E0061F">
        <w:t xml:space="preserve">dobu </w:t>
      </w:r>
      <w:r>
        <w:t>svého každodenního odpočinku bez ohledu na dočasnou nepřítomnost z důvodu rekreace, návštěv, pracovních cest, pobytu ve zdravotnickém zařízení apod.</w:t>
      </w:r>
      <w:r w:rsidR="00E0061F">
        <w:t>,</w:t>
      </w:r>
      <w:r>
        <w:t xml:space="preserve"> a kde je členem konkrétní domácnosti. </w:t>
      </w:r>
    </w:p>
    <w:p w14:paraId="5951985D" w14:textId="22D50613" w:rsidR="001B5FFB" w:rsidRDefault="001B5FFB" w:rsidP="001B5FFB">
      <w:pPr>
        <w:pStyle w:val="Rbntext"/>
      </w:pPr>
      <w:r>
        <w:t xml:space="preserve">Pro zahrnutí osoby do obvykle bydlícího obyvatelstva České republiky je rozhodující kritérium </w:t>
      </w:r>
      <w:r w:rsidR="002C196C">
        <w:t xml:space="preserve">délky pobytu </w:t>
      </w:r>
      <w:r w:rsidR="00ED4AFA">
        <w:t xml:space="preserve">nejméně </w:t>
      </w:r>
      <w:r w:rsidR="00C93460">
        <w:t>12</w:t>
      </w:r>
      <w:r w:rsidR="002C196C">
        <w:t xml:space="preserve"> </w:t>
      </w:r>
      <w:r w:rsidR="00C93460">
        <w:t>měsíců</w:t>
      </w:r>
      <w:r w:rsidR="00ED4AFA">
        <w:t>, příp. úmysl dlouhodobého pobytu</w:t>
      </w:r>
      <w:r>
        <w:t xml:space="preserve">. </w:t>
      </w:r>
    </w:p>
    <w:p w14:paraId="2A4F1568" w14:textId="5D6B0B5B" w:rsidR="00811267" w:rsidRDefault="00811267" w:rsidP="001B5FFB">
      <w:pPr>
        <w:pStyle w:val="Rbntext"/>
      </w:pPr>
      <w:r>
        <w:t xml:space="preserve">Pro odvození místa obvyklého pobytu osoby byla určující deklarace na sčítacím formuláři týkající se faktického bydliště osoby (bez ohledu na místo trvalého pobytu, resp. povoleného přechodného pobytu); vyhodnocovány byly i další informace o faktickém bydlišti před rokem, údaje o místě trvalého pobytu, resp. povoleného přechodného pobytu, a místě sečtení. </w:t>
      </w:r>
    </w:p>
    <w:p w14:paraId="36F506A8" w14:textId="0EE4B7DD" w:rsidR="001B5FFB" w:rsidRPr="009C0B4E" w:rsidRDefault="00461B5C" w:rsidP="001B5FFB">
      <w:pPr>
        <w:autoSpaceDE w:val="0"/>
        <w:autoSpaceDN w:val="0"/>
        <w:adjustRightInd w:val="0"/>
        <w:rPr>
          <w:rFonts w:cs="Arial"/>
          <w:szCs w:val="20"/>
        </w:rPr>
      </w:pPr>
      <w:r w:rsidRPr="00461B5C">
        <w:rPr>
          <w:rFonts w:cs="Arial"/>
          <w:bCs/>
          <w:szCs w:val="20"/>
        </w:rPr>
        <w:t>Údaje o</w:t>
      </w:r>
      <w:r>
        <w:rPr>
          <w:rFonts w:cs="Arial"/>
          <w:b/>
          <w:bCs/>
          <w:szCs w:val="20"/>
        </w:rPr>
        <w:t xml:space="preserve"> s</w:t>
      </w:r>
      <w:r w:rsidR="001B5FFB" w:rsidRPr="00EB11F5">
        <w:rPr>
          <w:rFonts w:cs="Arial"/>
          <w:b/>
          <w:bCs/>
          <w:szCs w:val="20"/>
        </w:rPr>
        <w:t>tátní</w:t>
      </w:r>
      <w:r>
        <w:rPr>
          <w:rFonts w:cs="Arial"/>
          <w:b/>
          <w:bCs/>
          <w:szCs w:val="20"/>
        </w:rPr>
        <w:t>m</w:t>
      </w:r>
      <w:r w:rsidR="001B5FFB" w:rsidRPr="00EB11F5">
        <w:rPr>
          <w:rFonts w:cs="Arial"/>
          <w:b/>
          <w:bCs/>
          <w:szCs w:val="20"/>
        </w:rPr>
        <w:t xml:space="preserve"> občanství</w:t>
      </w:r>
      <w:r w:rsidR="001B5FFB" w:rsidRPr="00EB11F5">
        <w:rPr>
          <w:rFonts w:cs="Arial"/>
          <w:szCs w:val="20"/>
        </w:rPr>
        <w:t xml:space="preserve"> </w:t>
      </w:r>
      <w:r w:rsidR="009C0B4E">
        <w:rPr>
          <w:rFonts w:cs="Arial"/>
          <w:szCs w:val="20"/>
        </w:rPr>
        <w:t xml:space="preserve">dle </w:t>
      </w:r>
      <w:r w:rsidR="001B5FFB" w:rsidRPr="00EB11F5">
        <w:rPr>
          <w:rFonts w:cs="Arial"/>
          <w:szCs w:val="20"/>
        </w:rPr>
        <w:t xml:space="preserve">jednotlivých států jsou </w:t>
      </w:r>
      <w:r w:rsidR="009C0B4E">
        <w:rPr>
          <w:rFonts w:cs="Arial"/>
          <w:szCs w:val="20"/>
        </w:rPr>
        <w:t>přebírané z</w:t>
      </w:r>
      <w:r w:rsidR="00EF709A">
        <w:rPr>
          <w:rFonts w:cs="Arial"/>
          <w:szCs w:val="20"/>
        </w:rPr>
        <w:t> registru obyvatel</w:t>
      </w:r>
      <w:r w:rsidR="009C0B4E">
        <w:rPr>
          <w:rFonts w:cs="Arial"/>
          <w:szCs w:val="20"/>
        </w:rPr>
        <w:t xml:space="preserve"> </w:t>
      </w:r>
      <w:r w:rsidR="001B5FFB" w:rsidRPr="00EB11F5">
        <w:rPr>
          <w:rFonts w:cs="Arial"/>
          <w:szCs w:val="20"/>
        </w:rPr>
        <w:t>a</w:t>
      </w:r>
      <w:r w:rsidR="001378DC">
        <w:rPr>
          <w:rFonts w:cs="Arial"/>
          <w:szCs w:val="20"/>
        </w:rPr>
        <w:t xml:space="preserve"> </w:t>
      </w:r>
      <w:r w:rsidR="00515497">
        <w:rPr>
          <w:rFonts w:cs="Arial"/>
          <w:szCs w:val="20"/>
        </w:rPr>
        <w:t xml:space="preserve">v prvních výsledcích </w:t>
      </w:r>
      <w:r w:rsidR="001378DC">
        <w:rPr>
          <w:rFonts w:cs="Arial"/>
          <w:szCs w:val="20"/>
        </w:rPr>
        <w:t xml:space="preserve">jsou </w:t>
      </w:r>
      <w:r w:rsidR="001B5FFB" w:rsidRPr="00EB11F5">
        <w:rPr>
          <w:rFonts w:cs="Arial"/>
          <w:szCs w:val="20"/>
        </w:rPr>
        <w:t xml:space="preserve">uváděny </w:t>
      </w:r>
      <w:r w:rsidR="001378DC">
        <w:rPr>
          <w:rFonts w:cs="Arial"/>
          <w:szCs w:val="20"/>
        </w:rPr>
        <w:t xml:space="preserve">pouze </w:t>
      </w:r>
      <w:r w:rsidR="001B5FFB" w:rsidRPr="00EB11F5">
        <w:rPr>
          <w:rFonts w:cs="Arial"/>
          <w:szCs w:val="20"/>
        </w:rPr>
        <w:t xml:space="preserve">údaje za osoby s </w:t>
      </w:r>
      <w:r w:rsidR="001378DC">
        <w:rPr>
          <w:rFonts w:cs="Arial"/>
          <w:szCs w:val="20"/>
        </w:rPr>
        <w:t>jední</w:t>
      </w:r>
      <w:r w:rsidR="001B5FFB" w:rsidRPr="00EB11F5">
        <w:rPr>
          <w:rFonts w:cs="Arial"/>
          <w:szCs w:val="20"/>
        </w:rPr>
        <w:t xml:space="preserve">m </w:t>
      </w:r>
      <w:r w:rsidR="001378DC">
        <w:rPr>
          <w:rFonts w:cs="Arial"/>
          <w:szCs w:val="20"/>
        </w:rPr>
        <w:t xml:space="preserve">státním </w:t>
      </w:r>
      <w:r w:rsidR="001B5FFB" w:rsidRPr="00EB11F5">
        <w:rPr>
          <w:rFonts w:cs="Arial"/>
          <w:szCs w:val="20"/>
        </w:rPr>
        <w:t xml:space="preserve">občanstvím, u nichž byla tato skutečnost zjištěna. </w:t>
      </w:r>
      <w:r w:rsidR="001B5FFB" w:rsidRPr="00337E3F">
        <w:rPr>
          <w:rFonts w:eastAsiaTheme="minorHAnsi" w:cs="Arial"/>
          <w:b/>
          <w:szCs w:val="20"/>
          <w:lang w:eastAsia="en-US"/>
        </w:rPr>
        <w:t>Cizinci</w:t>
      </w:r>
      <w:r w:rsidR="001B5FFB" w:rsidRPr="00EB11F5">
        <w:rPr>
          <w:rFonts w:eastAsiaTheme="minorHAnsi" w:cs="Arial"/>
          <w:szCs w:val="20"/>
          <w:lang w:eastAsia="en-US"/>
        </w:rPr>
        <w:t xml:space="preserve"> jsou osoby s jiným státním občanstvím než Č</w:t>
      </w:r>
      <w:r w:rsidR="000C5365">
        <w:rPr>
          <w:rFonts w:eastAsiaTheme="minorHAnsi" w:cs="Arial"/>
          <w:szCs w:val="20"/>
          <w:lang w:eastAsia="en-US"/>
        </w:rPr>
        <w:t>eské republiky</w:t>
      </w:r>
      <w:r w:rsidR="001B5FFB" w:rsidRPr="00EB11F5">
        <w:rPr>
          <w:rFonts w:eastAsiaTheme="minorHAnsi" w:cs="Arial"/>
          <w:szCs w:val="20"/>
          <w:lang w:eastAsia="en-US"/>
        </w:rPr>
        <w:t>, které měly v rozhodný okamžik sčítání místo obvyklého pobytu na území</w:t>
      </w:r>
      <w:r w:rsidR="000C5365">
        <w:rPr>
          <w:rFonts w:eastAsiaTheme="minorHAnsi" w:cs="Arial"/>
          <w:szCs w:val="20"/>
          <w:lang w:eastAsia="en-US"/>
        </w:rPr>
        <w:t xml:space="preserve"> České republiky</w:t>
      </w:r>
      <w:r w:rsidR="001B5FFB" w:rsidRPr="00EB11F5">
        <w:rPr>
          <w:rFonts w:eastAsiaTheme="minorHAnsi" w:cs="Arial"/>
          <w:szCs w:val="20"/>
          <w:lang w:eastAsia="en-US"/>
        </w:rPr>
        <w:t xml:space="preserve">. </w:t>
      </w:r>
      <w:r w:rsidR="000C5365">
        <w:rPr>
          <w:rFonts w:eastAsiaTheme="minorHAnsi" w:cs="Arial"/>
          <w:szCs w:val="20"/>
          <w:lang w:eastAsia="en-US"/>
        </w:rPr>
        <w:t xml:space="preserve">Mezi cizince </w:t>
      </w:r>
      <w:r w:rsidR="001B5FFB">
        <w:rPr>
          <w:rFonts w:eastAsiaTheme="minorHAnsi" w:cs="Arial"/>
          <w:szCs w:val="20"/>
          <w:lang w:eastAsia="en-US"/>
        </w:rPr>
        <w:t>nejsou zahrnuty</w:t>
      </w:r>
      <w:r w:rsidR="001B5FFB" w:rsidRPr="00EB11F5">
        <w:rPr>
          <w:rFonts w:eastAsiaTheme="minorHAnsi" w:cs="Arial"/>
          <w:szCs w:val="20"/>
          <w:lang w:eastAsia="en-US"/>
        </w:rPr>
        <w:t xml:space="preserve"> osoby s dvojím státním občanstvím</w:t>
      </w:r>
      <w:r w:rsidR="001B5FFB">
        <w:rPr>
          <w:rFonts w:eastAsiaTheme="minorHAnsi" w:cs="Arial"/>
          <w:szCs w:val="20"/>
          <w:lang w:eastAsia="en-US"/>
        </w:rPr>
        <w:t>.</w:t>
      </w:r>
    </w:p>
    <w:p w14:paraId="710D26A2" w14:textId="18CB3B42" w:rsidR="001B5FFB" w:rsidRDefault="001B5FFB" w:rsidP="001B5FFB">
      <w:pPr>
        <w:pStyle w:val="Rbntext"/>
      </w:pPr>
      <w:r>
        <w:rPr>
          <w:b/>
          <w:bCs/>
        </w:rPr>
        <w:t>Národnost</w:t>
      </w:r>
      <w:r>
        <w:t xml:space="preserve"> vyplnil každý podle svého rozhodnutí</w:t>
      </w:r>
      <w:r w:rsidR="00190107">
        <w:t xml:space="preserve">. Bylo možné </w:t>
      </w:r>
      <w:r>
        <w:t xml:space="preserve">uvedení </w:t>
      </w:r>
      <w:r w:rsidR="00515497">
        <w:t xml:space="preserve">až </w:t>
      </w:r>
      <w:r>
        <w:t xml:space="preserve">dvou národností nebo neuvedení žádné (údaj byl </w:t>
      </w:r>
      <w:r w:rsidR="00FA70D6">
        <w:t>nepovin</w:t>
      </w:r>
      <w:r>
        <w:t xml:space="preserve">ný). </w:t>
      </w:r>
      <w:r w:rsidR="00515497">
        <w:t xml:space="preserve">V prvních výsledcích </w:t>
      </w:r>
      <w:r w:rsidR="00190107">
        <w:t xml:space="preserve">SLDB 2021 </w:t>
      </w:r>
      <w:r w:rsidR="00515497">
        <w:t xml:space="preserve">jsou uváděny pouze údaje za </w:t>
      </w:r>
      <w:r w:rsidR="000B428A">
        <w:t xml:space="preserve">vybrané národnosti a pouze za </w:t>
      </w:r>
      <w:r w:rsidR="00515497">
        <w:t>osoby s jednou uvedenou národností.</w:t>
      </w:r>
    </w:p>
    <w:p w14:paraId="208FF942" w14:textId="488A9842" w:rsidR="001B5FFB" w:rsidRDefault="00887D9B" w:rsidP="00C5372F">
      <w:pPr>
        <w:pStyle w:val="Textkomente"/>
      </w:pPr>
      <w:r>
        <w:t xml:space="preserve">Vyplnění údaje o </w:t>
      </w:r>
      <w:r w:rsidRPr="00887D9B">
        <w:rPr>
          <w:b/>
        </w:rPr>
        <w:t>náboženské víře</w:t>
      </w:r>
      <w:r>
        <w:t xml:space="preserve"> bylo pro respondenty dobrovolné</w:t>
      </w:r>
      <w:r w:rsidR="00EF4D05">
        <w:t xml:space="preserve"> a v odpovědi mohli deklarovat, zda jsou věřící a slovním zápisem uvést náboženský směr, hnutí, církev nebo společnost, ke které se </w:t>
      </w:r>
      <w:r w:rsidR="00C5372F">
        <w:t>h</w:t>
      </w:r>
      <w:r w:rsidR="00EF4D05">
        <w:t>lá</w:t>
      </w:r>
      <w:r w:rsidR="00290898">
        <w:t>sí</w:t>
      </w:r>
      <w:r w:rsidR="00152683">
        <w:t xml:space="preserve">, </w:t>
      </w:r>
      <w:r w:rsidR="00EF4D05">
        <w:t>nebo zda jsou bez náboženské víry</w:t>
      </w:r>
      <w:r w:rsidR="001B5FFB">
        <w:t xml:space="preserve">. </w:t>
      </w:r>
    </w:p>
    <w:p w14:paraId="4E5A1BBD" w14:textId="32445F06" w:rsidR="001B5FFB" w:rsidRDefault="001B5FFB" w:rsidP="001B5FFB">
      <w:pPr>
        <w:pStyle w:val="Rbntext"/>
      </w:pPr>
      <w:r>
        <w:rPr>
          <w:b/>
          <w:bCs/>
        </w:rPr>
        <w:t>Rodinný stav</w:t>
      </w:r>
      <w:r>
        <w:t xml:space="preserve"> je stav de jure, tedy právní manželský stav osoby. Rozdíl mezi součtem za jednotlivé kategorie rodinného stavu a celkovým počtem představují kromě osob s nezjištěným rodinným stavem také osoby s registrovaným partnerstvím.</w:t>
      </w:r>
    </w:p>
    <w:p w14:paraId="71E6F56D" w14:textId="19241E6F" w:rsidR="001B5FFB" w:rsidRDefault="001B5FFB" w:rsidP="001B5FFB">
      <w:pPr>
        <w:pStyle w:val="Rbntext"/>
      </w:pPr>
      <w:r>
        <w:rPr>
          <w:b/>
          <w:bCs/>
        </w:rPr>
        <w:t xml:space="preserve">Nejvyšší </w:t>
      </w:r>
      <w:r w:rsidR="00FA70D6">
        <w:rPr>
          <w:b/>
          <w:bCs/>
        </w:rPr>
        <w:t>dosaž</w:t>
      </w:r>
      <w:r>
        <w:rPr>
          <w:b/>
          <w:bCs/>
        </w:rPr>
        <w:t>ené vzdělání</w:t>
      </w:r>
      <w:r>
        <w:t xml:space="preserve"> </w:t>
      </w:r>
      <w:r w:rsidR="00377E25">
        <w:t xml:space="preserve">bylo zjišťováno </w:t>
      </w:r>
      <w:r>
        <w:t xml:space="preserve">pouze </w:t>
      </w:r>
      <w:r w:rsidR="00377E25">
        <w:t xml:space="preserve">u </w:t>
      </w:r>
      <w:r>
        <w:t>osob ve věku 15 a více let podle nejvyšší ukončené školy.</w:t>
      </w:r>
      <w:r w:rsidR="00B93A1F">
        <w:t xml:space="preserve"> Údaje uvedené na sčítacím formuláři byly doplněny o informace o vzdělání z administrativních zdrojů.</w:t>
      </w:r>
      <w:r>
        <w:t xml:space="preserve"> </w:t>
      </w:r>
      <w:r w:rsidR="00FA6E47">
        <w:t>Osoby, které získaly vzdělání v soukromé nebo</w:t>
      </w:r>
      <w:r w:rsidR="003234D2">
        <w:t xml:space="preserve"> zahraniční vzdělávací instituci bez akreditace MŠMT, uváděly odpovídající stupeň vzdělání ve vzdělávacím systému ČR.</w:t>
      </w:r>
    </w:p>
    <w:p w14:paraId="7CED5978" w14:textId="0C7004EA" w:rsidR="000D3707" w:rsidRDefault="000D3707" w:rsidP="001B5FFB">
      <w:pPr>
        <w:pStyle w:val="Rbntext"/>
      </w:pPr>
      <w:r>
        <w:lastRenderedPageBreak/>
        <w:t xml:space="preserve">Pozn. Všechny podílové ukazatele se vztahují pouze na osoby se zjištěnou charakteristikou. </w:t>
      </w:r>
    </w:p>
    <w:p w14:paraId="6D55D9B4" w14:textId="77777777" w:rsidR="00826998" w:rsidRDefault="00826998" w:rsidP="00826998">
      <w:pPr>
        <w:pStyle w:val="Rbntext"/>
        <w:rPr>
          <w:b/>
        </w:rPr>
      </w:pPr>
      <w:r>
        <w:rPr>
          <w:b/>
        </w:rPr>
        <w:t>Domy</w:t>
      </w:r>
    </w:p>
    <w:p w14:paraId="118DAFBA" w14:textId="77777777" w:rsidR="00826998" w:rsidRDefault="00826998" w:rsidP="00826998">
      <w:pPr>
        <w:pStyle w:val="Rbntext"/>
      </w:pPr>
      <w:r>
        <w:t xml:space="preserve">Do </w:t>
      </w:r>
      <w:r>
        <w:rPr>
          <w:b/>
          <w:iCs/>
        </w:rPr>
        <w:t>počtu domů</w:t>
      </w:r>
      <w:r>
        <w:rPr>
          <w:bCs/>
          <w:iCs/>
        </w:rPr>
        <w:t xml:space="preserve"> </w:t>
      </w:r>
      <w:r>
        <w:t>jsou zahrnuty všechny domy určené k bydlení, tj. objekty s byty (bytem) a objekty obsahující jiné</w:t>
      </w:r>
      <w:r w:rsidRPr="00196BA1">
        <w:t xml:space="preserve"> prostory určené k bydlení nebo </w:t>
      </w:r>
      <w:r>
        <w:t xml:space="preserve">dlouhodobějšímu </w:t>
      </w:r>
      <w:r w:rsidRPr="00196BA1">
        <w:t>ubytování</w:t>
      </w:r>
      <w:r>
        <w:t>, jako jsou ubytovací zařízení. Do počtu domů tak patří kromě rodinných a bytových domů i různá zařízení určená k bydlení – např. domovy mládeže, internáty, dětské domovy, ústavy sociální péče, domovy důchodců, penziony pro důchodce, kláštery a konventy, azylová zařízení pro cizince, ubytovny, provozní budovy s bytem (např. škola s bytem) apod.</w:t>
      </w:r>
    </w:p>
    <w:p w14:paraId="039B3B2E" w14:textId="77777777" w:rsidR="00826998" w:rsidRDefault="00826998" w:rsidP="00826998">
      <w:pPr>
        <w:pStyle w:val="Rbntext"/>
      </w:pPr>
      <w:r>
        <w:rPr>
          <w:b/>
          <w:iCs/>
        </w:rPr>
        <w:t>Vlastníkem domu</w:t>
      </w:r>
      <w:r>
        <w:rPr>
          <w:bCs/>
          <w:iCs/>
        </w:rPr>
        <w:t xml:space="preserve"> </w:t>
      </w:r>
      <w:r>
        <w:t xml:space="preserve">je fyzická nebo právnická osoba, případně jejich kombinace. Údaje o vlastnické struktuře domovního fondu byly převzaty z dat katastru nemovitostí platných k 26. 3. 2021. Rozhodující je forma vlastnictví, nikoliv počet vlastníků. Typ </w:t>
      </w:r>
      <w:r>
        <w:rPr>
          <w:iCs/>
        </w:rPr>
        <w:t xml:space="preserve">vlastníka </w:t>
      </w:r>
      <w:r>
        <w:t>–</w:t>
      </w:r>
      <w:r>
        <w:rPr>
          <w:iCs/>
        </w:rPr>
        <w:t xml:space="preserve"> fyzická osoba – </w:t>
      </w:r>
      <w:r>
        <w:t xml:space="preserve">zahrnuje i případy více spoluvlastníků domu, pokud to jsou fyzické osoby (např. společné jmění manželů). </w:t>
      </w:r>
      <w:r>
        <w:rPr>
          <w:bCs/>
        </w:rPr>
        <w:t>Spoluvlastnictví vlastníků bytů (jednotek)</w:t>
      </w:r>
      <w:r>
        <w:t xml:space="preserve"> zahrnuje pouze případy, kdy je celý dům ve spoluvlastnictví fyzických či právnických osob, které jsou vedeny v katastru nemovitostí jako vlastníci konkrétních vymezených jednotek typu byt či skupina bytů. Typ vlastníka – jiná právnická osoba – se vyskytuje u domů patřících jiným právnickým osobám, než jsou bytová družstva, obce či stát. </w:t>
      </w:r>
      <w:r>
        <w:rPr>
          <w:bCs/>
        </w:rPr>
        <w:t>Kombinace vlastníků</w:t>
      </w:r>
      <w:r>
        <w:t xml:space="preserve"> zahrnuje ostatní případy spoluvlastnictví domu více vlastníky různého typu, kteří zároveň nejsou v katastru nemovitostí uvedeni jako vlastníci jednotek (např. fyzické a jiné právnické osoby, obce a bytového družstva apod.).</w:t>
      </w:r>
    </w:p>
    <w:p w14:paraId="753A078F" w14:textId="77777777" w:rsidR="00826998" w:rsidRDefault="00826998" w:rsidP="00826998">
      <w:pPr>
        <w:pStyle w:val="Rbntext"/>
      </w:pPr>
      <w:r>
        <w:rPr>
          <w:b/>
          <w:iCs/>
        </w:rPr>
        <w:t>Období výstavby nebo rekonstrukce</w:t>
      </w:r>
      <w:r>
        <w:rPr>
          <w:bCs/>
          <w:iCs/>
        </w:rPr>
        <w:t xml:space="preserve"> </w:t>
      </w:r>
    </w:p>
    <w:p w14:paraId="4E40ED76" w14:textId="77777777" w:rsidR="00826998" w:rsidRDefault="00826998" w:rsidP="00826998">
      <w:r>
        <w:t>Obdobím výstavby nebo rekonstrukce se rozumí období, kdy byl dům dostavěn a předán do užívání (kolaudace), případně proběhla jeho významná rekonstrukce spojená s modernizací bytů, přístavbou/nástavbou nových podlaží či bytů, která vyžadovala kolaudační souhlas.</w:t>
      </w:r>
    </w:p>
    <w:sectPr w:rsidR="00826998" w:rsidSect="00252D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BA9"/>
    <w:multiLevelType w:val="hybridMultilevel"/>
    <w:tmpl w:val="91807064"/>
    <w:lvl w:ilvl="0" w:tplc="7FE033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0"/>
    <w:rsid w:val="000B428A"/>
    <w:rsid w:val="000C5365"/>
    <w:rsid w:val="000D3707"/>
    <w:rsid w:val="000F7360"/>
    <w:rsid w:val="001378DC"/>
    <w:rsid w:val="00152683"/>
    <w:rsid w:val="00190107"/>
    <w:rsid w:val="00196BA1"/>
    <w:rsid w:val="001B5FFB"/>
    <w:rsid w:val="00224462"/>
    <w:rsid w:val="00252D07"/>
    <w:rsid w:val="00290898"/>
    <w:rsid w:val="002C196C"/>
    <w:rsid w:val="002D2F91"/>
    <w:rsid w:val="003234D2"/>
    <w:rsid w:val="0032446A"/>
    <w:rsid w:val="00377E25"/>
    <w:rsid w:val="003E7421"/>
    <w:rsid w:val="004261DD"/>
    <w:rsid w:val="00461B5C"/>
    <w:rsid w:val="00497F1E"/>
    <w:rsid w:val="00515497"/>
    <w:rsid w:val="005250A1"/>
    <w:rsid w:val="005A204D"/>
    <w:rsid w:val="005B2AA3"/>
    <w:rsid w:val="00681FF3"/>
    <w:rsid w:val="007C59BB"/>
    <w:rsid w:val="007F5C9C"/>
    <w:rsid w:val="00811267"/>
    <w:rsid w:val="00814F82"/>
    <w:rsid w:val="00826998"/>
    <w:rsid w:val="00885DC2"/>
    <w:rsid w:val="00887D9B"/>
    <w:rsid w:val="009517CF"/>
    <w:rsid w:val="009C0B4E"/>
    <w:rsid w:val="00A21708"/>
    <w:rsid w:val="00B368B5"/>
    <w:rsid w:val="00B93A1F"/>
    <w:rsid w:val="00C375A1"/>
    <w:rsid w:val="00C5372F"/>
    <w:rsid w:val="00C54B79"/>
    <w:rsid w:val="00C93460"/>
    <w:rsid w:val="00CE2620"/>
    <w:rsid w:val="00DA137E"/>
    <w:rsid w:val="00E0061F"/>
    <w:rsid w:val="00E57BB6"/>
    <w:rsid w:val="00E90F77"/>
    <w:rsid w:val="00ED4AFA"/>
    <w:rsid w:val="00EF4D05"/>
    <w:rsid w:val="00EF709A"/>
    <w:rsid w:val="00F83CF3"/>
    <w:rsid w:val="00FA6E47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B5E"/>
  <w15:docId w15:val="{F72F38DF-44F0-45D0-8824-2D455B0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nadpis">
    <w:name w:val="R nadpis"/>
    <w:basedOn w:val="Rbntext"/>
    <w:next w:val="Rbntext"/>
    <w:rsid w:val="001B5FFB"/>
    <w:pPr>
      <w:jc w:val="center"/>
    </w:pPr>
    <w:rPr>
      <w:b/>
      <w:caps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C0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0B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0B4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B4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B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F1293E5F6F2438AA22ED6E72AC553" ma:contentTypeVersion="8" ma:contentTypeDescription="Vytvoří nový dokument" ma:contentTypeScope="" ma:versionID="e02e0fddd599916e1b84c7a7f026a7ae">
  <xsd:schema xmlns:xsd="http://www.w3.org/2001/XMLSchema" xmlns:xs="http://www.w3.org/2001/XMLSchema" xmlns:p="http://schemas.microsoft.com/office/2006/metadata/properties" xmlns:ns2="a42c1a12-c0ca-4c64-89a4-a628a02e48af" targetNamespace="http://schemas.microsoft.com/office/2006/metadata/properties" ma:root="true" ma:fieldsID="df690c2c7b076f44c7802c5ae49028e5" ns2:_="">
    <xsd:import namespace="a42c1a12-c0ca-4c64-89a4-a628a02e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1a12-c0ca-4c64-89a4-a628a02e4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8165-1551-4DA2-86D7-D1373C3D4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3264C-127F-4BA6-8B24-1EAF923E3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A56-1571-4FA0-A94E-56AFDB65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c1a12-c0ca-4c64-89a4-a628a02e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5AABA-8C96-42AB-AA7F-64725A5E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Nosková</dc:creator>
  <cp:lastModifiedBy>podhorska6253</cp:lastModifiedBy>
  <cp:revision>2</cp:revision>
  <dcterms:created xsi:type="dcterms:W3CDTF">2022-01-26T13:51:00Z</dcterms:created>
  <dcterms:modified xsi:type="dcterms:W3CDTF">2022-01-26T13:51:00Z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0x010100F88F1293E5F6F2438AA22ED6E72AC553</vt:lpwstr>
  </property>
</Properties>
</file>