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 ostatním rezidentským a nerezidentským sektorům.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 xml:space="preserve">měnového charakteru rezidentských měnových finančních institucí (tzv. sektoru tvorby peněz) vůči jiným rezidentským sektorům (tzv. sektoru držby peněz).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</w:t>
      </w:r>
      <w:r w:rsidR="00050A8D">
        <w:rPr>
          <w:rFonts w:ascii="Arial" w:hAnsi="Arial" w:cs="Arial"/>
          <w:sz w:val="20"/>
          <w:lang w:val="cs-CZ"/>
        </w:rPr>
        <w:t xml:space="preserve">a neziskových institucí sloužících domácnostem </w:t>
      </w:r>
      <w:r w:rsidRPr="00C822C2">
        <w:rPr>
          <w:rFonts w:ascii="Arial" w:hAnsi="Arial" w:cs="Arial"/>
          <w:sz w:val="20"/>
          <w:lang w:val="cs-CZ"/>
        </w:rPr>
        <w:t>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M2, podílové listy fondů peněžního trhu, emitované dluhové cenné papíry se splatností do 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držbě nerezidentů ČR, repo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 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nadpis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 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F2035A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589873243" r:id="rId9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F2035A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589873244" r:id="rId11"/>
        </w:object>
      </w:r>
      <w:r>
        <w:rPr>
          <w:rFonts w:ascii="Arial" w:hAnsi="Arial" w:cs="Arial"/>
          <w:noProof/>
        </w:rPr>
        <w:object w:dxaOrig="84" w:dyaOrig="69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589873245" r:id="rId12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 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F2035A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589873246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 se 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zásad kategorizace pohledávek na standardní, sledované, nestandardní, pochybné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ztrátové, podle smluvní doby splatnosti (do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roku včetně, nad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 do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 včetně, nad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let), podle měn (CZK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cizí měny</w:t>
      </w:r>
      <w:r w:rsidR="0046656C" w:rsidRPr="00C822C2">
        <w:rPr>
          <w:rFonts w:ascii="Arial" w:hAnsi="Arial"/>
          <w:color w:val="000000"/>
        </w:rPr>
        <w:t xml:space="preserve"> </w:t>
      </w:r>
      <w:r w:rsidRPr="00C822C2">
        <w:rPr>
          <w:rFonts w:ascii="Arial" w:hAnsi="Arial"/>
          <w:color w:val="000000"/>
        </w:rPr>
        <w:t>)</w:t>
      </w:r>
      <w:r w:rsidRPr="00C822C2">
        <w:rPr>
          <w:rStyle w:val="Typewriter"/>
          <w:rFonts w:ascii="Arial" w:hAnsi="Arial"/>
          <w:color w:val="000000"/>
        </w:rPr>
        <w:t>,</w:t>
      </w:r>
      <w:r w:rsidRPr="00C822C2">
        <w:rPr>
          <w:rFonts w:ascii="Arial" w:hAnsi="Arial"/>
          <w:color w:val="000000"/>
        </w:rPr>
        <w:t xml:space="preserve">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nadpis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>členění podle sjednané doby trvání vkladu nebo splatnosti přijatého úvěru, 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ekonomické činnosti věřitele)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hlavních typů vkladových produktů.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 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 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 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 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 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 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 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 resp. poskytnutých vkladů a úvěrů bankou k okamžiku vykazování. Jsou členěny podle původní sjednané doby splatnosti. Nově 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 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 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 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="00102B3F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</w:t>
      </w:r>
      <w:r w:rsidR="005A3C44">
        <w:rPr>
          <w:rFonts w:ascii="Arial" w:hAnsi="Arial" w:cs="Arial"/>
          <w:color w:val="auto"/>
          <w:sz w:val="20"/>
        </w:rPr>
        <w:t xml:space="preserve"> v národním pojetí</w:t>
      </w:r>
      <w:r w:rsidRPr="00C822C2">
        <w:rPr>
          <w:rFonts w:ascii="Arial" w:hAnsi="Arial" w:cs="Arial"/>
          <w:color w:val="auto"/>
          <w:sz w:val="20"/>
        </w:rPr>
        <w:t>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E6093D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554A4F">
      <w:pPr>
        <w:autoSpaceDE w:val="0"/>
        <w:autoSpaceDN w:val="0"/>
        <w:adjustRightInd w:val="0"/>
        <w:rPr>
          <w:rFonts w:ascii="Arial" w:hAnsi="Arial" w:cs="Arial"/>
        </w:rPr>
      </w:pPr>
      <w:r w:rsidRPr="00E6093D">
        <w:rPr>
          <w:rFonts w:ascii="Arial" w:hAnsi="Arial" w:cs="Arial"/>
        </w:rPr>
        <w:t xml:space="preserve">Tab. 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>-13. a 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 xml:space="preserve">-14. </w:t>
      </w:r>
      <w:r w:rsidRPr="00E6093D">
        <w:rPr>
          <w:rFonts w:ascii="Arial" w:hAnsi="Arial" w:cs="Arial"/>
          <w:b/>
        </w:rPr>
        <w:t>Přímé zahraniční investice do České republiky podle zemí a činností</w:t>
      </w:r>
    </w:p>
    <w:p w:rsidR="00AB2595" w:rsidRPr="00E6093D" w:rsidRDefault="00554A4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E6093D">
        <w:rPr>
          <w:rFonts w:ascii="Arial" w:hAnsi="Arial" w:cs="Arial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E6093D">
        <w:rPr>
          <w:rFonts w:ascii="Arial" w:hAnsi="Arial" w:cs="Arial"/>
        </w:rPr>
        <w:t xml:space="preserve">Manuálu k sestavování </w:t>
      </w:r>
      <w:r w:rsidRPr="00E6093D">
        <w:rPr>
          <w:rFonts w:ascii="Arial" w:hAnsi="Arial" w:cs="Arial"/>
        </w:rPr>
        <w:t xml:space="preserve">platební bilance </w:t>
      </w:r>
      <w:r w:rsidR="00E6093D" w:rsidRPr="00E6093D">
        <w:rPr>
          <w:rFonts w:ascii="Arial" w:hAnsi="Arial" w:cs="Arial"/>
        </w:rPr>
        <w:t>a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investiční pozice </w:t>
      </w:r>
      <w:r w:rsidR="00BD11A6" w:rsidRPr="00E6093D">
        <w:rPr>
          <w:rFonts w:ascii="Arial" w:hAnsi="Arial" w:cs="Arial"/>
        </w:rPr>
        <w:t>vůči zahraničí</w:t>
      </w:r>
      <w:r w:rsidRPr="00E6093D">
        <w:rPr>
          <w:rFonts w:ascii="Arial" w:hAnsi="Arial" w:cs="Arial"/>
        </w:rPr>
        <w:t xml:space="preserve"> </w:t>
      </w:r>
      <w:r w:rsidR="0054766B" w:rsidRPr="00E6093D">
        <w:rPr>
          <w:rFonts w:ascii="Arial" w:hAnsi="Arial" w:cs="Arial"/>
        </w:rPr>
        <w:t>(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roce 2014</w:t>
      </w:r>
      <w:r w:rsidR="0054766B" w:rsidRPr="00E6093D">
        <w:rPr>
          <w:rFonts w:ascii="Arial" w:hAnsi="Arial" w:cs="Arial"/>
        </w:rPr>
        <w:t>)</w:t>
      </w:r>
      <w:r w:rsidRPr="00E6093D">
        <w:rPr>
          <w:rFonts w:ascii="Arial" w:hAnsi="Arial" w:cs="Arial"/>
        </w:rPr>
        <w:t xml:space="preserve"> došlo </w:t>
      </w:r>
      <w:r w:rsidR="00E6093D" w:rsidRPr="00E6093D">
        <w:rPr>
          <w:rFonts w:ascii="Arial" w:hAnsi="Arial" w:cs="Arial"/>
        </w:rPr>
        <w:t>u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přímých zahraničních investic ke změnám 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prezentaci dat. Výstupy jsou členěny podle principu aktiv/pasiv. Na straně aktiv jsou zachyceny úvěrové vztahy vůči přímému investorovi (změna poskytnutých úvěrů)</w:t>
      </w:r>
      <w:r w:rsidR="00BD11A6" w:rsidRPr="00E6093D">
        <w:rPr>
          <w:rFonts w:ascii="Arial" w:hAnsi="Arial" w:cs="Arial"/>
        </w:rPr>
        <w:t>.</w:t>
      </w:r>
      <w:r w:rsidRPr="00E6093D">
        <w:rPr>
          <w:rFonts w:ascii="Arial" w:hAnsi="Arial" w:cs="Arial"/>
        </w:rPr>
        <w:t xml:space="preserve"> </w:t>
      </w:r>
      <w:r w:rsidR="00BD11A6" w:rsidRPr="00E6093D">
        <w:rPr>
          <w:rFonts w:ascii="Arial" w:hAnsi="Arial" w:cs="Arial"/>
        </w:rPr>
        <w:t xml:space="preserve">Na </w:t>
      </w:r>
      <w:r w:rsidRPr="00E6093D">
        <w:rPr>
          <w:rFonts w:ascii="Arial" w:hAnsi="Arial" w:cs="Arial"/>
        </w:rPr>
        <w:t>straně pasiv jsou zahrnuty vklady do základního kapitálu včetně reinvestovaných zisků a úvěrové vztahy s přímým investorem (změna přijatých úvěrů). Položka NET</w:t>
      </w:r>
      <w:r w:rsidR="00BD11A6" w:rsidRPr="00E6093D">
        <w:rPr>
          <w:rFonts w:ascii="Arial" w:hAnsi="Arial" w:cs="Arial"/>
        </w:rPr>
        <w:t>TO</w:t>
      </w:r>
      <w:r w:rsidRPr="00E6093D">
        <w:rPr>
          <w:rFonts w:ascii="Arial" w:hAnsi="Arial" w:cs="Arial"/>
        </w:rPr>
        <w:t xml:space="preserve"> zachycuje čistý příliv přímých zahraničních investic od nerezidentů do České republiky (pasiva snížená </w:t>
      </w:r>
      <w:r w:rsidR="00E6093D" w:rsidRPr="00E6093D">
        <w:rPr>
          <w:rFonts w:ascii="Arial" w:hAnsi="Arial" w:cs="Arial"/>
        </w:rPr>
        <w:t>o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aktiva). </w:t>
      </w:r>
      <w:r w:rsidRPr="00E6093D">
        <w:rPr>
          <w:rFonts w:ascii="Arial" w:hAnsi="Arial" w:cs="Arial"/>
          <w:snapToGrid w:val="0"/>
        </w:rPr>
        <w:t xml:space="preserve">Prezentace přílivu přímých zahraničních investic je v teritoriální struktuře (země bezprostředního investora) </w:t>
      </w:r>
      <w:r w:rsidR="00E6093D" w:rsidRPr="00E6093D">
        <w:rPr>
          <w:rFonts w:ascii="Arial" w:hAnsi="Arial" w:cs="Arial"/>
          <w:snapToGrid w:val="0"/>
        </w:rPr>
        <w:t>a</w:t>
      </w:r>
      <w:r w:rsidR="00006D71">
        <w:rPr>
          <w:rFonts w:ascii="Arial" w:hAnsi="Arial" w:cs="Arial"/>
          <w:snapToGrid w:val="0"/>
        </w:rPr>
        <w:t> </w:t>
      </w:r>
      <w:r w:rsidR="00E6093D" w:rsidRPr="00E6093D">
        <w:rPr>
          <w:rFonts w:ascii="Arial" w:hAnsi="Arial" w:cs="Arial"/>
          <w:snapToGrid w:val="0"/>
        </w:rPr>
        <w:t>v</w:t>
      </w:r>
      <w:r w:rsidR="00E6093D">
        <w:rPr>
          <w:rFonts w:ascii="Arial" w:hAnsi="Arial" w:cs="Arial"/>
          <w:snapToGrid w:val="0"/>
        </w:rPr>
        <w:t> </w:t>
      </w:r>
      <w:r w:rsidRPr="00E6093D">
        <w:rPr>
          <w:rFonts w:ascii="Arial" w:hAnsi="Arial" w:cs="Arial"/>
          <w:snapToGrid w:val="0"/>
        </w:rPr>
        <w:t>odvětvovém členění (</w:t>
      </w:r>
      <w:r w:rsidR="00BD11A6" w:rsidRPr="00E6093D">
        <w:rPr>
          <w:rFonts w:ascii="Arial" w:hAnsi="Arial" w:cs="Arial"/>
          <w:snapToGrid w:val="0"/>
        </w:rPr>
        <w:t xml:space="preserve">Klasifikace </w:t>
      </w:r>
      <w:r w:rsidRPr="00E6093D">
        <w:rPr>
          <w:rFonts w:ascii="Arial" w:hAnsi="Arial" w:cs="Arial"/>
          <w:snapToGrid w:val="0"/>
        </w:rPr>
        <w:t>ekonomických činností NACE Rev.</w:t>
      </w:r>
      <w:r w:rsidR="00E6093D">
        <w:rPr>
          <w:rFonts w:ascii="Arial" w:hAnsi="Arial" w:cs="Arial"/>
          <w:snapToGrid w:val="0"/>
        </w:rPr>
        <w:t xml:space="preserve"> </w:t>
      </w:r>
      <w:r w:rsidRPr="00E6093D">
        <w:rPr>
          <w:rFonts w:ascii="Arial" w:hAnsi="Arial" w:cs="Arial"/>
          <w:snapToGrid w:val="0"/>
        </w:rPr>
        <w:t xml:space="preserve">2).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přímou investicí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významný vliv na řízení podniku.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>Údaje o přímých zahraničních investicích jsou vypracovány na základě informací a podkladů ve formě statistických výkazů nebankovních subjektů vyplývajících z § 41, odst. 1, písm. c) zákona č. 6/1993 Sb., o České národní bance a ve znění zákona č. 227/2013 Sb.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subjektů, ministerstva financí o zahraničních platbách, informace z burzy cenných papírů, obchodní věstník a tisk.</w:t>
      </w: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E6093D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lastRenderedPageBreak/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 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 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 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 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="00F01B00">
        <w:rPr>
          <w:rFonts w:ascii="Arial" w:hAnsi="Arial" w:cs="Arial"/>
          <w:snapToGrid w:val="0"/>
        </w:rPr>
        <w:t>5</w:t>
      </w:r>
      <w:r w:rsidRPr="00C822C2">
        <w:rPr>
          <w:rFonts w:ascii="Arial" w:hAnsi="Arial" w:cs="Arial"/>
          <w:snapToGrid w:val="0"/>
        </w:rPr>
        <w:t xml:space="preserve">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</w:t>
      </w:r>
      <w:r w:rsidR="0046656C" w:rsidRPr="00C822C2">
        <w:rPr>
          <w:rFonts w:ascii="Arial" w:hAnsi="Arial" w:cs="Arial"/>
          <w:snapToGrid w:val="0"/>
        </w:rPr>
        <w:lastRenderedPageBreak/>
        <w:t>a </w:t>
      </w:r>
      <w:r w:rsidRPr="00C822C2">
        <w:rPr>
          <w:rFonts w:ascii="Arial" w:hAnsi="Arial" w:cs="Arial"/>
          <w:snapToGrid w:val="0"/>
        </w:rPr>
        <w:t>kurzem EUR, je to</w:t>
      </w:r>
      <w:r w:rsidR="00380788">
        <w:rPr>
          <w:rFonts w:ascii="Arial" w:hAnsi="Arial" w:cs="Arial"/>
          <w:snapToGrid w:val="0"/>
        </w:rPr>
        <w:t xml:space="preserve"> </w:t>
      </w:r>
      <w:r w:rsidR="00380788" w:rsidRPr="00380788">
        <w:rPr>
          <w:rFonts w:ascii="Arial" w:hAnsi="Arial" w:cs="Arial"/>
          <w:snapToGrid w:val="0"/>
        </w:rPr>
        <w:t>Čína, Polsko, Velká Británie, Maďarsko, Rusko, Spojené státy, Švýcarsko, Korejská republika, Rumunsko, Švédsko, Japonsko a</w:t>
      </w:r>
      <w:r w:rsidR="003C0513">
        <w:rPr>
          <w:rFonts w:ascii="Arial" w:hAnsi="Arial" w:cs="Arial"/>
          <w:snapToGrid w:val="0"/>
        </w:rPr>
        <w:t> </w:t>
      </w:r>
      <w:r w:rsidR="00380788" w:rsidRPr="00380788">
        <w:rPr>
          <w:rFonts w:ascii="Arial" w:hAnsi="Arial" w:cs="Arial"/>
          <w:snapToGrid w:val="0"/>
        </w:rPr>
        <w:t>Dánsko</w:t>
      </w:r>
      <w:r w:rsidRPr="00C822C2">
        <w:rPr>
          <w:rFonts w:ascii="Arial" w:hAnsi="Arial" w:cs="Arial"/>
          <w:snapToGrid w:val="0"/>
        </w:rPr>
        <w:t>. Váhové podíly byly zpracovány ve 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</w:t>
      </w:r>
      <w:r w:rsidR="00940723" w:rsidRPr="00940723">
        <w:rPr>
          <w:rFonts w:ascii="Arial" w:hAnsi="Arial" w:cs="Arial"/>
          <w:i/>
          <w:snapToGrid w:val="0"/>
        </w:rPr>
        <w:t>SITC</w:t>
      </w:r>
      <w:r w:rsidRPr="00C822C2">
        <w:rPr>
          <w:rFonts w:ascii="Arial" w:hAnsi="Arial" w:cs="Arial"/>
          <w:snapToGrid w:val="0"/>
        </w:rPr>
        <w:t>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="0060228D">
        <w:rPr>
          <w:rFonts w:ascii="Arial" w:hAnsi="Arial" w:cs="Arial"/>
          <w:sz w:val="20"/>
        </w:rPr>
        <w:t>5</w:t>
      </w:r>
      <w:r w:rsidRPr="00C822C2">
        <w:rPr>
          <w:rFonts w:ascii="Arial" w:hAnsi="Arial" w:cs="Arial"/>
          <w:sz w:val="20"/>
        </w:rPr>
        <w:t>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 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 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6pt;height:60pt" o:ole="" fillcolor="window">
            <v:imagedata r:id="rId15" o:title=""/>
          </v:shape>
          <o:OLEObject Type="Embed" ProgID="Equation.3" ShapeID="_x0000_i1029" DrawAspect="Content" ObjectID="_1589873242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5A" w:rsidRDefault="00F2035A">
      <w:r>
        <w:separator/>
      </w:r>
    </w:p>
  </w:endnote>
  <w:endnote w:type="continuationSeparator" w:id="0">
    <w:p w:rsidR="00F2035A" w:rsidRDefault="00F2035A">
      <w:r>
        <w:continuationSeparator/>
      </w:r>
    </w:p>
  </w:endnote>
  <w:endnote w:type="continuationNotice" w:id="1">
    <w:p w:rsidR="00F2035A" w:rsidRDefault="00F20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5A" w:rsidRDefault="00F2035A">
      <w:r>
        <w:separator/>
      </w:r>
    </w:p>
  </w:footnote>
  <w:footnote w:type="continuationSeparator" w:id="0">
    <w:p w:rsidR="00F2035A" w:rsidRDefault="00F2035A">
      <w:r>
        <w:continuationSeparator/>
      </w:r>
    </w:p>
  </w:footnote>
  <w:footnote w:type="continuationNotice" w:id="1">
    <w:p w:rsidR="00F2035A" w:rsidRDefault="00F20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AB25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F0D38"/>
    <w:rsid w:val="001F3F9F"/>
    <w:rsid w:val="001F706B"/>
    <w:rsid w:val="002023AC"/>
    <w:rsid w:val="00203D9E"/>
    <w:rsid w:val="002125E4"/>
    <w:rsid w:val="00214344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952"/>
    <w:rsid w:val="00310A25"/>
    <w:rsid w:val="00314A5F"/>
    <w:rsid w:val="0031770F"/>
    <w:rsid w:val="00322EDB"/>
    <w:rsid w:val="00336EC0"/>
    <w:rsid w:val="0033754D"/>
    <w:rsid w:val="003478B2"/>
    <w:rsid w:val="00353844"/>
    <w:rsid w:val="00354553"/>
    <w:rsid w:val="00355B80"/>
    <w:rsid w:val="00373677"/>
    <w:rsid w:val="003738AF"/>
    <w:rsid w:val="0037401A"/>
    <w:rsid w:val="00374D75"/>
    <w:rsid w:val="00377B82"/>
    <w:rsid w:val="00380788"/>
    <w:rsid w:val="00381E65"/>
    <w:rsid w:val="00382AA3"/>
    <w:rsid w:val="003B077F"/>
    <w:rsid w:val="003B2090"/>
    <w:rsid w:val="003C0513"/>
    <w:rsid w:val="003C1771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9E8"/>
    <w:rsid w:val="004951DC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A4F"/>
    <w:rsid w:val="00556C47"/>
    <w:rsid w:val="005679FE"/>
    <w:rsid w:val="00574EAE"/>
    <w:rsid w:val="0058314A"/>
    <w:rsid w:val="00586676"/>
    <w:rsid w:val="005967C8"/>
    <w:rsid w:val="005A3C44"/>
    <w:rsid w:val="005C00D3"/>
    <w:rsid w:val="005C070A"/>
    <w:rsid w:val="005C3D6D"/>
    <w:rsid w:val="005C427B"/>
    <w:rsid w:val="005D5A54"/>
    <w:rsid w:val="005E650A"/>
    <w:rsid w:val="00601606"/>
    <w:rsid w:val="0060228D"/>
    <w:rsid w:val="0060409A"/>
    <w:rsid w:val="00615E70"/>
    <w:rsid w:val="00625A82"/>
    <w:rsid w:val="00626950"/>
    <w:rsid w:val="006468C7"/>
    <w:rsid w:val="00655E31"/>
    <w:rsid w:val="00672335"/>
    <w:rsid w:val="0067753F"/>
    <w:rsid w:val="00685343"/>
    <w:rsid w:val="006A4D6B"/>
    <w:rsid w:val="006B2312"/>
    <w:rsid w:val="006B3F7B"/>
    <w:rsid w:val="006B4BA9"/>
    <w:rsid w:val="006C0161"/>
    <w:rsid w:val="006C26CC"/>
    <w:rsid w:val="006C380B"/>
    <w:rsid w:val="006D45F6"/>
    <w:rsid w:val="006D72FF"/>
    <w:rsid w:val="006F3573"/>
    <w:rsid w:val="006F5AAA"/>
    <w:rsid w:val="00702827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701F8"/>
    <w:rsid w:val="007709C2"/>
    <w:rsid w:val="00771A50"/>
    <w:rsid w:val="00771FD4"/>
    <w:rsid w:val="00781BC9"/>
    <w:rsid w:val="00783CB5"/>
    <w:rsid w:val="007B2365"/>
    <w:rsid w:val="007B4A87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900606"/>
    <w:rsid w:val="009067CA"/>
    <w:rsid w:val="00940723"/>
    <w:rsid w:val="00947303"/>
    <w:rsid w:val="00964FA2"/>
    <w:rsid w:val="00983AD7"/>
    <w:rsid w:val="00985FF3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85731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91D94"/>
    <w:rsid w:val="00B961B1"/>
    <w:rsid w:val="00BA3F1C"/>
    <w:rsid w:val="00BB1052"/>
    <w:rsid w:val="00BB23B7"/>
    <w:rsid w:val="00BB69ED"/>
    <w:rsid w:val="00BC074A"/>
    <w:rsid w:val="00BD0F80"/>
    <w:rsid w:val="00BD11A6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C0A91"/>
    <w:rsid w:val="00CC1B1B"/>
    <w:rsid w:val="00CC6BAA"/>
    <w:rsid w:val="00CD2908"/>
    <w:rsid w:val="00CE4728"/>
    <w:rsid w:val="00CF06E3"/>
    <w:rsid w:val="00D06A34"/>
    <w:rsid w:val="00D11DEA"/>
    <w:rsid w:val="00D12EBA"/>
    <w:rsid w:val="00D33E20"/>
    <w:rsid w:val="00D35264"/>
    <w:rsid w:val="00D37C43"/>
    <w:rsid w:val="00D46514"/>
    <w:rsid w:val="00D47B2B"/>
    <w:rsid w:val="00D560D6"/>
    <w:rsid w:val="00D6328D"/>
    <w:rsid w:val="00D755D4"/>
    <w:rsid w:val="00D77E4B"/>
    <w:rsid w:val="00D813AF"/>
    <w:rsid w:val="00D843FD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C59A9"/>
    <w:rsid w:val="00EC5FCF"/>
    <w:rsid w:val="00ED6289"/>
    <w:rsid w:val="00ED695D"/>
    <w:rsid w:val="00EE1943"/>
    <w:rsid w:val="00EF756D"/>
    <w:rsid w:val="00F012D7"/>
    <w:rsid w:val="00F01B00"/>
    <w:rsid w:val="00F2035A"/>
    <w:rsid w:val="00F2295B"/>
    <w:rsid w:val="00F2522E"/>
    <w:rsid w:val="00F3345E"/>
    <w:rsid w:val="00F33C3A"/>
    <w:rsid w:val="00F375A7"/>
    <w:rsid w:val="00F628D6"/>
    <w:rsid w:val="00F643C6"/>
    <w:rsid w:val="00F702DC"/>
    <w:rsid w:val="00F726C8"/>
    <w:rsid w:val="00F950A2"/>
    <w:rsid w:val="00F975EC"/>
    <w:rsid w:val="00FA5D80"/>
    <w:rsid w:val="00FA741A"/>
    <w:rsid w:val="00FB55C0"/>
    <w:rsid w:val="00FD5BF6"/>
    <w:rsid w:val="00FD7B55"/>
    <w:rsid w:val="00FE574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530FEF9C"/>
  <w15:docId w15:val="{C1153267-3887-4F6E-A00C-A269A77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0B9A-6158-4B70-92BD-CA1AC9F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4215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29031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Ing. Venuše Novotná</cp:lastModifiedBy>
  <cp:revision>5</cp:revision>
  <cp:lastPrinted>2017-03-14T09:03:00Z</cp:lastPrinted>
  <dcterms:created xsi:type="dcterms:W3CDTF">2018-01-15T15:11:00Z</dcterms:created>
  <dcterms:modified xsi:type="dcterms:W3CDTF">2018-06-07T08:41:00Z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1626932449</vt:i4>
  </property>
  <property fmtid="{D5CDD505-2E9C-101B-9397-08002B2CF9AE}" pid="3" name="_NewReviewCycle">
    <vt:lpwstr/>
  </property>
  <property fmtid="{D5CDD505-2E9C-101B-9397-08002B2CF9AE}" pid="4" name="_EmailSubject">
    <vt:lpwstr>ČSÚ, Statistická ročenka ČR 2018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57785621</vt:i4>
  </property>
  <property fmtid="{D5CDD505-2E9C-101B-9397-08002B2CF9AE}" pid="8" name="_ReviewingToolsShownOnce">
    <vt:lpwstr/>
  </property>
</Properties>
</file>