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08" w:rsidRPr="00360DE3" w:rsidRDefault="00E212C9" w:rsidP="00C96D08">
      <w:pPr>
        <w:pStyle w:val="Nadpis11"/>
      </w:pPr>
      <w:bookmarkStart w:id="0" w:name="_Toc527639476"/>
      <w:r w:rsidRPr="00360DE3">
        <w:rPr>
          <w:lang w:eastAsia="en-US"/>
        </w:rPr>
        <w:t>7</w:t>
      </w:r>
      <w:r w:rsidR="00141782" w:rsidRPr="00360DE3">
        <w:rPr>
          <w:lang w:eastAsia="en-US"/>
        </w:rPr>
        <w:t>. Finanční instituce</w:t>
      </w:r>
      <w:bookmarkEnd w:id="0"/>
      <w:r w:rsidR="00C96D08" w:rsidRPr="00360DE3">
        <w:t xml:space="preserve"> </w:t>
      </w:r>
    </w:p>
    <w:tbl>
      <w:tblPr>
        <w:tblW w:w="9644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909"/>
        <w:gridCol w:w="264"/>
        <w:gridCol w:w="7471"/>
      </w:tblGrid>
      <w:tr w:rsidR="00C96D08" w:rsidRPr="00360DE3" w:rsidTr="002B213A">
        <w:trPr>
          <w:trHeight w:val="145"/>
        </w:trPr>
        <w:tc>
          <w:tcPr>
            <w:tcW w:w="1909" w:type="dxa"/>
            <w:shd w:val="clear" w:color="auto" w:fill="auto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Ziskovost v sektoru finančních institucí meziročně vzrostla.</w:t>
            </w:r>
          </w:p>
        </w:tc>
        <w:tc>
          <w:tcPr>
            <w:tcW w:w="264" w:type="dxa"/>
            <w:shd w:val="clear" w:color="auto" w:fill="auto"/>
          </w:tcPr>
          <w:p w:rsidR="00C96D08" w:rsidRPr="00360DE3" w:rsidRDefault="00C96D08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C96D08" w:rsidRPr="00360DE3" w:rsidRDefault="00C96D08" w:rsidP="002B213A">
            <w:r w:rsidRPr="00360DE3">
              <w:t>Hrubý provozní přebytek sektoru finančních institucí</w:t>
            </w:r>
            <w:r w:rsidRPr="00360DE3">
              <w:rPr>
                <w:rStyle w:val="Znakapoznpodarou"/>
              </w:rPr>
              <w:footnoteReference w:id="1"/>
            </w:r>
            <w:r w:rsidRPr="00360DE3">
              <w:t xml:space="preserve"> loni dosáhl 107,3 mld. korun (v běžných cenách). Jde o nejvyšší hodnotu v dostupné časové řadě a poprvé se podařilo překonat úroveň roku 2010. Meziročně se h</w:t>
            </w:r>
            <w:r w:rsidR="00DF7AD4">
              <w:t>rubý provozní přebytek zvýšil o</w:t>
            </w:r>
            <w:r w:rsidR="00DF7AD4" w:rsidRPr="00360DE3">
              <w:t> </w:t>
            </w:r>
            <w:r w:rsidRPr="00360DE3">
              <w:t>2,5 mld. korun. Na rozdíl od zbytku ekonomiky ve finančním sektoru neprobíhal nárůst zaměstnanosti, ani se výrazněji nezvyšovaly průměrné mzdy. Celkový objem vyplacených náhrad zaměstnancům tak meziročně stagnoval (dosáhl 62,3 mld. korun a meziročně se snížil o 73,0 milionů), což se projevilo zvýšením výsledné ziskovosti sektoru. Míra zisku</w:t>
            </w:r>
            <w:r w:rsidRPr="00360DE3">
              <w:rPr>
                <w:rStyle w:val="Znakapoznpodarou"/>
              </w:rPr>
              <w:footnoteReference w:id="2"/>
            </w:r>
            <w:r w:rsidRPr="00360DE3">
              <w:t xml:space="preserve"> loni dosáhla 61,3 %, což je o 0,5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 </w:t>
            </w:r>
            <w:proofErr w:type="gramStart"/>
            <w:r w:rsidRPr="00360DE3">
              <w:t>více</w:t>
            </w:r>
            <w:proofErr w:type="gramEnd"/>
            <w:r w:rsidRPr="00360DE3">
              <w:t xml:space="preserve"> než v roce 2016. </w:t>
            </w:r>
          </w:p>
        </w:tc>
      </w:tr>
      <w:tr w:rsidR="00C96D08" w:rsidRPr="00360DE3" w:rsidTr="002B213A">
        <w:tc>
          <w:tcPr>
            <w:tcW w:w="1909" w:type="dxa"/>
            <w:vMerge w:val="restart"/>
            <w:shd w:val="clear" w:color="auto" w:fill="auto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64" w:type="dxa"/>
            <w:vMerge w:val="restart"/>
            <w:shd w:val="clear" w:color="auto" w:fill="auto"/>
          </w:tcPr>
          <w:p w:rsidR="00C96D08" w:rsidRPr="00360DE3" w:rsidRDefault="00C96D08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4E02EB" w:rsidRDefault="00C96D08" w:rsidP="001D198A">
            <w:pPr>
              <w:spacing w:after="0"/>
              <w:rPr>
                <w:b/>
              </w:rPr>
            </w:pPr>
            <w:r w:rsidRPr="00360DE3">
              <w:rPr>
                <w:b/>
              </w:rPr>
              <w:t xml:space="preserve">Graf č. </w:t>
            </w:r>
            <w:proofErr w:type="gramStart"/>
            <w:r w:rsidR="001D198A" w:rsidRPr="00360DE3">
              <w:rPr>
                <w:b/>
              </w:rPr>
              <w:t>7.1</w:t>
            </w:r>
            <w:r w:rsidRPr="00360DE3">
              <w:rPr>
                <w:b/>
              </w:rPr>
              <w:t xml:space="preserve">  Hrubá</w:t>
            </w:r>
            <w:proofErr w:type="gramEnd"/>
            <w:r w:rsidRPr="00360DE3">
              <w:rPr>
                <w:b/>
              </w:rPr>
              <w:t xml:space="preserve"> přidaná hodnota vybraných finančních institucí </w:t>
            </w:r>
          </w:p>
          <w:p w:rsidR="00C96D08" w:rsidRPr="00360DE3" w:rsidRDefault="00C96D08" w:rsidP="001D198A">
            <w:pPr>
              <w:spacing w:after="0"/>
              <w:rPr>
                <w:b/>
              </w:rPr>
            </w:pPr>
            <w:r w:rsidRPr="00360DE3">
              <w:t>(meziroční změna v mld. korun)</w:t>
            </w:r>
          </w:p>
        </w:tc>
      </w:tr>
      <w:tr w:rsidR="00C96D08" w:rsidRPr="00360DE3" w:rsidTr="002B213A">
        <w:trPr>
          <w:trHeight w:val="170"/>
        </w:trPr>
        <w:tc>
          <w:tcPr>
            <w:tcW w:w="1909" w:type="dxa"/>
            <w:vMerge/>
            <w:shd w:val="clear" w:color="auto" w:fill="auto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64" w:type="dxa"/>
            <w:vMerge/>
            <w:shd w:val="clear" w:color="auto" w:fill="auto"/>
          </w:tcPr>
          <w:p w:rsidR="00C96D08" w:rsidRPr="00360DE3" w:rsidRDefault="00C96D08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C96D08" w:rsidRPr="00360DE3" w:rsidRDefault="00C96D08" w:rsidP="002B213A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96D08" w:rsidRPr="00360DE3" w:rsidTr="002B213A">
        <w:trPr>
          <w:trHeight w:val="170"/>
        </w:trPr>
        <w:tc>
          <w:tcPr>
            <w:tcW w:w="1909" w:type="dxa"/>
            <w:vMerge/>
            <w:shd w:val="clear" w:color="auto" w:fill="auto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64" w:type="dxa"/>
            <w:vMerge/>
            <w:shd w:val="clear" w:color="auto" w:fill="auto"/>
          </w:tcPr>
          <w:p w:rsidR="00C96D08" w:rsidRPr="00360DE3" w:rsidRDefault="00C96D08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C96D08" w:rsidRPr="00360DE3" w:rsidRDefault="00C96D08" w:rsidP="002B213A">
            <w:pPr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>Zdroj: ČSÚ</w:t>
            </w:r>
          </w:p>
        </w:tc>
      </w:tr>
      <w:tr w:rsidR="00C96D08" w:rsidRPr="00360DE3" w:rsidTr="002B213A">
        <w:trPr>
          <w:trHeight w:val="145"/>
        </w:trPr>
        <w:tc>
          <w:tcPr>
            <w:tcW w:w="1909" w:type="dxa"/>
            <w:shd w:val="clear" w:color="auto" w:fill="auto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Růst hrubé přidané hodnoty v sektoru finančních institucí zaostával za zbytkem ekonomiky a zejména nefinančními podniky.</w:t>
            </w:r>
          </w:p>
        </w:tc>
        <w:tc>
          <w:tcPr>
            <w:tcW w:w="264" w:type="dxa"/>
            <w:shd w:val="clear" w:color="auto" w:fill="auto"/>
          </w:tcPr>
          <w:p w:rsidR="00C96D08" w:rsidRPr="00360DE3" w:rsidRDefault="00C96D08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C96D08" w:rsidRPr="00360DE3" w:rsidRDefault="00C96D08" w:rsidP="002B213A">
            <w:r w:rsidRPr="00360DE3">
              <w:t xml:space="preserve">Samotná hrubá přidaná hodnota (HPH) finančních institucí loni dosáhla 174,9 mld. korun a meziročně se zvýšila o 2,6 mld. Celkově se sektor podílel na hrubé přidané hodnotě národního hospodářství 3,9 %, což je nejméně od roku 2007. Recese, která přišla po roce 2008, postihla zejména sektor nefinančních podniků a až do roku 2010 nepřerušila prudký růst HPH finančních institucí. Podíl finančního sektoru na HPH tak rostl (vrcholu dosáhl v roce 2010, v posledních čtyřech letech klesal s tím, jak nová konjunktura podpořila nefinanční podniky). Zároveň růstová dynamika HPH finančních institucí v posledních čtyřech letech zaostávala za zbytkem ekonomiky. Stagnující ziskovost by mohla stimulovat vyšší investiční aktivita v sektoru. Výdaje na tvorbu hrubého fixního kapitálu zde v loňském roce nominálně narostly o 5,4 mld. korun (14,9 %). Tento výsledek navazuje na </w:t>
            </w:r>
            <w:r w:rsidRPr="00360DE3">
              <w:lastRenderedPageBreak/>
              <w:t>předchozí dva roky, kdy meziroční přírůstky rovněž dosahovaly dvouciferného tempa. Přímým následkem bylo rychlé zvýšení míry investic</w:t>
            </w:r>
            <w:r w:rsidRPr="00360DE3">
              <w:rPr>
                <w:rStyle w:val="Znakapoznpodarou"/>
              </w:rPr>
              <w:footnoteReference w:id="3"/>
            </w:r>
            <w:r w:rsidRPr="00360DE3">
              <w:t xml:space="preserve"> v sektoru. Ta loni dosáhla 23,8 % (meziroční nárůst o 1,8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., nárůst od roku 2014 o 7,3 p. </w:t>
            </w:r>
            <w:proofErr w:type="spellStart"/>
            <w:r w:rsidRPr="00360DE3">
              <w:t>b</w:t>
            </w:r>
            <w:proofErr w:type="spellEnd"/>
            <w:r w:rsidRPr="00360DE3">
              <w:t>.). Investice finančních institucí jsou převážně zaměřeny na počítačové a softwarové vybavení. Elektronizace bankovnictví a finančnictví pak může mít přímý dopad ve formě poklesu počtu pracovníků v sektoru.</w:t>
            </w:r>
          </w:p>
        </w:tc>
      </w:tr>
      <w:tr w:rsidR="00C96D08" w:rsidRPr="00360DE3" w:rsidTr="002B213A">
        <w:trPr>
          <w:trHeight w:val="145"/>
        </w:trPr>
        <w:tc>
          <w:tcPr>
            <w:tcW w:w="1909" w:type="dxa"/>
            <w:shd w:val="clear" w:color="auto" w:fill="auto"/>
          </w:tcPr>
          <w:p w:rsidR="00C96D08" w:rsidRPr="00360DE3" w:rsidRDefault="00C96D08" w:rsidP="00C466D2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Loni u finančních institucí klesala zaměstnanost,</w:t>
            </w:r>
            <w:r w:rsidR="00C466D2" w:rsidRPr="00360DE3">
              <w:rPr>
                <w:spacing w:val="0"/>
              </w:rPr>
              <w:t xml:space="preserve"> což společně s mírným růstem průměrné mzdy v sektoru vedlo ke stagnaci objemu vyplacených mzdových prostředků.</w:t>
            </w:r>
          </w:p>
        </w:tc>
        <w:tc>
          <w:tcPr>
            <w:tcW w:w="264" w:type="dxa"/>
            <w:shd w:val="clear" w:color="auto" w:fill="auto"/>
          </w:tcPr>
          <w:p w:rsidR="00C96D08" w:rsidRPr="00360DE3" w:rsidRDefault="00C96D08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C96D08" w:rsidRPr="00D52BE2" w:rsidRDefault="00C96D08" w:rsidP="00C466D2">
            <w:pPr>
              <w:rPr>
                <w:spacing w:val="-2"/>
              </w:rPr>
            </w:pPr>
            <w:r w:rsidRPr="00D52BE2">
              <w:rPr>
                <w:spacing w:val="-2"/>
              </w:rPr>
              <w:t>Celková zaměstnanost</w:t>
            </w:r>
            <w:r w:rsidRPr="00D52BE2">
              <w:rPr>
                <w:rStyle w:val="Znakapoznpodarou"/>
                <w:spacing w:val="-2"/>
              </w:rPr>
              <w:footnoteReference w:id="4"/>
            </w:r>
            <w:r w:rsidRPr="00D52BE2">
              <w:rPr>
                <w:spacing w:val="-2"/>
              </w:rPr>
              <w:t xml:space="preserve"> v sektoru finančních institucí v posledních šesti letech kolísala mezi 72 a 74 tis. osob. V loňském roce zde bylo zaměstnáno 71,5 tis. osob, což znamená meziroční pokles o 2,4 tis. (-3,2 %). Finanční sektor se podílel na celkové zaměstnanosti 1,4 %. To je stejn</w:t>
            </w:r>
            <w:r w:rsidR="00C466D2" w:rsidRPr="00D52BE2">
              <w:rPr>
                <w:spacing w:val="-2"/>
              </w:rPr>
              <w:t>ě</w:t>
            </w:r>
            <w:r w:rsidRPr="00D52BE2">
              <w:rPr>
                <w:spacing w:val="-2"/>
              </w:rPr>
              <w:t xml:space="preserve"> jako v roce 20</w:t>
            </w:r>
            <w:r w:rsidR="00DF7AD4" w:rsidRPr="00D52BE2">
              <w:rPr>
                <w:spacing w:val="-2"/>
              </w:rPr>
              <w:t>16. Vývoj zaměstnanosti u </w:t>
            </w:r>
            <w:r w:rsidRPr="00D52BE2">
              <w:rPr>
                <w:spacing w:val="-2"/>
              </w:rPr>
              <w:t>finančních institucí byl v protikladu jak s celou ekonomikou, kde se celková zaměstnanost zvyšovala o 1,2 %, tak se sektorem</w:t>
            </w:r>
            <w:r w:rsidR="00DF7AD4" w:rsidRPr="00D52BE2">
              <w:rPr>
                <w:spacing w:val="-2"/>
              </w:rPr>
              <w:t xml:space="preserve"> nefinančních podniků (nárůst o </w:t>
            </w:r>
            <w:r w:rsidRPr="00D52BE2">
              <w:rPr>
                <w:spacing w:val="-2"/>
              </w:rPr>
              <w:t>1,7</w:t>
            </w:r>
            <w:r w:rsidR="00D52BE2" w:rsidRPr="00360DE3">
              <w:t> </w:t>
            </w:r>
            <w:r w:rsidRPr="00D52BE2">
              <w:rPr>
                <w:spacing w:val="-2"/>
              </w:rPr>
              <w:t>%).</w:t>
            </w:r>
            <w:r w:rsidR="00C466D2" w:rsidRPr="00D52BE2">
              <w:rPr>
                <w:spacing w:val="-2"/>
              </w:rPr>
              <w:t xml:space="preserve"> Objem vyplacených mezd a platů ve finančních institucích loni dosá</w:t>
            </w:r>
            <w:r w:rsidR="00DF7AD4" w:rsidRPr="00D52BE2">
              <w:rPr>
                <w:spacing w:val="-2"/>
              </w:rPr>
              <w:t>hl 47,1 </w:t>
            </w:r>
            <w:r w:rsidR="00C466D2" w:rsidRPr="00D52BE2">
              <w:rPr>
                <w:spacing w:val="-2"/>
              </w:rPr>
              <w:t>mld. korun. Meziroční navýšení dosáhlo jen</w:t>
            </w:r>
            <w:r w:rsidR="00DF7AD4" w:rsidRPr="00D52BE2">
              <w:rPr>
                <w:spacing w:val="-2"/>
              </w:rPr>
              <w:t xml:space="preserve"> 0,2 mld. korun (0,5 %). Mzdy a </w:t>
            </w:r>
            <w:r w:rsidR="00C466D2" w:rsidRPr="00D52BE2">
              <w:rPr>
                <w:spacing w:val="-2"/>
              </w:rPr>
              <w:t xml:space="preserve">platy ve finančním sektoru tvořily 3,0 % z celkového vyplaceného objemu v ekonomice. Tento ukazatel meziročně poklesl o 0,2 p. </w:t>
            </w:r>
            <w:proofErr w:type="spellStart"/>
            <w:r w:rsidR="00C466D2" w:rsidRPr="00D52BE2">
              <w:rPr>
                <w:spacing w:val="-2"/>
              </w:rPr>
              <w:t>b</w:t>
            </w:r>
            <w:proofErr w:type="spellEnd"/>
            <w:r w:rsidR="00C466D2" w:rsidRPr="00D52BE2">
              <w:rPr>
                <w:spacing w:val="-2"/>
              </w:rPr>
              <w:t>. Průměrná mzda ve finančním sektoru je značně vyšší než u nefinančních podniků (1,4 % zaměstnanců v ekonomice plyne 3,0</w:t>
            </w:r>
            <w:r w:rsidR="00D52BE2" w:rsidRPr="00360DE3">
              <w:t> </w:t>
            </w:r>
            <w:r w:rsidR="00C466D2" w:rsidRPr="00D52BE2">
              <w:rPr>
                <w:spacing w:val="-2"/>
              </w:rPr>
              <w:t>% mzdových prostředků), její růst však loni zaostával za celkovým průměrem v ekonomice. To potvrzuje hodnota průměrné mzdy ve finančnictví a pojišťovnictví (CZ-NACE K), která loni činila 51 928 korun</w:t>
            </w:r>
            <w:r w:rsidR="00C466D2" w:rsidRPr="00D52BE2">
              <w:rPr>
                <w:rStyle w:val="Znakapoznpodarou"/>
                <w:rFonts w:eastAsia="MS Gothic"/>
                <w:spacing w:val="-2"/>
              </w:rPr>
              <w:footnoteReference w:id="5"/>
            </w:r>
            <w:r w:rsidR="00C466D2" w:rsidRPr="00D52BE2">
              <w:rPr>
                <w:spacing w:val="-2"/>
              </w:rPr>
              <w:t xml:space="preserve"> (druhá nejvyšší průměrná mzda v ekonomice), její meziroční navýšení však dosáhlo jen 3,6 %.</w:t>
            </w:r>
          </w:p>
        </w:tc>
      </w:tr>
      <w:tr w:rsidR="00C96D08" w:rsidRPr="00360DE3" w:rsidTr="002B213A">
        <w:trPr>
          <w:trHeight w:val="212"/>
        </w:trPr>
        <w:tc>
          <w:tcPr>
            <w:tcW w:w="1909" w:type="dxa"/>
            <w:shd w:val="clear" w:color="auto" w:fill="auto"/>
          </w:tcPr>
          <w:p w:rsidR="00C96D08" w:rsidRPr="00360DE3" w:rsidRDefault="00C96D08" w:rsidP="002B213A">
            <w:pPr>
              <w:pStyle w:val="Marginlie"/>
              <w:spacing w:after="240"/>
              <w:rPr>
                <w:spacing w:val="0"/>
              </w:rPr>
            </w:pPr>
            <w:r w:rsidRPr="00360DE3">
              <w:rPr>
                <w:spacing w:val="0"/>
              </w:rPr>
              <w:t>V měnové oblasti došlo k několika významným změnám.</w:t>
            </w:r>
          </w:p>
        </w:tc>
        <w:tc>
          <w:tcPr>
            <w:tcW w:w="264" w:type="dxa"/>
            <w:shd w:val="clear" w:color="auto" w:fill="auto"/>
          </w:tcPr>
          <w:p w:rsidR="00C96D08" w:rsidRPr="00360DE3" w:rsidRDefault="00C96D08" w:rsidP="002B213A">
            <w:pPr>
              <w:pStyle w:val="Textpoznpodarou1"/>
              <w:spacing w:after="240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C96D08" w:rsidRPr="00360DE3" w:rsidRDefault="00C96D08" w:rsidP="002B213A">
            <w:r w:rsidRPr="00360DE3">
              <w:t>V loňském roce došlo k několika významným změnám měnových podmínek, které se následně promítaly do činností finančního sektoru. Tou nejvýznamnější bylo ukončení kurzových intervencí a následný přechod do standardního režimu měnové politiky</w:t>
            </w:r>
            <w:r w:rsidRPr="00360DE3">
              <w:rPr>
                <w:rStyle w:val="Znakapoznpodarou"/>
              </w:rPr>
              <w:footnoteReference w:id="6"/>
            </w:r>
            <w:r w:rsidRPr="00360DE3">
              <w:t xml:space="preserve">. Od listopadu 2012 až do srpna 2017 setrvávaly </w:t>
            </w:r>
            <w:proofErr w:type="spellStart"/>
            <w:r w:rsidRPr="00360DE3">
              <w:t>měnověpolitické</w:t>
            </w:r>
            <w:proofErr w:type="spellEnd"/>
            <w:r w:rsidRPr="00360DE3">
              <w:t xml:space="preserve"> sazby na technické nule. Na počátku srpna byla navýšena </w:t>
            </w:r>
            <w:proofErr w:type="spellStart"/>
            <w:r w:rsidR="00D52BE2">
              <w:t>repo</w:t>
            </w:r>
            <w:proofErr w:type="spellEnd"/>
            <w:r w:rsidR="00D52BE2">
              <w:t xml:space="preserve"> sazba z 0,05 % na 0,25 % a</w:t>
            </w:r>
            <w:r w:rsidR="00D52BE2" w:rsidRPr="00360DE3">
              <w:t> </w:t>
            </w:r>
            <w:r w:rsidRPr="00360DE3">
              <w:t xml:space="preserve">lombardní sazba z 0,25 % na 0,50 %. Další posun nastal v listopadu. Obě sazby byly zdvojnásobeny. Zvýšení sazeb proběhlo poprvé od roku 2008. V návaznosti na diskuze o stabilitě finančního systému se ČNB rozhodla k aplikaci několika nástrojů tzv. </w:t>
            </w:r>
            <w:proofErr w:type="spellStart"/>
            <w:r w:rsidRPr="00360DE3">
              <w:t>makroobezřetnostní</w:t>
            </w:r>
            <w:proofErr w:type="spellEnd"/>
            <w:r w:rsidRPr="00360DE3">
              <w:t xml:space="preserve"> politiky. Nejviditelnější změnou bylo zpřísnění doporučení týkajících se poskytování hypotečních úvěrů. Šlo především o omezení výše poměru půjčované částky vůči hodnotě nemovitosti. Méně viditelnou změnou bylo zvýšení sazby kapitálové rezervy pro některé banky. Vzhledem k vrcholícímu hospodářskému cyklu bylo na konci roku 2017 vyhlášeno i zvýšení sazby </w:t>
            </w:r>
            <w:proofErr w:type="spellStart"/>
            <w:r w:rsidRPr="00360DE3">
              <w:t>proticyklické</w:t>
            </w:r>
            <w:proofErr w:type="spellEnd"/>
            <w:r w:rsidRPr="00360DE3">
              <w:t xml:space="preserve"> kapitálové rezervy s platností od 1. 7. 2018 (z 0,5 % na 1,0 %, další zvýšení na 1,25 % od 1. 1. 2019).</w:t>
            </w:r>
          </w:p>
        </w:tc>
      </w:tr>
      <w:tr w:rsidR="00C96D08" w:rsidRPr="00360DE3" w:rsidTr="002B213A">
        <w:trPr>
          <w:trHeight w:val="145"/>
        </w:trPr>
        <w:tc>
          <w:tcPr>
            <w:tcW w:w="1909" w:type="dxa"/>
            <w:shd w:val="clear" w:color="auto" w:fill="auto"/>
          </w:tcPr>
          <w:p w:rsidR="00C96D08" w:rsidRPr="00360DE3" w:rsidRDefault="00C96D08" w:rsidP="002B213A">
            <w:pPr>
              <w:pStyle w:val="Marginlie"/>
              <w:spacing w:after="240"/>
              <w:rPr>
                <w:spacing w:val="0"/>
              </w:rPr>
            </w:pPr>
          </w:p>
        </w:tc>
        <w:tc>
          <w:tcPr>
            <w:tcW w:w="264" w:type="dxa"/>
            <w:shd w:val="clear" w:color="auto" w:fill="auto"/>
          </w:tcPr>
          <w:p w:rsidR="00C96D08" w:rsidRPr="00360DE3" w:rsidRDefault="00C96D08" w:rsidP="002B213A">
            <w:pPr>
              <w:pStyle w:val="Textpoznpodarou1"/>
              <w:jc w:val="both"/>
            </w:pPr>
          </w:p>
        </w:tc>
        <w:tc>
          <w:tcPr>
            <w:tcW w:w="7471" w:type="dxa"/>
            <w:shd w:val="clear" w:color="auto" w:fill="auto"/>
          </w:tcPr>
          <w:p w:rsidR="00C96D08" w:rsidRPr="00360DE3" w:rsidRDefault="00C96D08" w:rsidP="002B213A">
            <w:pPr>
              <w:spacing w:after="0"/>
            </w:pPr>
            <w:r w:rsidRPr="00360DE3">
              <w:t xml:space="preserve">Na zvýšení </w:t>
            </w:r>
            <w:proofErr w:type="spellStart"/>
            <w:r w:rsidRPr="00360DE3">
              <w:t>měnověpolitických</w:t>
            </w:r>
            <w:proofErr w:type="spellEnd"/>
            <w:r w:rsidRPr="00360DE3">
              <w:t xml:space="preserve"> sazeb reagovaly i úrokové sazby mezibankovního trhu, které se držely na minimálních hodnotách několik předchozích let. Ke konci roku tak tříměsíční sazba PRIBOR dosahovala 0,75 % (meziroční nárůst o 0,47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.) a roční PRIBOR činil 0,96 % (+0,51 p. </w:t>
            </w:r>
            <w:proofErr w:type="spellStart"/>
            <w:r w:rsidRPr="00360DE3">
              <w:t>b</w:t>
            </w:r>
            <w:proofErr w:type="spellEnd"/>
            <w:r w:rsidRPr="00360DE3">
              <w:t>.). Zvýšení mezibankovních sazeb však loni nepocítili klienti z řad domácností ani podniků na svých účtech, kde úročení setrvávalo na minimálních hodnotách. U půjček k jistým posunům docházelo. Mírně se zvyšovaly úrokové sazby na hypotečních úvěrech, zdražily i půjčky pro podniky. Naopak u spotřebních úvěrů pro domácnosti úročení klesalo a poprvé se tak dostalo pod hranici 10 %.</w:t>
            </w:r>
          </w:p>
        </w:tc>
      </w:tr>
    </w:tbl>
    <w:p w:rsidR="00F46502" w:rsidRPr="00072056" w:rsidRDefault="00F46502" w:rsidP="00072056">
      <w:pPr>
        <w:pStyle w:val="Nadpis1"/>
        <w:rPr>
          <w:sz w:val="2"/>
          <w:szCs w:val="2"/>
        </w:rPr>
      </w:pPr>
    </w:p>
    <w:sectPr w:rsidR="00F46502" w:rsidRPr="00072056" w:rsidSect="0007205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F5" w:rsidRDefault="00CA5BF5" w:rsidP="00E71A58">
      <w:r>
        <w:separator/>
      </w:r>
    </w:p>
  </w:endnote>
  <w:endnote w:type="continuationSeparator" w:id="0">
    <w:p w:rsidR="00CA5BF5" w:rsidRDefault="00CA5BF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7433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217433" w:rsidRPr="00932443">
      <w:rPr>
        <w:szCs w:val="16"/>
      </w:rPr>
      <w:fldChar w:fldCharType="separate"/>
    </w:r>
    <w:r w:rsidR="00072056">
      <w:rPr>
        <w:szCs w:val="16"/>
      </w:rPr>
      <w:t>40</w:t>
    </w:r>
    <w:r w:rsidR="00217433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217433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217433" w:rsidRPr="00932443">
      <w:rPr>
        <w:rStyle w:val="ZpatChar"/>
        <w:szCs w:val="16"/>
      </w:rPr>
      <w:fldChar w:fldCharType="separate"/>
    </w:r>
    <w:r w:rsidR="00072056">
      <w:rPr>
        <w:rStyle w:val="ZpatChar"/>
        <w:szCs w:val="16"/>
      </w:rPr>
      <w:t>39</w:t>
    </w:r>
    <w:r w:rsidR="00217433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F5" w:rsidRDefault="00CA5BF5" w:rsidP="00E71A58">
      <w:r>
        <w:separator/>
      </w:r>
    </w:p>
  </w:footnote>
  <w:footnote w:type="continuationSeparator" w:id="0">
    <w:p w:rsidR="00CA5BF5" w:rsidRDefault="00CA5BF5" w:rsidP="00E71A58">
      <w:r>
        <w:continuationSeparator/>
      </w:r>
    </w:p>
  </w:footnote>
  <w:footnote w:id="1">
    <w:p w:rsidR="00C805DC" w:rsidRPr="00631300" w:rsidRDefault="00C805DC" w:rsidP="00C96D08">
      <w:pPr>
        <w:pStyle w:val="Textpoznpodarou"/>
        <w:rPr>
          <w:sz w:val="16"/>
          <w:szCs w:val="16"/>
        </w:rPr>
      </w:pPr>
      <w:r w:rsidRPr="00631300">
        <w:rPr>
          <w:rStyle w:val="Znakapoznpodarou"/>
          <w:sz w:val="16"/>
          <w:szCs w:val="16"/>
        </w:rPr>
        <w:footnoteRef/>
      </w:r>
      <w:r w:rsidRPr="00631300">
        <w:rPr>
          <w:sz w:val="16"/>
          <w:szCs w:val="16"/>
        </w:rPr>
        <w:t xml:space="preserve"> Z</w:t>
      </w:r>
      <w:r w:rsidRPr="00631300">
        <w:rPr>
          <w:rStyle w:val="odkaz-style-wrapper"/>
          <w:rFonts w:ascii="Arial CE" w:hAnsi="Arial CE"/>
          <w:sz w:val="16"/>
          <w:szCs w:val="16"/>
        </w:rPr>
        <w:t>ákladní činností finančních institucí je finanční zprostředkování nebo finanční pomocná činnost; jsou to např. banky, úvěrová družstva, investiční fondy a společnosti, finančně leasingové společnosti, holdingové finanční společnosti, burzy n</w:t>
      </w:r>
      <w:r>
        <w:rPr>
          <w:rStyle w:val="odkaz-style-wrapper"/>
          <w:rFonts w:ascii="Arial CE" w:hAnsi="Arial CE"/>
          <w:sz w:val="16"/>
          <w:szCs w:val="16"/>
        </w:rPr>
        <w:t>ebo pojišťovny a penzijní fondy. Kromě komerčních subjektů je do sektoru finančních institucí zahrnuta i centrální banka, její podíl na HPH celého sektoru tvoří přibližně 1 %.</w:t>
      </w:r>
    </w:p>
  </w:footnote>
  <w:footnote w:id="2">
    <w:p w:rsidR="00C805DC" w:rsidRPr="001A7ADD" w:rsidRDefault="00C805DC" w:rsidP="00C96D08">
      <w:pPr>
        <w:pStyle w:val="Textpoznpodarou"/>
        <w:rPr>
          <w:sz w:val="16"/>
          <w:szCs w:val="16"/>
        </w:rPr>
      </w:pPr>
      <w:r w:rsidRPr="001A7ADD">
        <w:rPr>
          <w:rStyle w:val="Znakapoznpodarou"/>
          <w:sz w:val="16"/>
          <w:szCs w:val="16"/>
        </w:rPr>
        <w:footnoteRef/>
      </w:r>
      <w:r w:rsidRPr="001A7ADD">
        <w:rPr>
          <w:sz w:val="16"/>
          <w:szCs w:val="16"/>
        </w:rPr>
        <w:t xml:space="preserve"> Podíl hrubého provozního přebytku na hrubé přidané hodnotě.</w:t>
      </w:r>
    </w:p>
  </w:footnote>
  <w:footnote w:id="3">
    <w:p w:rsidR="00C805DC" w:rsidRPr="003F0B1D" w:rsidRDefault="00C805DC" w:rsidP="00C96D08">
      <w:pPr>
        <w:pStyle w:val="Textpoznpodarou"/>
        <w:rPr>
          <w:sz w:val="16"/>
          <w:szCs w:val="16"/>
        </w:rPr>
      </w:pPr>
      <w:r w:rsidRPr="003F0B1D">
        <w:rPr>
          <w:rStyle w:val="Znakapoznpodarou"/>
          <w:sz w:val="16"/>
          <w:szCs w:val="16"/>
        </w:rPr>
        <w:footnoteRef/>
      </w:r>
      <w:r w:rsidRPr="003F0B1D">
        <w:rPr>
          <w:sz w:val="16"/>
          <w:szCs w:val="16"/>
        </w:rPr>
        <w:t xml:space="preserve"> Podíl výdajů na tvorbu hrubého fixního kapitálu a hrubé přidané hodnoty.</w:t>
      </w:r>
    </w:p>
  </w:footnote>
  <w:footnote w:id="4">
    <w:p w:rsidR="00C805DC" w:rsidRPr="00351C06" w:rsidRDefault="00C805DC" w:rsidP="00C96D08">
      <w:pPr>
        <w:pStyle w:val="Textpoznpodarou"/>
        <w:rPr>
          <w:sz w:val="16"/>
          <w:szCs w:val="16"/>
        </w:rPr>
      </w:pPr>
      <w:r w:rsidRPr="00351C06">
        <w:rPr>
          <w:rStyle w:val="Znakapoznpodarou"/>
          <w:sz w:val="16"/>
          <w:szCs w:val="16"/>
        </w:rPr>
        <w:footnoteRef/>
      </w:r>
      <w:r w:rsidRPr="00351C06">
        <w:rPr>
          <w:sz w:val="16"/>
          <w:szCs w:val="16"/>
        </w:rPr>
        <w:t xml:space="preserve"> Počet úvazků na plnou pracovní dobu.</w:t>
      </w:r>
    </w:p>
  </w:footnote>
  <w:footnote w:id="5">
    <w:p w:rsidR="00C805DC" w:rsidRPr="00C814FC" w:rsidRDefault="00C805DC" w:rsidP="00C466D2">
      <w:pPr>
        <w:pStyle w:val="Textpoznpodarou"/>
        <w:rPr>
          <w:sz w:val="16"/>
          <w:szCs w:val="16"/>
        </w:rPr>
      </w:pPr>
      <w:r w:rsidRPr="00C814FC">
        <w:rPr>
          <w:rStyle w:val="Znakapoznpodarou"/>
          <w:sz w:val="16"/>
          <w:szCs w:val="16"/>
        </w:rPr>
        <w:footnoteRef/>
      </w:r>
      <w:r w:rsidRPr="00C814FC">
        <w:rPr>
          <w:sz w:val="16"/>
          <w:szCs w:val="16"/>
        </w:rPr>
        <w:t xml:space="preserve"> Průměrná hrubá měsíční mzda na přepočtené počty zaměstnanců</w:t>
      </w:r>
      <w:r>
        <w:rPr>
          <w:sz w:val="16"/>
          <w:szCs w:val="16"/>
        </w:rPr>
        <w:t>, kumulace ze čtvrtletního zjišťování</w:t>
      </w:r>
      <w:r w:rsidRPr="00C814FC">
        <w:rPr>
          <w:sz w:val="16"/>
          <w:szCs w:val="16"/>
        </w:rPr>
        <w:t xml:space="preserve">. </w:t>
      </w:r>
    </w:p>
  </w:footnote>
  <w:footnote w:id="6">
    <w:p w:rsidR="00C805DC" w:rsidRPr="00552C2D" w:rsidRDefault="00C805DC" w:rsidP="00C96D08">
      <w:pPr>
        <w:pStyle w:val="Textpoznpodarou"/>
        <w:rPr>
          <w:sz w:val="16"/>
          <w:szCs w:val="16"/>
        </w:rPr>
      </w:pPr>
      <w:r w:rsidRPr="00552C2D">
        <w:rPr>
          <w:rStyle w:val="Znakapoznpodarou"/>
          <w:sz w:val="16"/>
          <w:szCs w:val="16"/>
        </w:rPr>
        <w:footnoteRef/>
      </w:r>
      <w:r w:rsidRPr="00552C2D">
        <w:rPr>
          <w:sz w:val="16"/>
          <w:szCs w:val="16"/>
        </w:rPr>
        <w:t xml:space="preserve"> Režim využívající úrokových sazeb k dosažení stanoveného cíle měnové politiky.</w:t>
      </w:r>
      <w:r>
        <w:rPr>
          <w:sz w:val="16"/>
          <w:szCs w:val="16"/>
        </w:rPr>
        <w:t xml:space="preserve"> Pokles </w:t>
      </w:r>
      <w:proofErr w:type="spellStart"/>
      <w:r>
        <w:rPr>
          <w:sz w:val="16"/>
          <w:szCs w:val="16"/>
        </w:rPr>
        <w:t>měnověpolitických</w:t>
      </w:r>
      <w:proofErr w:type="spellEnd"/>
      <w:r>
        <w:rPr>
          <w:sz w:val="16"/>
          <w:szCs w:val="16"/>
        </w:rPr>
        <w:t xml:space="preserve"> úrokových sazeb na tzv. technickou nulu v mnoha zemích znemožňoval tuto standardní cestu. Jedním z možných řešení bylo využití kurzu jako alternativního měnového nástroje.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601A2E" w:rsidRDefault="00C805DC" w:rsidP="00601A2E">
    <w:pPr>
      <w:pStyle w:val="Zhlav"/>
    </w:pPr>
    <w:r>
      <w:t>Analýza ekonomického vývoje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Default="00C805DC" w:rsidP="00937AE2">
    <w:pPr>
      <w:pStyle w:val="Zhlav"/>
    </w:pPr>
    <w:r>
      <w:t>Analýza ekonomického vývoje v roce 2017</w:t>
    </w:r>
  </w:p>
  <w:p w:rsidR="00C805DC" w:rsidRPr="006F5416" w:rsidRDefault="00C805D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502"/>
    <w:rsid w:val="0000209D"/>
    <w:rsid w:val="0000437D"/>
    <w:rsid w:val="00004D5A"/>
    <w:rsid w:val="000056D5"/>
    <w:rsid w:val="00006ABD"/>
    <w:rsid w:val="0000767A"/>
    <w:rsid w:val="00007BEF"/>
    <w:rsid w:val="00010256"/>
    <w:rsid w:val="00010702"/>
    <w:rsid w:val="00011912"/>
    <w:rsid w:val="0002195D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7A82"/>
    <w:rsid w:val="000712B3"/>
    <w:rsid w:val="00072056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14E"/>
    <w:rsid w:val="000D5637"/>
    <w:rsid w:val="000E6FBD"/>
    <w:rsid w:val="000F030B"/>
    <w:rsid w:val="00100F5C"/>
    <w:rsid w:val="0010106F"/>
    <w:rsid w:val="00101CDA"/>
    <w:rsid w:val="00104C4C"/>
    <w:rsid w:val="00117623"/>
    <w:rsid w:val="0012192F"/>
    <w:rsid w:val="00125D69"/>
    <w:rsid w:val="001405FA"/>
    <w:rsid w:val="00141782"/>
    <w:rsid w:val="001425C3"/>
    <w:rsid w:val="001528B9"/>
    <w:rsid w:val="001612F4"/>
    <w:rsid w:val="00162312"/>
    <w:rsid w:val="0016256B"/>
    <w:rsid w:val="00162A7A"/>
    <w:rsid w:val="00163793"/>
    <w:rsid w:val="001706D6"/>
    <w:rsid w:val="001714F2"/>
    <w:rsid w:val="001730A6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52F"/>
    <w:rsid w:val="001B2CA9"/>
    <w:rsid w:val="001B3110"/>
    <w:rsid w:val="001B4729"/>
    <w:rsid w:val="001B6310"/>
    <w:rsid w:val="001B6C09"/>
    <w:rsid w:val="001C05CD"/>
    <w:rsid w:val="001C1B66"/>
    <w:rsid w:val="001D198A"/>
    <w:rsid w:val="001D463E"/>
    <w:rsid w:val="001D68B2"/>
    <w:rsid w:val="001D70E9"/>
    <w:rsid w:val="001E504C"/>
    <w:rsid w:val="001F4597"/>
    <w:rsid w:val="00203DA4"/>
    <w:rsid w:val="002052C6"/>
    <w:rsid w:val="002118B9"/>
    <w:rsid w:val="00217433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B06"/>
    <w:rsid w:val="002436BA"/>
    <w:rsid w:val="00244A15"/>
    <w:rsid w:val="00247319"/>
    <w:rsid w:val="0024799E"/>
    <w:rsid w:val="00253C0F"/>
    <w:rsid w:val="002558C1"/>
    <w:rsid w:val="0026207F"/>
    <w:rsid w:val="0026743D"/>
    <w:rsid w:val="00271465"/>
    <w:rsid w:val="00274037"/>
    <w:rsid w:val="00285412"/>
    <w:rsid w:val="00291640"/>
    <w:rsid w:val="002A16D4"/>
    <w:rsid w:val="002A230C"/>
    <w:rsid w:val="002A5D97"/>
    <w:rsid w:val="002B2127"/>
    <w:rsid w:val="002B213A"/>
    <w:rsid w:val="002B38B8"/>
    <w:rsid w:val="002B4845"/>
    <w:rsid w:val="002B6B06"/>
    <w:rsid w:val="002C43BD"/>
    <w:rsid w:val="002D0E59"/>
    <w:rsid w:val="002E02A1"/>
    <w:rsid w:val="002E4E4C"/>
    <w:rsid w:val="00303533"/>
    <w:rsid w:val="00304771"/>
    <w:rsid w:val="003052D4"/>
    <w:rsid w:val="00306C5B"/>
    <w:rsid w:val="003209D6"/>
    <w:rsid w:val="00321924"/>
    <w:rsid w:val="0032656E"/>
    <w:rsid w:val="00330060"/>
    <w:rsid w:val="00332190"/>
    <w:rsid w:val="00336E03"/>
    <w:rsid w:val="0034335E"/>
    <w:rsid w:val="00344668"/>
    <w:rsid w:val="003462D9"/>
    <w:rsid w:val="00347378"/>
    <w:rsid w:val="00360C86"/>
    <w:rsid w:val="00360DE3"/>
    <w:rsid w:val="00360FBC"/>
    <w:rsid w:val="00362E90"/>
    <w:rsid w:val="00363FF4"/>
    <w:rsid w:val="00364FA0"/>
    <w:rsid w:val="003657F3"/>
    <w:rsid w:val="003818DC"/>
    <w:rsid w:val="00384327"/>
    <w:rsid w:val="00385D3E"/>
    <w:rsid w:val="00385D98"/>
    <w:rsid w:val="003870EE"/>
    <w:rsid w:val="00392244"/>
    <w:rsid w:val="003A2B4D"/>
    <w:rsid w:val="003A2D12"/>
    <w:rsid w:val="003A478C"/>
    <w:rsid w:val="003A5525"/>
    <w:rsid w:val="003A6B38"/>
    <w:rsid w:val="003B4331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25C6"/>
    <w:rsid w:val="00427E07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1976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3F18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E02EB"/>
    <w:rsid w:val="004E326C"/>
    <w:rsid w:val="004F06F5"/>
    <w:rsid w:val="004F16F7"/>
    <w:rsid w:val="004F33A0"/>
    <w:rsid w:val="0050689D"/>
    <w:rsid w:val="005108C0"/>
    <w:rsid w:val="00511873"/>
    <w:rsid w:val="00512A2F"/>
    <w:rsid w:val="00513B7E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3EB8"/>
    <w:rsid w:val="005647BF"/>
    <w:rsid w:val="00564AF1"/>
    <w:rsid w:val="0057364B"/>
    <w:rsid w:val="00574773"/>
    <w:rsid w:val="00583FFD"/>
    <w:rsid w:val="005911BE"/>
    <w:rsid w:val="00593152"/>
    <w:rsid w:val="005A10F2"/>
    <w:rsid w:val="005A21E0"/>
    <w:rsid w:val="005A28FF"/>
    <w:rsid w:val="005A2C7B"/>
    <w:rsid w:val="005A3DF8"/>
    <w:rsid w:val="005A5549"/>
    <w:rsid w:val="005A7666"/>
    <w:rsid w:val="005B08EB"/>
    <w:rsid w:val="005B121D"/>
    <w:rsid w:val="005C06ED"/>
    <w:rsid w:val="005C2609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075F4"/>
    <w:rsid w:val="00607FF4"/>
    <w:rsid w:val="006104FB"/>
    <w:rsid w:val="0061249B"/>
    <w:rsid w:val="00612A2F"/>
    <w:rsid w:val="00616E05"/>
    <w:rsid w:val="00624093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36CB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1493"/>
    <w:rsid w:val="0074369B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3C17"/>
    <w:rsid w:val="00785232"/>
    <w:rsid w:val="00790764"/>
    <w:rsid w:val="0079453C"/>
    <w:rsid w:val="00794677"/>
    <w:rsid w:val="007A516D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708D"/>
    <w:rsid w:val="00801E13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46121"/>
    <w:rsid w:val="0084708F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5E4C"/>
    <w:rsid w:val="008701E4"/>
    <w:rsid w:val="00875A32"/>
    <w:rsid w:val="00876086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A60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40B7"/>
    <w:rsid w:val="0095759C"/>
    <w:rsid w:val="00974923"/>
    <w:rsid w:val="00980D3D"/>
    <w:rsid w:val="00987A30"/>
    <w:rsid w:val="00992CF3"/>
    <w:rsid w:val="009942B6"/>
    <w:rsid w:val="00994868"/>
    <w:rsid w:val="009968D6"/>
    <w:rsid w:val="009A1CAB"/>
    <w:rsid w:val="009A60D1"/>
    <w:rsid w:val="009A7B2E"/>
    <w:rsid w:val="009B6FD3"/>
    <w:rsid w:val="009C03C8"/>
    <w:rsid w:val="009C1750"/>
    <w:rsid w:val="009C2E29"/>
    <w:rsid w:val="009C3ED8"/>
    <w:rsid w:val="009C554B"/>
    <w:rsid w:val="009C719E"/>
    <w:rsid w:val="009D3ACD"/>
    <w:rsid w:val="009E5273"/>
    <w:rsid w:val="009E5DDB"/>
    <w:rsid w:val="009F46EA"/>
    <w:rsid w:val="009F4CA7"/>
    <w:rsid w:val="00A10D66"/>
    <w:rsid w:val="00A14114"/>
    <w:rsid w:val="00A16413"/>
    <w:rsid w:val="00A16E1D"/>
    <w:rsid w:val="00A17D5B"/>
    <w:rsid w:val="00A230A8"/>
    <w:rsid w:val="00A23E43"/>
    <w:rsid w:val="00A25216"/>
    <w:rsid w:val="00A27420"/>
    <w:rsid w:val="00A30F65"/>
    <w:rsid w:val="00A329DF"/>
    <w:rsid w:val="00A35142"/>
    <w:rsid w:val="00A35EA6"/>
    <w:rsid w:val="00A40EAC"/>
    <w:rsid w:val="00A418BC"/>
    <w:rsid w:val="00A46DE0"/>
    <w:rsid w:val="00A4750C"/>
    <w:rsid w:val="00A50D73"/>
    <w:rsid w:val="00A51F19"/>
    <w:rsid w:val="00A52CAD"/>
    <w:rsid w:val="00A537F0"/>
    <w:rsid w:val="00A53FC7"/>
    <w:rsid w:val="00A55161"/>
    <w:rsid w:val="00A62CE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E09B3"/>
    <w:rsid w:val="00AE1A83"/>
    <w:rsid w:val="00AE7FB2"/>
    <w:rsid w:val="00B00913"/>
    <w:rsid w:val="00B01593"/>
    <w:rsid w:val="00B023F2"/>
    <w:rsid w:val="00B10A4D"/>
    <w:rsid w:val="00B120A1"/>
    <w:rsid w:val="00B121D2"/>
    <w:rsid w:val="00B14BC1"/>
    <w:rsid w:val="00B17E71"/>
    <w:rsid w:val="00B17FDE"/>
    <w:rsid w:val="00B20632"/>
    <w:rsid w:val="00B2379C"/>
    <w:rsid w:val="00B2687D"/>
    <w:rsid w:val="00B30358"/>
    <w:rsid w:val="00B32DDB"/>
    <w:rsid w:val="00B34528"/>
    <w:rsid w:val="00B34CC9"/>
    <w:rsid w:val="00B402FC"/>
    <w:rsid w:val="00B40FF9"/>
    <w:rsid w:val="00B42470"/>
    <w:rsid w:val="00B439DA"/>
    <w:rsid w:val="00B46604"/>
    <w:rsid w:val="00B530CD"/>
    <w:rsid w:val="00B55F5E"/>
    <w:rsid w:val="00B57338"/>
    <w:rsid w:val="00B5752E"/>
    <w:rsid w:val="00B63A11"/>
    <w:rsid w:val="00B64C24"/>
    <w:rsid w:val="00B6608F"/>
    <w:rsid w:val="00B679FB"/>
    <w:rsid w:val="00B76D1E"/>
    <w:rsid w:val="00B80EC6"/>
    <w:rsid w:val="00B84CF6"/>
    <w:rsid w:val="00B86F03"/>
    <w:rsid w:val="00B92D1D"/>
    <w:rsid w:val="00B938C5"/>
    <w:rsid w:val="00B95940"/>
    <w:rsid w:val="00BA0DD3"/>
    <w:rsid w:val="00BA6C2B"/>
    <w:rsid w:val="00BB2F03"/>
    <w:rsid w:val="00BB46F3"/>
    <w:rsid w:val="00BB4CB1"/>
    <w:rsid w:val="00BB4F98"/>
    <w:rsid w:val="00BC0E31"/>
    <w:rsid w:val="00BC5C12"/>
    <w:rsid w:val="00BC7154"/>
    <w:rsid w:val="00BC731E"/>
    <w:rsid w:val="00BD163C"/>
    <w:rsid w:val="00BD2211"/>
    <w:rsid w:val="00BD366B"/>
    <w:rsid w:val="00BD6D50"/>
    <w:rsid w:val="00BE18B9"/>
    <w:rsid w:val="00BE2495"/>
    <w:rsid w:val="00BE468E"/>
    <w:rsid w:val="00BE6186"/>
    <w:rsid w:val="00BF1578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17C6"/>
    <w:rsid w:val="00C5390B"/>
    <w:rsid w:val="00C54697"/>
    <w:rsid w:val="00C60191"/>
    <w:rsid w:val="00C6152B"/>
    <w:rsid w:val="00C73885"/>
    <w:rsid w:val="00C747B1"/>
    <w:rsid w:val="00C805DC"/>
    <w:rsid w:val="00C82191"/>
    <w:rsid w:val="00C83134"/>
    <w:rsid w:val="00C85545"/>
    <w:rsid w:val="00C90CF4"/>
    <w:rsid w:val="00C92EB6"/>
    <w:rsid w:val="00C93389"/>
    <w:rsid w:val="00C96D08"/>
    <w:rsid w:val="00CA5BF5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3986"/>
    <w:rsid w:val="00D21D83"/>
    <w:rsid w:val="00D235B7"/>
    <w:rsid w:val="00D25F28"/>
    <w:rsid w:val="00D26071"/>
    <w:rsid w:val="00D27973"/>
    <w:rsid w:val="00D279B8"/>
    <w:rsid w:val="00D32F90"/>
    <w:rsid w:val="00D35E1A"/>
    <w:rsid w:val="00D50F46"/>
    <w:rsid w:val="00D52BE2"/>
    <w:rsid w:val="00D57677"/>
    <w:rsid w:val="00D66223"/>
    <w:rsid w:val="00D8084C"/>
    <w:rsid w:val="00D915EA"/>
    <w:rsid w:val="00D93CE2"/>
    <w:rsid w:val="00D943C6"/>
    <w:rsid w:val="00D965EC"/>
    <w:rsid w:val="00DA7C0C"/>
    <w:rsid w:val="00DB08A9"/>
    <w:rsid w:val="00DB2EC8"/>
    <w:rsid w:val="00DC37E3"/>
    <w:rsid w:val="00DC5B3B"/>
    <w:rsid w:val="00DD129F"/>
    <w:rsid w:val="00DE4C19"/>
    <w:rsid w:val="00DF42FF"/>
    <w:rsid w:val="00DF7AD4"/>
    <w:rsid w:val="00E01C0E"/>
    <w:rsid w:val="00E03F9A"/>
    <w:rsid w:val="00E04694"/>
    <w:rsid w:val="00E04F27"/>
    <w:rsid w:val="00E102BD"/>
    <w:rsid w:val="00E11DE1"/>
    <w:rsid w:val="00E12B1E"/>
    <w:rsid w:val="00E17262"/>
    <w:rsid w:val="00E212C9"/>
    <w:rsid w:val="00E253A2"/>
    <w:rsid w:val="00E3309D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160CE"/>
    <w:rsid w:val="00F162B3"/>
    <w:rsid w:val="00F24407"/>
    <w:rsid w:val="00F24FAA"/>
    <w:rsid w:val="00F3364D"/>
    <w:rsid w:val="00F33E56"/>
    <w:rsid w:val="00F433FE"/>
    <w:rsid w:val="00F437CC"/>
    <w:rsid w:val="00F44537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56DB"/>
    <w:rsid w:val="00F84E7D"/>
    <w:rsid w:val="00F85066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E6609"/>
    <w:rsid w:val="00FF3EE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Ro&#269;n&#237;%20anal&#253;za%202018\Finan&#269;n&#237;%20instituce\ST001201_C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6871833839919001E-2"/>
          <c:y val="3.9316672295395698E-2"/>
          <c:w val="0.91329111786559114"/>
          <c:h val="0.73908026567601071"/>
        </c:manualLayout>
      </c:layout>
      <c:barChart>
        <c:barDir val="col"/>
        <c:grouping val="stacked"/>
        <c:ser>
          <c:idx val="7"/>
          <c:order val="1"/>
          <c:tx>
            <c:strRef>
              <c:f>ST001201_CZ!$W$24</c:f>
              <c:strCache>
                <c:ptCount val="1"/>
                <c:pt idx="0">
                  <c:v>Pojišťovací společnosti</c:v>
                </c:pt>
              </c:strCache>
            </c:strRef>
          </c:tx>
          <c:spPr>
            <a:solidFill>
              <a:srgbClr val="A6CDE8"/>
            </a:solidFill>
          </c:spPr>
          <c:cat>
            <c:numRef>
              <c:f>ST001201_CZ!$AE$16:$AN$16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ST001201_CZ!$AE$24:$AN$24</c:f>
              <c:numCache>
                <c:formatCode>General</c:formatCode>
                <c:ptCount val="10"/>
                <c:pt idx="0">
                  <c:v>4.3049999999999855</c:v>
                </c:pt>
                <c:pt idx="1">
                  <c:v>-7.851</c:v>
                </c:pt>
                <c:pt idx="2">
                  <c:v>3.4149999999999987</c:v>
                </c:pt>
                <c:pt idx="3">
                  <c:v>-0.15800000000000097</c:v>
                </c:pt>
                <c:pt idx="4">
                  <c:v>-0.54300000000000004</c:v>
                </c:pt>
                <c:pt idx="5">
                  <c:v>3.6919999999999997</c:v>
                </c:pt>
                <c:pt idx="6">
                  <c:v>-4.3129999999999855</c:v>
                </c:pt>
                <c:pt idx="7">
                  <c:v>1.6930000000000001</c:v>
                </c:pt>
                <c:pt idx="8">
                  <c:v>1.306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23-461C-91C0-05C8C2754E13}"/>
            </c:ext>
          </c:extLst>
        </c:ser>
        <c:ser>
          <c:idx val="4"/>
          <c:order val="2"/>
          <c:tx>
            <c:strRef>
              <c:f>ST001201_CZ!$W$21</c:f>
              <c:strCache>
                <c:ptCount val="1"/>
                <c:pt idx="0">
                  <c:v>Ostatní finanční zprostředkovatelé kromě pojišťovacích společností a penzijních fondů</c:v>
                </c:pt>
              </c:strCache>
            </c:strRef>
          </c:tx>
          <c:spPr>
            <a:solidFill>
              <a:srgbClr val="BD1B21"/>
            </a:solidFill>
          </c:spPr>
          <c:cat>
            <c:numRef>
              <c:f>ST001201_CZ!$AE$16:$AN$16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ST001201_CZ!$AE$21:$AN$21</c:f>
              <c:numCache>
                <c:formatCode>General</c:formatCode>
                <c:ptCount val="10"/>
                <c:pt idx="0">
                  <c:v>8.0250000000000004</c:v>
                </c:pt>
                <c:pt idx="1">
                  <c:v>8.3890000000000047</c:v>
                </c:pt>
                <c:pt idx="2">
                  <c:v>-0.33500000000000241</c:v>
                </c:pt>
                <c:pt idx="3">
                  <c:v>0.78400000000000003</c:v>
                </c:pt>
                <c:pt idx="4">
                  <c:v>-2.1959999999999997</c:v>
                </c:pt>
                <c:pt idx="5">
                  <c:v>5.5750000000000002</c:v>
                </c:pt>
                <c:pt idx="6">
                  <c:v>-0.86500000000000365</c:v>
                </c:pt>
                <c:pt idx="7">
                  <c:v>1.8340000000000001</c:v>
                </c:pt>
                <c:pt idx="8">
                  <c:v>7.0000000000000034E-2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23-461C-91C0-05C8C2754E13}"/>
            </c:ext>
          </c:extLst>
        </c:ser>
        <c:ser>
          <c:idx val="2"/>
          <c:order val="3"/>
          <c:tx>
            <c:strRef>
              <c:f>ST001201_CZ!$W$19</c:f>
              <c:strCache>
                <c:ptCount val="1"/>
                <c:pt idx="0">
                  <c:v>Instituce přijímající vklady (kromě centrální banky) a fondy peněžního trhu</c:v>
                </c:pt>
              </c:strCache>
            </c:strRef>
          </c:tx>
          <c:spPr>
            <a:solidFill>
              <a:srgbClr val="0071BC"/>
            </a:solidFill>
          </c:spPr>
          <c:cat>
            <c:numRef>
              <c:f>ST001201_CZ!$AE$16:$AN$16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ST001201_CZ!$AE$19:$AN$19</c:f>
              <c:numCache>
                <c:formatCode>General</c:formatCode>
                <c:ptCount val="10"/>
                <c:pt idx="0">
                  <c:v>9.109</c:v>
                </c:pt>
                <c:pt idx="1">
                  <c:v>5.7359999999999998</c:v>
                </c:pt>
                <c:pt idx="2">
                  <c:v>8.7239999999999984</c:v>
                </c:pt>
                <c:pt idx="3">
                  <c:v>0.17100000000000001</c:v>
                </c:pt>
                <c:pt idx="4">
                  <c:v>0.26100000000000001</c:v>
                </c:pt>
                <c:pt idx="5">
                  <c:v>-8.8120000000000047</c:v>
                </c:pt>
                <c:pt idx="6">
                  <c:v>1.649</c:v>
                </c:pt>
                <c:pt idx="7">
                  <c:v>4.2530000000000001</c:v>
                </c:pt>
                <c:pt idx="8">
                  <c:v>-2.5319999999999987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23-461C-91C0-05C8C2754E13}"/>
            </c:ext>
          </c:extLst>
        </c:ser>
        <c:ser>
          <c:idx val="9"/>
          <c:order val="4"/>
          <c:tx>
            <c:strRef>
              <c:f>ST001201_CZ!$W$26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rgbClr val="808080"/>
            </a:solidFill>
          </c:spPr>
          <c:cat>
            <c:numRef>
              <c:f>ST001201_CZ!$AE$16:$AN$16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ST001201_CZ!$AE$26:$AN$26</c:f>
              <c:numCache>
                <c:formatCode>General</c:formatCode>
                <c:ptCount val="10"/>
                <c:pt idx="0">
                  <c:v>1.03</c:v>
                </c:pt>
                <c:pt idx="1">
                  <c:v>4.68</c:v>
                </c:pt>
                <c:pt idx="2">
                  <c:v>-0.83500000000000063</c:v>
                </c:pt>
                <c:pt idx="3">
                  <c:v>-1.022</c:v>
                </c:pt>
                <c:pt idx="4">
                  <c:v>-2.8529999999999927</c:v>
                </c:pt>
                <c:pt idx="5">
                  <c:v>5.9119999999999999</c:v>
                </c:pt>
                <c:pt idx="6">
                  <c:v>1.0569999999999926</c:v>
                </c:pt>
                <c:pt idx="7">
                  <c:v>1.1020000000000001</c:v>
                </c:pt>
                <c:pt idx="8">
                  <c:v>3.1219999999999999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23-461C-91C0-05C8C2754E13}"/>
            </c:ext>
          </c:extLst>
        </c:ser>
        <c:gapWidth val="93"/>
        <c:overlap val="100"/>
        <c:axId val="124515456"/>
        <c:axId val="128795776"/>
      </c:barChart>
      <c:lineChart>
        <c:grouping val="standard"/>
        <c:ser>
          <c:idx val="0"/>
          <c:order val="0"/>
          <c:tx>
            <c:strRef>
              <c:f>ST001201_CZ!$W$17</c:f>
              <c:strCache>
                <c:ptCount val="1"/>
                <c:pt idx="0">
                  <c:v>Celkem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ST001201_CZ!$AE$16:$AN$16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ST001201_CZ!$AE$17:$AN$17</c:f>
              <c:numCache>
                <c:formatCode>General</c:formatCode>
                <c:ptCount val="10"/>
                <c:pt idx="0">
                  <c:v>22.468999999999852</c:v>
                </c:pt>
                <c:pt idx="1">
                  <c:v>10.954000000000002</c:v>
                </c:pt>
                <c:pt idx="2">
                  <c:v>10.969000000000024</c:v>
                </c:pt>
                <c:pt idx="3">
                  <c:v>-0.22500000000000003</c:v>
                </c:pt>
                <c:pt idx="4">
                  <c:v>-5.3310000000000004</c:v>
                </c:pt>
                <c:pt idx="5">
                  <c:v>6.3669999999999956</c:v>
                </c:pt>
                <c:pt idx="6">
                  <c:v>-2.4719999999999978</c:v>
                </c:pt>
                <c:pt idx="7">
                  <c:v>8.8820000000000068</c:v>
                </c:pt>
                <c:pt idx="8">
                  <c:v>1.9660000000000071</c:v>
                </c:pt>
                <c:pt idx="9">
                  <c:v>2.59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F23-461C-91C0-05C8C2754E13}"/>
            </c:ext>
          </c:extLst>
        </c:ser>
        <c:marker val="1"/>
        <c:axId val="124515456"/>
        <c:axId val="128795776"/>
      </c:lineChart>
      <c:catAx>
        <c:axId val="124515456"/>
        <c:scaling>
          <c:orientation val="minMax"/>
        </c:scaling>
        <c:axPos val="b"/>
        <c:numFmt formatCode="General" sourceLinked="1"/>
        <c:tickLblPos val="low"/>
        <c:crossAx val="128795776"/>
        <c:crosses val="autoZero"/>
        <c:auto val="1"/>
        <c:lblAlgn val="ctr"/>
        <c:lblOffset val="100"/>
      </c:catAx>
      <c:valAx>
        <c:axId val="128795776"/>
        <c:scaling>
          <c:orientation val="minMax"/>
          <c:min val="-10"/>
        </c:scaling>
        <c:axPos val="l"/>
        <c:majorGridlines/>
        <c:numFmt formatCode="General" sourceLinked="1"/>
        <c:tickLblPos val="nextTo"/>
        <c:crossAx val="124515456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6.6862335359675909E-2"/>
          <c:y val="0.84709557581898065"/>
          <c:w val="0.91518490374873351"/>
          <c:h val="0.14265450861195517"/>
        </c:manualLayout>
      </c:layout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7E25-48C6-4221-A814-B7BF370F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1</TotalTime>
  <Pages>2</Pages>
  <Words>793</Words>
  <Characters>4683</Characters>
  <Application>Microsoft Office Word</Application>
  <DocSecurity>0</DocSecurity>
  <Lines>39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5466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2</cp:revision>
  <cp:lastPrinted>2014-07-17T14:07:00Z</cp:lastPrinted>
  <dcterms:created xsi:type="dcterms:W3CDTF">2018-10-29T15:37:00Z</dcterms:created>
  <dcterms:modified xsi:type="dcterms:W3CDTF">2018-10-29T15:37:00Z</dcterms:modified>
</cp:coreProperties>
</file>