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86" w:rsidRPr="00360DE3" w:rsidRDefault="00BE6186" w:rsidP="00BE6186">
      <w:pPr>
        <w:pStyle w:val="Nadpis1"/>
      </w:pPr>
      <w:bookmarkStart w:id="0" w:name="_Toc527639465"/>
      <w:r w:rsidRPr="00360DE3">
        <w:t>3. Vnější ekonomické vztahy</w:t>
      </w:r>
      <w:bookmarkEnd w:id="0"/>
    </w:p>
    <w:p w:rsidR="00BE6186" w:rsidRPr="00360DE3" w:rsidRDefault="00BE6186" w:rsidP="00BE6186">
      <w:pPr>
        <w:pStyle w:val="Nadpis2"/>
      </w:pPr>
      <w:bookmarkStart w:id="1" w:name="_Toc527639466"/>
      <w:r w:rsidRPr="00360DE3">
        <w:t>3.1 Finanční vztahy s nerezidenty</w:t>
      </w:r>
      <w:bookmarkEnd w:id="1"/>
    </w:p>
    <w:tbl>
      <w:tblPr>
        <w:tblW w:w="9644" w:type="dxa"/>
        <w:tblInd w:w="-15" w:type="dxa"/>
        <w:tblLayout w:type="fixed"/>
        <w:tblCellMar>
          <w:left w:w="0" w:type="dxa"/>
          <w:right w:w="0" w:type="dxa"/>
        </w:tblCellMar>
        <w:tblLook w:val="00A0"/>
      </w:tblPr>
      <w:tblGrid>
        <w:gridCol w:w="1976"/>
        <w:gridCol w:w="277"/>
        <w:gridCol w:w="7391"/>
      </w:tblGrid>
      <w:tr w:rsidR="00BE6186" w:rsidRPr="00360DE3" w:rsidTr="002B213A">
        <w:trPr>
          <w:trHeight w:val="145"/>
        </w:trPr>
        <w:tc>
          <w:tcPr>
            <w:tcW w:w="1976" w:type="dxa"/>
          </w:tcPr>
          <w:p w:rsidR="00BE6186" w:rsidRPr="00360DE3" w:rsidRDefault="00BE6186" w:rsidP="002B213A">
            <w:pPr>
              <w:pStyle w:val="Marginlie"/>
              <w:rPr>
                <w:spacing w:val="0"/>
              </w:rPr>
            </w:pPr>
            <w:r w:rsidRPr="00360DE3">
              <w:rPr>
                <w:spacing w:val="0"/>
              </w:rPr>
              <w:t>Bilance obchodu se zbožím a službami se navýšila díky výraznému nárůstu přebytku na straně služeb.</w:t>
            </w:r>
          </w:p>
        </w:tc>
        <w:tc>
          <w:tcPr>
            <w:tcW w:w="277" w:type="dxa"/>
          </w:tcPr>
          <w:p w:rsidR="00BE6186" w:rsidRPr="00360DE3" w:rsidRDefault="00BE6186" w:rsidP="002B213A">
            <w:pPr>
              <w:pStyle w:val="Textpoznpodarou"/>
              <w:jc w:val="both"/>
            </w:pPr>
          </w:p>
        </w:tc>
        <w:tc>
          <w:tcPr>
            <w:tcW w:w="7391" w:type="dxa"/>
          </w:tcPr>
          <w:p w:rsidR="00BE6186" w:rsidRPr="00360DE3" w:rsidRDefault="00BE6186" w:rsidP="00DF7AD4">
            <w:pPr>
              <w:spacing w:after="220"/>
            </w:pPr>
            <w:r w:rsidRPr="00360DE3">
              <w:t>Z údajů národních účtů</w:t>
            </w:r>
            <w:r w:rsidRPr="00360DE3">
              <w:rPr>
                <w:rStyle w:val="Znakapoznpodarou"/>
              </w:rPr>
              <w:footnoteReference w:id="1"/>
            </w:r>
            <w:r w:rsidRPr="00360DE3">
              <w:t xml:space="preserve"> vyplývá, že v roce 2017 činilo kladné saldo bilance vývozu a dovozu zboží a služeb 379,4 mld. korun. Meziročně se přebytek navýšil o 11,5 mld. korun, což do značné míry odráží i probíhající vrchol ekonomického cyklu. Srovnáváme totiž s rokem 2016, kdy se kladné saldo zvýšilo o 92,2 mld. korun. Podrobnější pohled ukazuje, že růst přebytku v loňském roce zajistil obchod se službami, Jeho bilance činila 126,3 mld. korun a meziročně se navýšila o 16,9 mld. Naopak kladné saldo zahraničního obchodu se zbožím, který je dominantním prvkem české ekonomiky, se loni snížilo o 5,4 mld. a přebytek dosáhl 253,2 mld. korun.</w:t>
            </w:r>
          </w:p>
        </w:tc>
      </w:tr>
      <w:tr w:rsidR="00BE6186" w:rsidRPr="00360DE3" w:rsidTr="002B213A">
        <w:trPr>
          <w:trHeight w:val="145"/>
        </w:trPr>
        <w:tc>
          <w:tcPr>
            <w:tcW w:w="1976" w:type="dxa"/>
          </w:tcPr>
          <w:p w:rsidR="00BE6186" w:rsidRPr="00360DE3" w:rsidRDefault="00BE6186" w:rsidP="002B213A">
            <w:pPr>
              <w:pStyle w:val="Marginlie"/>
              <w:rPr>
                <w:spacing w:val="0"/>
              </w:rPr>
            </w:pPr>
            <w:r w:rsidRPr="00360DE3">
              <w:rPr>
                <w:spacing w:val="0"/>
              </w:rPr>
              <w:t>Reinvestice zisků měly v roce 2017 větší objem i váhu než v předchozím roce.</w:t>
            </w:r>
          </w:p>
        </w:tc>
        <w:tc>
          <w:tcPr>
            <w:tcW w:w="277" w:type="dxa"/>
          </w:tcPr>
          <w:p w:rsidR="00BE6186" w:rsidRPr="00360DE3" w:rsidRDefault="00BE6186" w:rsidP="002B213A">
            <w:pPr>
              <w:pStyle w:val="Textpoznpodarou"/>
              <w:jc w:val="both"/>
            </w:pPr>
          </w:p>
        </w:tc>
        <w:tc>
          <w:tcPr>
            <w:tcW w:w="7391" w:type="dxa"/>
          </w:tcPr>
          <w:p w:rsidR="00BE6186" w:rsidRPr="005B08EB" w:rsidRDefault="00BE6186" w:rsidP="00DF7AD4">
            <w:pPr>
              <w:spacing w:after="220"/>
              <w:rPr>
                <w:spacing w:val="2"/>
              </w:rPr>
            </w:pPr>
            <w:r w:rsidRPr="005B08EB">
              <w:rPr>
                <w:spacing w:val="2"/>
              </w:rPr>
              <w:t>Ve směru od nerezidentů</w:t>
            </w:r>
            <w:r w:rsidRPr="005B08EB">
              <w:rPr>
                <w:rStyle w:val="Znakapoznpodarou"/>
                <w:spacing w:val="2"/>
              </w:rPr>
              <w:footnoteReference w:id="2"/>
            </w:r>
            <w:r w:rsidRPr="005B08EB">
              <w:rPr>
                <w:spacing w:val="2"/>
              </w:rPr>
              <w:t xml:space="preserve"> k rezidentům v roce 2017 zamířilo 64,4 mld. korun ve formě náhrad zaměstnancům (o 5,9 mld. více než v předchozím roce). Naopak nerezidentům bylo takto vyplaceno 26,7 mld. korun (+3,8 mld.). Výsledné saldo dosáhlo 37,7 mld. korun a meziročně se zvýšilo o 2,1 mld. Zisky z přímých investic zahraničních vlastníků loni dosáhly 451,7 mld. korun, což představovalo 8,9 % HDP. Z toho 275,9 mld. korun odešlo do zahraničí ve formě dividend a</w:t>
            </w:r>
            <w:r w:rsidR="005B08EB" w:rsidRPr="00360DE3">
              <w:t> </w:t>
            </w:r>
            <w:r w:rsidRPr="005B08EB">
              <w:rPr>
                <w:spacing w:val="2"/>
              </w:rPr>
              <w:t>175,8 mld. bylo reinvestováno. V porovnání s rokem 2016 se loni výrazně zvýšil podíl reinvestic na celkových ziscích. Tento vývoj lze spojit s vyšší mírou investiční aktivity podniků vyvolanou mimo jiné nedostatkem pracovní síly, který je nutné řešit inovací výroby. Zisky rezidentů z přímých zahranič</w:t>
            </w:r>
            <w:r w:rsidR="00DF7AD4" w:rsidRPr="005B08EB">
              <w:rPr>
                <w:spacing w:val="2"/>
              </w:rPr>
              <w:t>ních investic loni dosáhly 48,8 </w:t>
            </w:r>
            <w:r w:rsidRPr="005B08EB">
              <w:rPr>
                <w:spacing w:val="2"/>
              </w:rPr>
              <w:t xml:space="preserve">mld. korun a reinvestováno bylo 36,6 mld. Celkové saldo toků prvotních důchodů mezi rezidenty a nerezidenty v roce 2017 činilo -309,9 mld. korun. </w:t>
            </w:r>
          </w:p>
        </w:tc>
      </w:tr>
      <w:tr w:rsidR="00BE6186" w:rsidRPr="00360DE3" w:rsidTr="002B213A">
        <w:trPr>
          <w:trHeight w:val="170"/>
        </w:trPr>
        <w:tc>
          <w:tcPr>
            <w:tcW w:w="1976" w:type="dxa"/>
          </w:tcPr>
          <w:p w:rsidR="00BE6186" w:rsidRPr="00360DE3" w:rsidRDefault="00BE6186" w:rsidP="002B213A">
            <w:pPr>
              <w:pStyle w:val="Marginlie"/>
              <w:rPr>
                <w:spacing w:val="0"/>
              </w:rPr>
            </w:pPr>
            <w:r w:rsidRPr="00360DE3">
              <w:rPr>
                <w:spacing w:val="0"/>
              </w:rPr>
              <w:t>Výsledné saldo běžných transakcí bylo kladné.</w:t>
            </w:r>
          </w:p>
        </w:tc>
        <w:tc>
          <w:tcPr>
            <w:tcW w:w="277" w:type="dxa"/>
          </w:tcPr>
          <w:p w:rsidR="00BE6186" w:rsidRPr="00360DE3" w:rsidRDefault="00BE6186" w:rsidP="002B213A">
            <w:pPr>
              <w:pStyle w:val="Textpoznpodarou"/>
              <w:jc w:val="both"/>
            </w:pPr>
          </w:p>
        </w:tc>
        <w:tc>
          <w:tcPr>
            <w:tcW w:w="7391" w:type="dxa"/>
          </w:tcPr>
          <w:p w:rsidR="00BE6186" w:rsidRPr="00360DE3" w:rsidRDefault="00BE6186" w:rsidP="00DF7AD4">
            <w:pPr>
              <w:spacing w:after="220"/>
            </w:pPr>
            <w:r w:rsidRPr="00360DE3">
              <w:t>Prostřednictvím ostatních transferů (daně, sociální příspěvky a dávky a ostatní běžné transfery) k nerezidentům odešlo k nerezidentům 119,2 mld. korun, v opačném směru to bylo 65,1 mld. Výsledné saldo tak působilo ve směru deficitu běžných transakcí rezidentů s nerezidenty. Díky výraznému přebytku bilance obchodu se zbožím a službami bylo výsledné saldo běžných transakcí kladné a dosáhlo 15,3 mld. korun. Rovněž saldo kapitálových transferů bylo kladné a dosáhlo 31,3 mld. korun. Ze zahraničí totiž přiteklo (především ve formě investičních dotací) 39,1 mld. korun. Čisté výpůjčky (součet salda běžných a kapitálových transferů očištěného o čisté pořízení nefinančních aktiv) dosáhly 42,4 mld. korun a zvýšily se o 16,1 mld.</w:t>
            </w:r>
          </w:p>
        </w:tc>
      </w:tr>
    </w:tbl>
    <w:p w:rsidR="00BE6186" w:rsidRPr="00360DE3" w:rsidRDefault="00BE6186" w:rsidP="00BE6186">
      <w:pPr>
        <w:pStyle w:val="Nadpis2"/>
      </w:pPr>
      <w:bookmarkStart w:id="2" w:name="_Toc527639467"/>
      <w:r w:rsidRPr="00360DE3">
        <w:t>3.2 Zahraniční obchod a jeho struktura</w:t>
      </w:r>
      <w:bookmarkEnd w:id="2"/>
    </w:p>
    <w:tbl>
      <w:tblPr>
        <w:tblW w:w="9597" w:type="dxa"/>
        <w:tblInd w:w="-15" w:type="dxa"/>
        <w:tblLayout w:type="fixed"/>
        <w:tblCellMar>
          <w:left w:w="0" w:type="dxa"/>
          <w:right w:w="0" w:type="dxa"/>
        </w:tblCellMar>
        <w:tblLook w:val="00A0"/>
      </w:tblPr>
      <w:tblGrid>
        <w:gridCol w:w="1966"/>
        <w:gridCol w:w="276"/>
        <w:gridCol w:w="7355"/>
      </w:tblGrid>
      <w:tr w:rsidR="00C466D2" w:rsidRPr="00360DE3" w:rsidTr="002B213A">
        <w:trPr>
          <w:trHeight w:val="145"/>
        </w:trPr>
        <w:tc>
          <w:tcPr>
            <w:tcW w:w="1966" w:type="dxa"/>
          </w:tcPr>
          <w:p w:rsidR="00C466D2" w:rsidRPr="00360DE3" w:rsidRDefault="00C466D2" w:rsidP="00C466D2">
            <w:pPr>
              <w:pStyle w:val="Marginlie"/>
              <w:rPr>
                <w:spacing w:val="0"/>
              </w:rPr>
            </w:pPr>
            <w:r w:rsidRPr="00360DE3">
              <w:rPr>
                <w:spacing w:val="0"/>
              </w:rPr>
              <w:t>Rostl vývoz i dovoz zboží, ale přebytek bilance meziročně nepatrně poklesl.</w:t>
            </w:r>
          </w:p>
        </w:tc>
        <w:tc>
          <w:tcPr>
            <w:tcW w:w="276" w:type="dxa"/>
          </w:tcPr>
          <w:p w:rsidR="00C466D2" w:rsidRPr="00360DE3" w:rsidRDefault="00C466D2" w:rsidP="00C466D2">
            <w:pPr>
              <w:pStyle w:val="Textpoznpodarou"/>
              <w:jc w:val="both"/>
            </w:pPr>
          </w:p>
        </w:tc>
        <w:tc>
          <w:tcPr>
            <w:tcW w:w="7355" w:type="dxa"/>
          </w:tcPr>
          <w:p w:rsidR="00C466D2" w:rsidRPr="00360DE3" w:rsidRDefault="00C466D2" w:rsidP="00C466D2">
            <w:r w:rsidRPr="00360DE3">
              <w:t>Výsledky zahraničního obchodu se zbožím v roce 2017 korespondovaly s celkovým vývojem ekonomiky. Hodnota vývozu zboží dosáhla 3 512,9 mld. korun</w:t>
            </w:r>
            <w:r w:rsidRPr="00360DE3">
              <w:rPr>
                <w:rStyle w:val="Znakapoznpodarou"/>
              </w:rPr>
              <w:footnoteReference w:id="3"/>
            </w:r>
            <w:r w:rsidRPr="00360DE3">
              <w:t xml:space="preserve"> (meziroční nárůst o 213,8 mld. korun, 6,5 %) a bylo dovezeno zboží v hodnotě 3 349,4 mld. korun (navýšení </w:t>
            </w:r>
            <w:r w:rsidR="000D514E">
              <w:t>o 214,0 mld., 6,8 %). Nepatrné zhoršení</w:t>
            </w:r>
            <w:r w:rsidRPr="00360DE3">
              <w:t xml:space="preserve"> přebytku bilance obchodu se zbožím o 0,2 mld. korun tak bylo mimo jiné výsledkem vyššího importu, který ve větší míře než </w:t>
            </w:r>
            <w:r w:rsidR="005B08EB">
              <w:t>dříve saturoval růst spotřeby i</w:t>
            </w:r>
            <w:r w:rsidR="005B08EB" w:rsidRPr="00360DE3">
              <w:t> </w:t>
            </w:r>
            <w:r w:rsidRPr="00360DE3">
              <w:t xml:space="preserve">kapitálových výdajů. </w:t>
            </w:r>
          </w:p>
        </w:tc>
      </w:tr>
      <w:tr w:rsidR="00C466D2" w:rsidRPr="00360DE3" w:rsidTr="002B213A">
        <w:trPr>
          <w:trHeight w:val="145"/>
        </w:trPr>
        <w:tc>
          <w:tcPr>
            <w:tcW w:w="1966" w:type="dxa"/>
            <w:shd w:val="clear" w:color="auto" w:fill="auto"/>
          </w:tcPr>
          <w:p w:rsidR="00C466D2" w:rsidRPr="00360DE3" w:rsidRDefault="00C466D2" w:rsidP="00C466D2">
            <w:pPr>
              <w:pStyle w:val="Marginlie"/>
              <w:rPr>
                <w:spacing w:val="0"/>
              </w:rPr>
            </w:pPr>
            <w:r w:rsidRPr="00360DE3">
              <w:rPr>
                <w:spacing w:val="0"/>
              </w:rPr>
              <w:lastRenderedPageBreak/>
              <w:t>Výrazný dopad na bilanci obchodu se zbožím mělo zvýšení cen surovin.</w:t>
            </w:r>
          </w:p>
        </w:tc>
        <w:tc>
          <w:tcPr>
            <w:tcW w:w="276" w:type="dxa"/>
          </w:tcPr>
          <w:p w:rsidR="00C466D2" w:rsidRPr="00360DE3" w:rsidRDefault="00C466D2" w:rsidP="00C466D2">
            <w:pPr>
              <w:pStyle w:val="Textpoznpodarou"/>
              <w:jc w:val="both"/>
            </w:pPr>
          </w:p>
        </w:tc>
        <w:tc>
          <w:tcPr>
            <w:tcW w:w="7355" w:type="dxa"/>
          </w:tcPr>
          <w:p w:rsidR="00C466D2" w:rsidRPr="00360DE3" w:rsidRDefault="00C466D2" w:rsidP="00C466D2">
            <w:r w:rsidRPr="00360DE3">
              <w:t>Dalším faktorem, který lze s poklesem přebytku bilance obchodu se zbožím spojit je nárůst cen surovin, který navýšil hodnotu dovozu, ve kterém mají v českém prostředí suroviny větší váhu, než v exportu. I to je důvod prohloubení deficitu se zeměmi mimo EU o 67,3 mld. korun. Naopak přebytek obchodu s EU loni dále rostl (o 65,4 mld. korun). Z hlediska jednotlivých oddílů klasifikace produkce mají dlouhodobě největší dopad na výsledný přebytek motorová vozidla, u nichž loni kladné saldo dosáhlo 444,8 mld. korun a zvýšilo se meziročně o 28,9 mld. Výrazný byl i přebytek u strojů a zařízení (74,4 mld. korun, +11,0 mld.) a kovodělných výrobků (58,2 mld. korun, -2,3 mld.). Deficitní je dlouhodobě obchod se základními kovy (deficit ve výši 125,9 mld. korun, prohloubení o 30,1 mld.), ropou a zemním plynem (</w:t>
            </w:r>
            <w:r w:rsidRPr="00360DE3">
              <w:noBreakHyphen/>
              <w:t>117,3 mld., prohloubení o 39,7 mld.) a chemickými látkami a přípravky (</w:t>
            </w:r>
            <w:r w:rsidRPr="00360DE3">
              <w:noBreakHyphen/>
              <w:t>109,5 mld., zmírnění o 10,0 mld.).</w:t>
            </w:r>
          </w:p>
        </w:tc>
      </w:tr>
      <w:tr w:rsidR="00BE6186" w:rsidRPr="00360DE3" w:rsidTr="002B213A">
        <w:trPr>
          <w:trHeight w:val="90"/>
        </w:trPr>
        <w:tc>
          <w:tcPr>
            <w:tcW w:w="1966" w:type="dxa"/>
            <w:shd w:val="clear" w:color="auto" w:fill="auto"/>
          </w:tcPr>
          <w:p w:rsidR="00BE6186" w:rsidRPr="00360DE3" w:rsidRDefault="00BE6186" w:rsidP="002B213A">
            <w:pPr>
              <w:pStyle w:val="Marginlie"/>
              <w:rPr>
                <w:spacing w:val="0"/>
              </w:rPr>
            </w:pPr>
            <w:r w:rsidRPr="00360DE3">
              <w:rPr>
                <w:spacing w:val="0"/>
              </w:rPr>
              <w:t>V posledních letech se proměnila struktura bilance služeb.</w:t>
            </w:r>
          </w:p>
        </w:tc>
        <w:tc>
          <w:tcPr>
            <w:tcW w:w="276" w:type="dxa"/>
          </w:tcPr>
          <w:p w:rsidR="00BE6186" w:rsidRPr="00360DE3" w:rsidRDefault="00BE6186" w:rsidP="002B213A">
            <w:pPr>
              <w:pStyle w:val="Textpoznpodarou"/>
              <w:jc w:val="both"/>
            </w:pPr>
          </w:p>
        </w:tc>
        <w:tc>
          <w:tcPr>
            <w:tcW w:w="7355" w:type="dxa"/>
          </w:tcPr>
          <w:p w:rsidR="00BE6186" w:rsidRPr="00DF7AD4" w:rsidRDefault="00AB5421" w:rsidP="00AB5421">
            <w:pPr>
              <w:rPr>
                <w:spacing w:val="-2"/>
              </w:rPr>
            </w:pPr>
            <w:r w:rsidRPr="00DF7AD4">
              <w:rPr>
                <w:spacing w:val="-2"/>
              </w:rPr>
              <w:t>Z</w:t>
            </w:r>
            <w:r w:rsidR="00BE6186" w:rsidRPr="00DF7AD4">
              <w:rPr>
                <w:spacing w:val="-2"/>
              </w:rPr>
              <w:t xml:space="preserve">ahraniční obchod se službami v loňském roce zajistil navýšení celkového přebytku obchodní bilance. Pro bližší pohled na strukturu vývozu služeb použijeme údaje ČNB. </w:t>
            </w:r>
            <w:r w:rsidRPr="00DF7AD4">
              <w:rPr>
                <w:spacing w:val="-2"/>
              </w:rPr>
              <w:t xml:space="preserve">Od </w:t>
            </w:r>
            <w:proofErr w:type="spellStart"/>
            <w:r w:rsidRPr="00DF7AD4">
              <w:rPr>
                <w:spacing w:val="-2"/>
              </w:rPr>
              <w:t>mimima</w:t>
            </w:r>
            <w:proofErr w:type="spellEnd"/>
            <w:r w:rsidRPr="00DF7AD4">
              <w:rPr>
                <w:spacing w:val="-2"/>
              </w:rPr>
              <w:t xml:space="preserve"> </w:t>
            </w:r>
            <w:r w:rsidR="00BE6186" w:rsidRPr="00DF7AD4">
              <w:rPr>
                <w:spacing w:val="-2"/>
              </w:rPr>
              <w:t xml:space="preserve">v roce 2014 </w:t>
            </w:r>
            <w:r w:rsidRPr="00DF7AD4">
              <w:rPr>
                <w:spacing w:val="-2"/>
              </w:rPr>
              <w:t>se přebytek obchodu se službami odrazil a </w:t>
            </w:r>
            <w:r w:rsidR="00BE6186" w:rsidRPr="00DF7AD4">
              <w:rPr>
                <w:spacing w:val="-2"/>
              </w:rPr>
              <w:t xml:space="preserve">výrazně rostl. </w:t>
            </w:r>
            <w:r w:rsidRPr="00DF7AD4">
              <w:rPr>
                <w:spacing w:val="-2"/>
              </w:rPr>
              <w:t>Jde o</w:t>
            </w:r>
            <w:r w:rsidR="00BE6186" w:rsidRPr="00DF7AD4">
              <w:rPr>
                <w:spacing w:val="-2"/>
              </w:rPr>
              <w:t xml:space="preserve"> výsled</w:t>
            </w:r>
            <w:r w:rsidRPr="00DF7AD4">
              <w:rPr>
                <w:spacing w:val="-2"/>
              </w:rPr>
              <w:t>ek</w:t>
            </w:r>
            <w:r w:rsidR="00BE6186" w:rsidRPr="00DF7AD4">
              <w:rPr>
                <w:spacing w:val="-2"/>
              </w:rPr>
              <w:t xml:space="preserve"> zvyšování přebytku obchodu s telekomunikačními službami, službami v oblasti počítačů a informač</w:t>
            </w:r>
            <w:r w:rsidR="00DF7AD4" w:rsidRPr="00DF7AD4">
              <w:rPr>
                <w:spacing w:val="-2"/>
              </w:rPr>
              <w:t>ními službami (loni dosáhl 37,9 </w:t>
            </w:r>
            <w:r w:rsidR="00BE6186" w:rsidRPr="00DF7AD4">
              <w:rPr>
                <w:spacing w:val="-2"/>
              </w:rPr>
              <w:t>mld. korun). Především v posledních dvou letech výrazně narostl přeb</w:t>
            </w:r>
            <w:r w:rsidR="00DF7AD4" w:rsidRPr="00DF7AD4">
              <w:rPr>
                <w:spacing w:val="-2"/>
              </w:rPr>
              <w:t>ytek u </w:t>
            </w:r>
            <w:r w:rsidR="00BE6186" w:rsidRPr="00DF7AD4">
              <w:rPr>
                <w:spacing w:val="-2"/>
              </w:rPr>
              <w:t>služeb v dopravě (31,2 mld.) a v průběhu let postupně sílí význam výrobních služeb u cizích fyzických vstupů (jde například o montování konečných výrobků z dodaných součástek, 41,2</w:t>
            </w:r>
            <w:r w:rsidR="00DF7AD4" w:rsidRPr="00360DE3">
              <w:t> </w:t>
            </w:r>
            <w:r w:rsidR="00BE6186" w:rsidRPr="00DF7AD4">
              <w:rPr>
                <w:spacing w:val="-2"/>
              </w:rPr>
              <w:t>mld.). Cestovní ruch, který tvořil většinu přebytku před rokem 2014, loni dosáhl kladného salda 35,2 mld. korun. To mírně rostlo, ale tempo zpomalovaly vyšší výdaje domácích spotřebitelů na cestování do zahraničí. Ve směru deficitu stabilně působily poplatky za využívání duševního vlastnictví (-18,9 mld.) a pojišťovací služby a penz</w:t>
            </w:r>
            <w:r w:rsidR="00DF7AD4">
              <w:rPr>
                <w:spacing w:val="-2"/>
              </w:rPr>
              <w:t xml:space="preserve">ijní financování (-11,2 mld.). </w:t>
            </w:r>
          </w:p>
        </w:tc>
      </w:tr>
      <w:tr w:rsidR="00BE6186" w:rsidRPr="00360DE3" w:rsidTr="002B213A">
        <w:trPr>
          <w:trHeight w:val="170"/>
        </w:trPr>
        <w:tc>
          <w:tcPr>
            <w:tcW w:w="1966" w:type="dxa"/>
            <w:vMerge w:val="restart"/>
            <w:shd w:val="clear" w:color="auto" w:fill="auto"/>
          </w:tcPr>
          <w:p w:rsidR="00BE6186" w:rsidRPr="00360DE3" w:rsidRDefault="00BE6186" w:rsidP="002B213A">
            <w:pPr>
              <w:pStyle w:val="Marginlie"/>
              <w:rPr>
                <w:spacing w:val="0"/>
              </w:rPr>
            </w:pPr>
          </w:p>
        </w:tc>
        <w:tc>
          <w:tcPr>
            <w:tcW w:w="276" w:type="dxa"/>
            <w:vMerge w:val="restart"/>
          </w:tcPr>
          <w:p w:rsidR="00BE6186" w:rsidRPr="00360DE3" w:rsidRDefault="00BE6186" w:rsidP="002B213A">
            <w:pPr>
              <w:pStyle w:val="Textpoznpodarou"/>
              <w:jc w:val="both"/>
            </w:pPr>
          </w:p>
        </w:tc>
        <w:tc>
          <w:tcPr>
            <w:tcW w:w="7355" w:type="dxa"/>
          </w:tcPr>
          <w:p w:rsidR="00BE6186" w:rsidRPr="00360DE3" w:rsidRDefault="00BE6186" w:rsidP="001D198A">
            <w:pPr>
              <w:spacing w:after="0"/>
              <w:rPr>
                <w:b/>
              </w:rPr>
            </w:pPr>
            <w:r w:rsidRPr="00360DE3">
              <w:rPr>
                <w:b/>
              </w:rPr>
              <w:t xml:space="preserve">Graf č. </w:t>
            </w:r>
            <w:proofErr w:type="gramStart"/>
            <w:r w:rsidR="001D198A" w:rsidRPr="00360DE3">
              <w:rPr>
                <w:b/>
              </w:rPr>
              <w:t>3.2.1</w:t>
            </w:r>
            <w:r w:rsidRPr="00360DE3">
              <w:rPr>
                <w:b/>
              </w:rPr>
              <w:t xml:space="preserve">  Bilance</w:t>
            </w:r>
            <w:proofErr w:type="gramEnd"/>
            <w:r w:rsidRPr="00360DE3">
              <w:rPr>
                <w:b/>
              </w:rPr>
              <w:t xml:space="preserve"> služeb </w:t>
            </w:r>
            <w:r w:rsidRPr="00360DE3">
              <w:t>(kumulace celého roku, v mld. korun)</w:t>
            </w:r>
          </w:p>
        </w:tc>
      </w:tr>
      <w:tr w:rsidR="00BE6186" w:rsidRPr="00360DE3" w:rsidTr="002B213A">
        <w:trPr>
          <w:trHeight w:val="170"/>
        </w:trPr>
        <w:tc>
          <w:tcPr>
            <w:tcW w:w="1966" w:type="dxa"/>
            <w:vMerge/>
            <w:shd w:val="clear" w:color="auto" w:fill="auto"/>
          </w:tcPr>
          <w:p w:rsidR="00BE6186" w:rsidRPr="00360DE3" w:rsidRDefault="00BE6186" w:rsidP="002B213A">
            <w:pPr>
              <w:pStyle w:val="Marginlie"/>
              <w:rPr>
                <w:spacing w:val="0"/>
              </w:rPr>
            </w:pPr>
          </w:p>
        </w:tc>
        <w:tc>
          <w:tcPr>
            <w:tcW w:w="276" w:type="dxa"/>
            <w:vMerge/>
          </w:tcPr>
          <w:p w:rsidR="00BE6186" w:rsidRPr="00360DE3" w:rsidRDefault="00BE6186" w:rsidP="002B213A">
            <w:pPr>
              <w:pStyle w:val="Textpoznpodarou"/>
              <w:jc w:val="both"/>
            </w:pPr>
          </w:p>
        </w:tc>
        <w:tc>
          <w:tcPr>
            <w:tcW w:w="7355" w:type="dxa"/>
          </w:tcPr>
          <w:p w:rsidR="00BE6186" w:rsidRPr="00360DE3" w:rsidRDefault="00BE6186" w:rsidP="002B213A">
            <w:pPr>
              <w:spacing w:after="0"/>
            </w:pPr>
            <w:r w:rsidRPr="00360DE3">
              <w:rPr>
                <w:noProof/>
              </w:rPr>
              <w:drawing>
                <wp:inline distT="0" distB="0" distL="0" distR="0">
                  <wp:extent cx="4737600" cy="3362700"/>
                  <wp:effectExtent l="0" t="0" r="0" b="0"/>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BE6186" w:rsidRPr="00360DE3" w:rsidTr="002B213A">
        <w:trPr>
          <w:trHeight w:val="170"/>
        </w:trPr>
        <w:tc>
          <w:tcPr>
            <w:tcW w:w="1966" w:type="dxa"/>
            <w:vMerge/>
            <w:shd w:val="clear" w:color="auto" w:fill="auto"/>
          </w:tcPr>
          <w:p w:rsidR="00BE6186" w:rsidRPr="00360DE3" w:rsidRDefault="00BE6186" w:rsidP="002B213A">
            <w:pPr>
              <w:pStyle w:val="Marginlie"/>
              <w:rPr>
                <w:spacing w:val="0"/>
              </w:rPr>
            </w:pPr>
          </w:p>
        </w:tc>
        <w:tc>
          <w:tcPr>
            <w:tcW w:w="276" w:type="dxa"/>
            <w:vMerge/>
          </w:tcPr>
          <w:p w:rsidR="00BE6186" w:rsidRPr="00360DE3" w:rsidRDefault="00BE6186" w:rsidP="002B213A">
            <w:pPr>
              <w:pStyle w:val="Textpoznpodarou"/>
              <w:jc w:val="both"/>
            </w:pPr>
          </w:p>
        </w:tc>
        <w:tc>
          <w:tcPr>
            <w:tcW w:w="7355" w:type="dxa"/>
          </w:tcPr>
          <w:p w:rsidR="00BE6186" w:rsidRPr="00360DE3" w:rsidRDefault="00BE6186" w:rsidP="002B213A">
            <w:pPr>
              <w:rPr>
                <w:sz w:val="14"/>
                <w:szCs w:val="14"/>
              </w:rPr>
            </w:pPr>
            <w:r w:rsidRPr="00360DE3">
              <w:rPr>
                <w:sz w:val="14"/>
                <w:szCs w:val="14"/>
              </w:rPr>
              <w:t>Zdroj: ČNB</w:t>
            </w:r>
          </w:p>
        </w:tc>
      </w:tr>
    </w:tbl>
    <w:p w:rsidR="00BE6186" w:rsidRPr="00360DE3" w:rsidRDefault="00BE6186" w:rsidP="00BE6186">
      <w:pPr>
        <w:pStyle w:val="Nadpis2"/>
      </w:pPr>
      <w:bookmarkStart w:id="3" w:name="_Toc527639468"/>
      <w:r w:rsidRPr="00360DE3">
        <w:t>3.3 Investiční pozice a zahraniční dluh</w:t>
      </w:r>
      <w:bookmarkEnd w:id="3"/>
    </w:p>
    <w:tbl>
      <w:tblPr>
        <w:tblW w:w="9644" w:type="dxa"/>
        <w:tblInd w:w="-15" w:type="dxa"/>
        <w:tblLayout w:type="fixed"/>
        <w:tblCellMar>
          <w:left w:w="0" w:type="dxa"/>
          <w:right w:w="0" w:type="dxa"/>
        </w:tblCellMar>
        <w:tblLook w:val="00A0"/>
      </w:tblPr>
      <w:tblGrid>
        <w:gridCol w:w="1976"/>
        <w:gridCol w:w="277"/>
        <w:gridCol w:w="7391"/>
      </w:tblGrid>
      <w:tr w:rsidR="00BE6186" w:rsidRPr="00360DE3" w:rsidTr="002B213A">
        <w:trPr>
          <w:trHeight w:val="145"/>
        </w:trPr>
        <w:tc>
          <w:tcPr>
            <w:tcW w:w="1976" w:type="dxa"/>
          </w:tcPr>
          <w:p w:rsidR="00BE6186" w:rsidRPr="00360DE3" w:rsidRDefault="00BE6186" w:rsidP="002B213A">
            <w:pPr>
              <w:pStyle w:val="Marginlie"/>
              <w:rPr>
                <w:spacing w:val="0"/>
              </w:rPr>
            </w:pPr>
            <w:r w:rsidRPr="00360DE3">
              <w:rPr>
                <w:spacing w:val="0"/>
              </w:rPr>
              <w:t xml:space="preserve">Investiční pozice se díky rostoucím rezervním aktivům mírně zlepšila. </w:t>
            </w:r>
            <w:r w:rsidRPr="00360DE3">
              <w:rPr>
                <w:spacing w:val="0"/>
              </w:rPr>
              <w:lastRenderedPageBreak/>
              <w:t>Tradiční deficit přímých investic se však prohloubil.</w:t>
            </w:r>
          </w:p>
        </w:tc>
        <w:tc>
          <w:tcPr>
            <w:tcW w:w="277" w:type="dxa"/>
          </w:tcPr>
          <w:p w:rsidR="00BE6186" w:rsidRPr="00360DE3" w:rsidRDefault="00BE6186" w:rsidP="002B213A">
            <w:pPr>
              <w:pStyle w:val="Textpoznpodarou"/>
              <w:jc w:val="both"/>
            </w:pPr>
          </w:p>
        </w:tc>
        <w:tc>
          <w:tcPr>
            <w:tcW w:w="7391" w:type="dxa"/>
          </w:tcPr>
          <w:p w:rsidR="00BE6186" w:rsidRPr="00360DE3" w:rsidRDefault="00BE6186" w:rsidP="002B213A">
            <w:r w:rsidRPr="00360DE3">
              <w:t xml:space="preserve">Investiční pozice vůči zahraničí skončila loni podle údajů ČNB schodkem ve výši 1 337,0 mld. korun, který se meziročně prohloubil o 53,9 mld. (poprvé od roku 2012). Vývoj investiční pozice v posledních letech ovlivňovaly kurzové intervence. </w:t>
            </w:r>
            <w:r w:rsidRPr="00360DE3">
              <w:lastRenderedPageBreak/>
              <w:t xml:space="preserve">Kvůli těm postupně od roku 2013 narůstal objem rezervních aktiv a tím se snižoval schodek investiční pozice. Ačkoli intervenční režim skončil již v dubnu loňského roku, objem rezervních aktiv stačil meziročně narůst o 952,6. mld. korun, čímž zabránil většímu prohloubení schodku, v jehož směru působily ostatní investice, především výrazné zvýšení přílivu oběživa a vkladů ze zahraničí. Záporné saldo přímých investic, které </w:t>
            </w:r>
            <w:proofErr w:type="gramStart"/>
            <w:r w:rsidRPr="00360DE3">
              <w:t>je</w:t>
            </w:r>
            <w:proofErr w:type="gramEnd"/>
            <w:r w:rsidRPr="00360DE3">
              <w:t xml:space="preserve"> hlavním důvodem záporné investiční pozice Česka </w:t>
            </w:r>
            <w:proofErr w:type="gramStart"/>
            <w:r w:rsidRPr="00360DE3">
              <w:t>se</w:t>
            </w:r>
            <w:proofErr w:type="gramEnd"/>
            <w:r w:rsidRPr="00360DE3">
              <w:t xml:space="preserve"> loni opět prohloubilo a dosáhlo 2 793,4 mld. korun.   </w:t>
            </w:r>
          </w:p>
        </w:tc>
      </w:tr>
      <w:tr w:rsidR="00BE6186" w:rsidRPr="00360DE3" w:rsidTr="002B213A">
        <w:trPr>
          <w:trHeight w:val="170"/>
        </w:trPr>
        <w:tc>
          <w:tcPr>
            <w:tcW w:w="1976" w:type="dxa"/>
            <w:vMerge w:val="restart"/>
          </w:tcPr>
          <w:p w:rsidR="00BE6186" w:rsidRPr="00360DE3" w:rsidRDefault="00BE6186" w:rsidP="002B213A">
            <w:pPr>
              <w:pStyle w:val="Marginlie"/>
              <w:rPr>
                <w:spacing w:val="0"/>
              </w:rPr>
            </w:pPr>
          </w:p>
        </w:tc>
        <w:tc>
          <w:tcPr>
            <w:tcW w:w="277" w:type="dxa"/>
            <w:vMerge w:val="restart"/>
          </w:tcPr>
          <w:p w:rsidR="00BE6186" w:rsidRPr="00360DE3" w:rsidRDefault="00BE6186" w:rsidP="002B213A">
            <w:pPr>
              <w:pStyle w:val="Textpoznpodarou"/>
              <w:jc w:val="both"/>
            </w:pPr>
          </w:p>
        </w:tc>
        <w:tc>
          <w:tcPr>
            <w:tcW w:w="7391" w:type="dxa"/>
          </w:tcPr>
          <w:p w:rsidR="00BE6186" w:rsidRPr="00360DE3" w:rsidRDefault="00BE6186" w:rsidP="001D198A">
            <w:pPr>
              <w:spacing w:after="0"/>
              <w:rPr>
                <w:b/>
                <w:szCs w:val="20"/>
              </w:rPr>
            </w:pPr>
            <w:r w:rsidRPr="00360DE3">
              <w:rPr>
                <w:b/>
                <w:szCs w:val="20"/>
              </w:rPr>
              <w:t xml:space="preserve">Graf č. </w:t>
            </w:r>
            <w:proofErr w:type="gramStart"/>
            <w:r w:rsidR="001D198A" w:rsidRPr="00360DE3">
              <w:rPr>
                <w:b/>
                <w:szCs w:val="20"/>
              </w:rPr>
              <w:t>3.3.1</w:t>
            </w:r>
            <w:r w:rsidRPr="00360DE3">
              <w:rPr>
                <w:b/>
                <w:szCs w:val="20"/>
              </w:rPr>
              <w:t xml:space="preserve">  Investiční</w:t>
            </w:r>
            <w:proofErr w:type="gramEnd"/>
            <w:r w:rsidRPr="00360DE3">
              <w:rPr>
                <w:b/>
                <w:szCs w:val="20"/>
              </w:rPr>
              <w:t xml:space="preserve"> pozice vůči zahraničí </w:t>
            </w:r>
            <w:r w:rsidRPr="000D514E">
              <w:rPr>
                <w:szCs w:val="20"/>
              </w:rPr>
              <w:t>(v mld. korun, stav ke konci roku)</w:t>
            </w:r>
          </w:p>
        </w:tc>
      </w:tr>
      <w:tr w:rsidR="00BE6186" w:rsidRPr="00360DE3" w:rsidTr="002B213A">
        <w:trPr>
          <w:trHeight w:val="170"/>
        </w:trPr>
        <w:tc>
          <w:tcPr>
            <w:tcW w:w="1976" w:type="dxa"/>
            <w:vMerge/>
          </w:tcPr>
          <w:p w:rsidR="00BE6186" w:rsidRPr="00360DE3" w:rsidRDefault="00BE6186" w:rsidP="002B213A">
            <w:pPr>
              <w:pStyle w:val="Marginlie"/>
              <w:rPr>
                <w:spacing w:val="0"/>
              </w:rPr>
            </w:pPr>
          </w:p>
        </w:tc>
        <w:tc>
          <w:tcPr>
            <w:tcW w:w="277" w:type="dxa"/>
            <w:vMerge/>
          </w:tcPr>
          <w:p w:rsidR="00BE6186" w:rsidRPr="00360DE3" w:rsidRDefault="00BE6186" w:rsidP="002B213A">
            <w:pPr>
              <w:pStyle w:val="Textpoznpodarou"/>
              <w:jc w:val="both"/>
            </w:pPr>
          </w:p>
        </w:tc>
        <w:tc>
          <w:tcPr>
            <w:tcW w:w="7391" w:type="dxa"/>
          </w:tcPr>
          <w:p w:rsidR="00BE6186" w:rsidRPr="00360DE3" w:rsidRDefault="00BE6186" w:rsidP="002B213A">
            <w:pPr>
              <w:spacing w:after="0"/>
            </w:pPr>
            <w:r w:rsidRPr="00360DE3">
              <w:rPr>
                <w:noProof/>
              </w:rPr>
              <w:drawing>
                <wp:inline distT="0" distB="0" distL="0" distR="0">
                  <wp:extent cx="4737600" cy="3553200"/>
                  <wp:effectExtent l="0" t="0" r="0" b="0"/>
                  <wp:docPr id="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BE6186" w:rsidRPr="00360DE3" w:rsidTr="002B213A">
        <w:trPr>
          <w:trHeight w:val="170"/>
        </w:trPr>
        <w:tc>
          <w:tcPr>
            <w:tcW w:w="1976" w:type="dxa"/>
            <w:vMerge/>
          </w:tcPr>
          <w:p w:rsidR="00BE6186" w:rsidRPr="00360DE3" w:rsidRDefault="00BE6186" w:rsidP="002B213A">
            <w:pPr>
              <w:pStyle w:val="Marginlie"/>
              <w:rPr>
                <w:spacing w:val="0"/>
              </w:rPr>
            </w:pPr>
          </w:p>
        </w:tc>
        <w:tc>
          <w:tcPr>
            <w:tcW w:w="277" w:type="dxa"/>
            <w:vMerge/>
          </w:tcPr>
          <w:p w:rsidR="00BE6186" w:rsidRPr="00360DE3" w:rsidRDefault="00BE6186" w:rsidP="002B213A">
            <w:pPr>
              <w:pStyle w:val="Textpoznpodarou"/>
              <w:jc w:val="both"/>
            </w:pPr>
          </w:p>
        </w:tc>
        <w:tc>
          <w:tcPr>
            <w:tcW w:w="7391" w:type="dxa"/>
          </w:tcPr>
          <w:p w:rsidR="00BE6186" w:rsidRPr="00360DE3" w:rsidRDefault="00BE6186" w:rsidP="002B213A">
            <w:pPr>
              <w:rPr>
                <w:sz w:val="14"/>
                <w:szCs w:val="14"/>
              </w:rPr>
            </w:pPr>
            <w:r w:rsidRPr="00360DE3">
              <w:rPr>
                <w:sz w:val="14"/>
                <w:szCs w:val="14"/>
              </w:rPr>
              <w:t>Zdroj: ČNB</w:t>
            </w:r>
          </w:p>
        </w:tc>
      </w:tr>
      <w:tr w:rsidR="00BE6186" w:rsidRPr="00360DE3" w:rsidTr="002B213A">
        <w:trPr>
          <w:trHeight w:val="145"/>
        </w:trPr>
        <w:tc>
          <w:tcPr>
            <w:tcW w:w="1976" w:type="dxa"/>
          </w:tcPr>
          <w:p w:rsidR="00BE6186" w:rsidRPr="00360DE3" w:rsidRDefault="00BE6186" w:rsidP="002B213A">
            <w:pPr>
              <w:pStyle w:val="Marginlie"/>
              <w:rPr>
                <w:spacing w:val="0"/>
              </w:rPr>
            </w:pPr>
            <w:r w:rsidRPr="00360DE3">
              <w:rPr>
                <w:spacing w:val="0"/>
              </w:rPr>
              <w:t>Zahraniční dluh se loni zvyšoval.</w:t>
            </w:r>
          </w:p>
        </w:tc>
        <w:tc>
          <w:tcPr>
            <w:tcW w:w="277" w:type="dxa"/>
          </w:tcPr>
          <w:p w:rsidR="00BE6186" w:rsidRPr="00360DE3" w:rsidRDefault="00BE6186" w:rsidP="002B213A">
            <w:pPr>
              <w:pStyle w:val="Textpoznpodarou"/>
              <w:jc w:val="both"/>
            </w:pPr>
          </w:p>
        </w:tc>
        <w:tc>
          <w:tcPr>
            <w:tcW w:w="7391" w:type="dxa"/>
          </w:tcPr>
          <w:p w:rsidR="00BE6186" w:rsidRPr="00360DE3" w:rsidRDefault="00BE6186" w:rsidP="002B213A">
            <w:r w:rsidRPr="00360DE3">
              <w:t xml:space="preserve">Výše zahraničního dluhu dosáhla ke konci roku 4 372,4 mld. korun a meziročně vzrostla o 874,7 mld. korun. Nahoru ji tlačil především nárůst krátkodobého zadlužení. Ten bral hlavně formu oběživa a vkladů, jejichž objem v krátkodobém zahraničním dluhu se loni zvýšil o 542,8 mld. korun (dosáhl 1,7násobek stavu z konce roku 2016). Silně patrný byl i přírůstek dluhových cenných papírů, které se do struktury krátkodobého dluhu promítaly v posledních třech letech. Loni se jejich objem zvýšil o 165,0 mld. korun a tím se téměř zdvojnásobil. Dlouhodobý dluh se v posledních letech nemění až tak výrazně. Jeho nárůst o 50,0 mld. loni způsobilo výhradně zvýšení objemu oběživa a vkladů o 86,2 mld. korun. Zadlužení ve formě ostatních nástrojů mírně pokleslo.     </w:t>
            </w:r>
          </w:p>
        </w:tc>
      </w:tr>
      <w:tr w:rsidR="00BE6186" w:rsidRPr="00360DE3" w:rsidTr="002B213A">
        <w:trPr>
          <w:trHeight w:val="412"/>
        </w:trPr>
        <w:tc>
          <w:tcPr>
            <w:tcW w:w="1976" w:type="dxa"/>
          </w:tcPr>
          <w:p w:rsidR="00BE6186" w:rsidRPr="00360DE3" w:rsidRDefault="00BE6186" w:rsidP="002B213A">
            <w:pPr>
              <w:pStyle w:val="Marginlie"/>
              <w:rPr>
                <w:spacing w:val="0"/>
              </w:rPr>
            </w:pPr>
            <w:r w:rsidRPr="00360DE3">
              <w:rPr>
                <w:spacing w:val="0"/>
              </w:rPr>
              <w:t>Krátkodobý dluh u bank byl hlavním tahounem zvyšování zahraničního zadlužení.</w:t>
            </w:r>
          </w:p>
        </w:tc>
        <w:tc>
          <w:tcPr>
            <w:tcW w:w="277" w:type="dxa"/>
          </w:tcPr>
          <w:p w:rsidR="00BE6186" w:rsidRPr="00360DE3" w:rsidRDefault="00BE6186" w:rsidP="002B213A">
            <w:pPr>
              <w:pStyle w:val="Textpoznpodarou"/>
              <w:jc w:val="both"/>
            </w:pPr>
          </w:p>
        </w:tc>
        <w:tc>
          <w:tcPr>
            <w:tcW w:w="7391" w:type="dxa"/>
          </w:tcPr>
          <w:p w:rsidR="00BE6186" w:rsidRPr="00360DE3" w:rsidRDefault="00AB5421" w:rsidP="00C466D2">
            <w:r w:rsidRPr="00360DE3">
              <w:t>N</w:t>
            </w:r>
            <w:r w:rsidR="00BE6186" w:rsidRPr="00360DE3">
              <w:t>ejvýrazněji rostl zahraniční dluh institucí přijímajících vklady (banky). Zvýšil se o</w:t>
            </w:r>
            <w:r w:rsidR="00C466D2" w:rsidRPr="00360DE3">
              <w:t> </w:t>
            </w:r>
            <w:r w:rsidR="00BE6186" w:rsidRPr="00360DE3">
              <w:t xml:space="preserve">680,1 mld. korun. Právě bankovní instituce stály za prudkým nárůstem krátkodobého dluhu (zadlužení se zvýšilo o 600,6 mld.). Navyšoval se </w:t>
            </w:r>
            <w:r w:rsidRPr="00360DE3">
              <w:t>zde</w:t>
            </w:r>
            <w:r w:rsidR="00BE6186" w:rsidRPr="00360DE3">
              <w:t xml:space="preserve"> dluh ve formě oběživa a vkladů a rovněž dluhových cenných papírů, které jinak nehrají významnou roli (ke konci roku 2017 jich bylo 317,3</w:t>
            </w:r>
            <w:r w:rsidR="00DF7AD4">
              <w:t xml:space="preserve"> mld., v roce 2014 3,4 mld.). U</w:t>
            </w:r>
            <w:r w:rsidR="00DF7AD4" w:rsidRPr="00360DE3">
              <w:t> </w:t>
            </w:r>
            <w:r w:rsidR="00BE6186" w:rsidRPr="00360DE3">
              <w:t xml:space="preserve">centrální banky je objem zahraničního dluhu poměrně nízký v porovnání s ostatními aktéry v ekonomice, od roku 2014 však roste a loni se zvýšil o 68,3 mld. korun na 171,1 mld. Jeho pohyb rovněž zajišťovalo krátkodobé zadlužení ve formě oběživa a vkladů. Zahraniční dluh vládních institucí a ostatních sektorů mírně rostl, k významnějším posunům v jeho struktuře však nedocházelo.  </w:t>
            </w:r>
          </w:p>
        </w:tc>
      </w:tr>
    </w:tbl>
    <w:p w:rsidR="00F46502" w:rsidRPr="00EE2D85" w:rsidRDefault="00F46502" w:rsidP="00EE2D85">
      <w:pPr>
        <w:pStyle w:val="Nadpis110"/>
        <w:rPr>
          <w:sz w:val="2"/>
          <w:szCs w:val="2"/>
        </w:rPr>
      </w:pPr>
    </w:p>
    <w:sectPr w:rsidR="00F46502" w:rsidRPr="00EE2D85" w:rsidSect="00EE2D85">
      <w:headerReference w:type="even" r:id="rId10"/>
      <w:headerReference w:type="default" r:id="rId11"/>
      <w:footerReference w:type="even" r:id="rId12"/>
      <w:footerReference w:type="default" r:id="rId13"/>
      <w:pgSz w:w="11906" w:h="16838" w:code="9"/>
      <w:pgMar w:top="1134" w:right="1134" w:bottom="1418" w:left="1134" w:header="680" w:footer="680"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FB" w:rsidRDefault="00D460FB" w:rsidP="00E71A58">
      <w:r>
        <w:separator/>
      </w:r>
    </w:p>
  </w:endnote>
  <w:endnote w:type="continuationSeparator" w:id="0">
    <w:p w:rsidR="00D460FB" w:rsidRDefault="00D460F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DC" w:rsidRPr="00932443" w:rsidRDefault="00C805DC"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201295"/>
                  </a:xfrm>
                  <a:prstGeom prst="rect">
                    <a:avLst/>
                  </a:prstGeom>
                  <a:noFill/>
                  <a:ln>
                    <a:noFill/>
                  </a:ln>
                </pic:spPr>
              </pic:pic>
            </a:graphicData>
          </a:graphic>
        </wp:anchor>
      </w:drawing>
    </w:r>
    <w:r w:rsidR="00926403" w:rsidRPr="00932443">
      <w:rPr>
        <w:szCs w:val="16"/>
      </w:rPr>
      <w:fldChar w:fldCharType="begin"/>
    </w:r>
    <w:r w:rsidRPr="00932443">
      <w:rPr>
        <w:szCs w:val="16"/>
      </w:rPr>
      <w:instrText>PAGE   \* MERGEFORMAT</w:instrText>
    </w:r>
    <w:r w:rsidR="00926403" w:rsidRPr="00932443">
      <w:rPr>
        <w:szCs w:val="16"/>
      </w:rPr>
      <w:fldChar w:fldCharType="separate"/>
    </w:r>
    <w:r w:rsidR="00EE2D85">
      <w:rPr>
        <w:szCs w:val="16"/>
      </w:rPr>
      <w:t>16</w:t>
    </w:r>
    <w:r w:rsidR="00926403" w:rsidRPr="00932443">
      <w:rPr>
        <w:szCs w:val="16"/>
      </w:rPr>
      <w:fldChar w:fldCharType="end"/>
    </w:r>
    <w:r w:rsidRPr="00932443">
      <w:rPr>
        <w:szCs w:val="16"/>
      </w:rPr>
      <w:tab/>
    </w:r>
    <w:r>
      <w:rPr>
        <w:szCs w:val="16"/>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DC" w:rsidRPr="00932443" w:rsidRDefault="00C805DC"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6"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2017</w:t>
    </w:r>
    <w:r w:rsidRPr="00932443">
      <w:rPr>
        <w:szCs w:val="16"/>
      </w:rPr>
      <w:tab/>
    </w:r>
    <w:r w:rsidR="00926403" w:rsidRPr="00932443">
      <w:rPr>
        <w:rStyle w:val="ZpatChar"/>
        <w:szCs w:val="16"/>
      </w:rPr>
      <w:fldChar w:fldCharType="begin"/>
    </w:r>
    <w:r w:rsidRPr="00932443">
      <w:rPr>
        <w:rStyle w:val="ZpatChar"/>
        <w:szCs w:val="16"/>
      </w:rPr>
      <w:instrText>PAGE   \* MERGEFORMAT</w:instrText>
    </w:r>
    <w:r w:rsidR="00926403" w:rsidRPr="00932443">
      <w:rPr>
        <w:rStyle w:val="ZpatChar"/>
        <w:szCs w:val="16"/>
      </w:rPr>
      <w:fldChar w:fldCharType="separate"/>
    </w:r>
    <w:r w:rsidR="00EE2D85">
      <w:rPr>
        <w:rStyle w:val="ZpatChar"/>
        <w:szCs w:val="16"/>
      </w:rPr>
      <w:t>15</w:t>
    </w:r>
    <w:r w:rsidR="00926403"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FB" w:rsidRDefault="00D460FB" w:rsidP="00E71A58">
      <w:r>
        <w:separator/>
      </w:r>
    </w:p>
  </w:footnote>
  <w:footnote w:type="continuationSeparator" w:id="0">
    <w:p w:rsidR="00D460FB" w:rsidRDefault="00D460FB" w:rsidP="00E71A58">
      <w:r>
        <w:continuationSeparator/>
      </w:r>
    </w:p>
  </w:footnote>
  <w:footnote w:id="1">
    <w:p w:rsidR="00C805DC" w:rsidRPr="001802AA" w:rsidRDefault="00C805DC" w:rsidP="00BE6186">
      <w:pPr>
        <w:pStyle w:val="Textpoznpodarou"/>
        <w:rPr>
          <w:rFonts w:cs="Arial"/>
          <w:sz w:val="16"/>
          <w:szCs w:val="16"/>
        </w:rPr>
      </w:pPr>
      <w:r w:rsidRPr="001802AA">
        <w:rPr>
          <w:rStyle w:val="Znakapoznpodarou"/>
          <w:rFonts w:cs="Arial"/>
          <w:sz w:val="16"/>
          <w:szCs w:val="16"/>
        </w:rPr>
        <w:footnoteRef/>
      </w:r>
      <w:r>
        <w:rPr>
          <w:rFonts w:cs="Arial"/>
          <w:sz w:val="16"/>
          <w:szCs w:val="16"/>
        </w:rPr>
        <w:t xml:space="preserve"> Č</w:t>
      </w:r>
      <w:r w:rsidRPr="001802AA">
        <w:rPr>
          <w:rFonts w:cs="Arial"/>
          <w:sz w:val="16"/>
          <w:szCs w:val="16"/>
        </w:rPr>
        <w:t>asové řady čtvrtletních sektorových účtů</w:t>
      </w:r>
    </w:p>
  </w:footnote>
  <w:footnote w:id="2">
    <w:p w:rsidR="00C805DC" w:rsidRPr="001802AA" w:rsidRDefault="00C805DC" w:rsidP="00BE6186">
      <w:pPr>
        <w:pStyle w:val="Textpoznpodarou"/>
        <w:rPr>
          <w:rFonts w:cs="Arial"/>
          <w:sz w:val="16"/>
          <w:szCs w:val="16"/>
        </w:rPr>
      </w:pPr>
      <w:r w:rsidRPr="001802AA">
        <w:rPr>
          <w:rStyle w:val="Znakapoznpodarou"/>
          <w:rFonts w:cs="Arial"/>
          <w:sz w:val="16"/>
          <w:szCs w:val="16"/>
        </w:rPr>
        <w:footnoteRef/>
      </w:r>
      <w:r w:rsidRPr="001802AA">
        <w:rPr>
          <w:rFonts w:cs="Arial"/>
          <w:sz w:val="16"/>
          <w:szCs w:val="16"/>
        </w:rPr>
        <w:t xml:space="preserve"> </w:t>
      </w:r>
      <w:proofErr w:type="spellStart"/>
      <w:r w:rsidRPr="001802AA">
        <w:rPr>
          <w:rStyle w:val="odkaz-style-wrapper"/>
          <w:rFonts w:cs="Arial"/>
          <w:bCs/>
          <w:sz w:val="16"/>
          <w:szCs w:val="16"/>
        </w:rPr>
        <w:t>Nerezidenti</w:t>
      </w:r>
      <w:proofErr w:type="spellEnd"/>
      <w:r w:rsidRPr="001802AA">
        <w:rPr>
          <w:rStyle w:val="odkaz-style-wrapper"/>
          <w:rFonts w:cs="Arial"/>
          <w:bCs/>
          <w:sz w:val="16"/>
          <w:szCs w:val="16"/>
        </w:rPr>
        <w:t xml:space="preserve"> </w:t>
      </w:r>
      <w:r w:rsidRPr="001802AA">
        <w:rPr>
          <w:rStyle w:val="odkaz-style-wrapper"/>
          <w:rFonts w:cs="Arial"/>
          <w:sz w:val="16"/>
          <w:szCs w:val="16"/>
        </w:rPr>
        <w:t>představují seskupení jednotek bez ohledu na charakteristiku jejich funkcí a zdrojů. Jsou to např. zastupitelské úřady cizích států nebo mezinárodní organizace, které byly založeny a fungují na základě mezinárodních dohod nebo oddělené části mateřských společností (např. pobočky výrobních podniků, bank a pojišťovacích společností).</w:t>
      </w:r>
    </w:p>
  </w:footnote>
  <w:footnote w:id="3">
    <w:p w:rsidR="00C805DC" w:rsidRPr="001802AA" w:rsidRDefault="00C805DC" w:rsidP="00C466D2">
      <w:pPr>
        <w:pStyle w:val="Textpoznpodarou"/>
        <w:rPr>
          <w:rFonts w:cs="Arial"/>
          <w:sz w:val="16"/>
          <w:szCs w:val="16"/>
        </w:rPr>
      </w:pPr>
      <w:r w:rsidRPr="001802AA">
        <w:rPr>
          <w:rStyle w:val="Znakapoznpodarou"/>
          <w:rFonts w:cs="Arial"/>
          <w:sz w:val="16"/>
          <w:szCs w:val="16"/>
        </w:rPr>
        <w:footnoteRef/>
      </w:r>
      <w:r w:rsidRPr="001802AA">
        <w:rPr>
          <w:rFonts w:cs="Arial"/>
          <w:sz w:val="16"/>
          <w:szCs w:val="16"/>
        </w:rPr>
        <w:t xml:space="preserve"> Údaje statistiky zahraničního obchodu v národním pojetí v nominálním vyjádření. Hodnota vývozu je zachycena v cenách FOB, tj. včetně nákladů souvisejících s dopravou na hranice ČR. Dovoz uvedený níže v této kapitole je v cenách CIF, tj. včetně nákladů souvisejících s dopravou v zahraničí na hranice ČR.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DC" w:rsidRPr="00601A2E" w:rsidRDefault="00C805DC" w:rsidP="00601A2E">
    <w:pPr>
      <w:pStyle w:val="Zhlav"/>
    </w:pPr>
    <w:r>
      <w:t>Analýza ekonomického vývoje v roce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DC" w:rsidRDefault="00C805DC" w:rsidP="00937AE2">
    <w:pPr>
      <w:pStyle w:val="Zhlav"/>
    </w:pPr>
    <w:r>
      <w:t>Analýza ekonomického vývoje v roce 2017</w:t>
    </w:r>
  </w:p>
  <w:p w:rsidR="00C805DC" w:rsidRPr="006F5416" w:rsidRDefault="00C805DC" w:rsidP="00937AE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1">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0"/>
  </w:num>
  <w:num w:numId="14">
    <w:abstractNumId w:val="10"/>
  </w:num>
  <w:num w:numId="15">
    <w:abstractNumId w:val="16"/>
  </w:num>
  <w:num w:numId="16">
    <w:abstractNumId w:val="12"/>
  </w:num>
  <w:num w:numId="17">
    <w:abstractNumId w:val="21"/>
  </w:num>
  <w:num w:numId="18">
    <w:abstractNumId w:val="17"/>
  </w:num>
  <w:num w:numId="19">
    <w:abstractNumId w:val="22"/>
  </w:num>
  <w:num w:numId="20">
    <w:abstractNumId w:val="23"/>
  </w:num>
  <w:num w:numId="21">
    <w:abstractNumId w:val="19"/>
  </w:num>
  <w:num w:numId="22">
    <w:abstractNumId w:val="15"/>
  </w:num>
  <w:num w:numId="23">
    <w:abstractNumId w:val="1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7170">
      <o:colormru v:ext="edit" colors="#ecf4dd,#eaecee,#fcec0a,#fcecdb,#f1daf5"/>
    </o:shapedefaults>
  </w:hdrShapeDefaults>
  <w:footnotePr>
    <w:footnote w:id="-1"/>
    <w:footnote w:id="0"/>
  </w:footnotePr>
  <w:endnotePr>
    <w:endnote w:id="-1"/>
    <w:endnote w:id="0"/>
  </w:endnotePr>
  <w:compat/>
  <w:rsids>
    <w:rsidRoot w:val="00F46502"/>
    <w:rsid w:val="0000209D"/>
    <w:rsid w:val="0000437D"/>
    <w:rsid w:val="00004D5A"/>
    <w:rsid w:val="000056D5"/>
    <w:rsid w:val="00006ABD"/>
    <w:rsid w:val="0000767A"/>
    <w:rsid w:val="00007BEF"/>
    <w:rsid w:val="00010256"/>
    <w:rsid w:val="00010702"/>
    <w:rsid w:val="00011912"/>
    <w:rsid w:val="0002195D"/>
    <w:rsid w:val="000234D6"/>
    <w:rsid w:val="00023D29"/>
    <w:rsid w:val="00026389"/>
    <w:rsid w:val="00031AE0"/>
    <w:rsid w:val="000322EF"/>
    <w:rsid w:val="00033FCD"/>
    <w:rsid w:val="00041CEC"/>
    <w:rsid w:val="0004694F"/>
    <w:rsid w:val="000522E4"/>
    <w:rsid w:val="000610E1"/>
    <w:rsid w:val="00062EC5"/>
    <w:rsid w:val="00062F22"/>
    <w:rsid w:val="00067A82"/>
    <w:rsid w:val="000712B3"/>
    <w:rsid w:val="0008263E"/>
    <w:rsid w:val="00082A55"/>
    <w:rsid w:val="00082C19"/>
    <w:rsid w:val="00085395"/>
    <w:rsid w:val="00087634"/>
    <w:rsid w:val="00087F2B"/>
    <w:rsid w:val="00093E3F"/>
    <w:rsid w:val="00093E53"/>
    <w:rsid w:val="00095135"/>
    <w:rsid w:val="00096085"/>
    <w:rsid w:val="000974D1"/>
    <w:rsid w:val="0009799E"/>
    <w:rsid w:val="000A1183"/>
    <w:rsid w:val="000A256D"/>
    <w:rsid w:val="000A3A2C"/>
    <w:rsid w:val="000B525B"/>
    <w:rsid w:val="000C1D78"/>
    <w:rsid w:val="000C3408"/>
    <w:rsid w:val="000C6AFD"/>
    <w:rsid w:val="000D514E"/>
    <w:rsid w:val="000D5637"/>
    <w:rsid w:val="000E6FBD"/>
    <w:rsid w:val="000F030B"/>
    <w:rsid w:val="00100F5C"/>
    <w:rsid w:val="0010106F"/>
    <w:rsid w:val="00101CDA"/>
    <w:rsid w:val="00104C4C"/>
    <w:rsid w:val="00117623"/>
    <w:rsid w:val="0012192F"/>
    <w:rsid w:val="00125D69"/>
    <w:rsid w:val="001405FA"/>
    <w:rsid w:val="00141782"/>
    <w:rsid w:val="001425C3"/>
    <w:rsid w:val="001528B9"/>
    <w:rsid w:val="001612F4"/>
    <w:rsid w:val="00162312"/>
    <w:rsid w:val="0016256B"/>
    <w:rsid w:val="00162A7A"/>
    <w:rsid w:val="00163793"/>
    <w:rsid w:val="001706D6"/>
    <w:rsid w:val="001714F2"/>
    <w:rsid w:val="001730A6"/>
    <w:rsid w:val="00175B9F"/>
    <w:rsid w:val="00181BBC"/>
    <w:rsid w:val="00182799"/>
    <w:rsid w:val="00184B08"/>
    <w:rsid w:val="00185010"/>
    <w:rsid w:val="00186919"/>
    <w:rsid w:val="001916DB"/>
    <w:rsid w:val="00193818"/>
    <w:rsid w:val="001A0487"/>
    <w:rsid w:val="001A0D6B"/>
    <w:rsid w:val="001A552F"/>
    <w:rsid w:val="001B2CA9"/>
    <w:rsid w:val="001B3110"/>
    <w:rsid w:val="001B4729"/>
    <w:rsid w:val="001B6310"/>
    <w:rsid w:val="001B6C09"/>
    <w:rsid w:val="001C05CD"/>
    <w:rsid w:val="001C1B66"/>
    <w:rsid w:val="001D198A"/>
    <w:rsid w:val="001D463E"/>
    <w:rsid w:val="001D68B2"/>
    <w:rsid w:val="001D70E9"/>
    <w:rsid w:val="001E504C"/>
    <w:rsid w:val="001F4597"/>
    <w:rsid w:val="00203DA4"/>
    <w:rsid w:val="002052C6"/>
    <w:rsid w:val="002118B9"/>
    <w:rsid w:val="00217C5B"/>
    <w:rsid w:val="0022139E"/>
    <w:rsid w:val="00222729"/>
    <w:rsid w:val="00222FFB"/>
    <w:rsid w:val="002252E0"/>
    <w:rsid w:val="002255F6"/>
    <w:rsid w:val="00227850"/>
    <w:rsid w:val="00227A53"/>
    <w:rsid w:val="00230C6E"/>
    <w:rsid w:val="00236443"/>
    <w:rsid w:val="00241B06"/>
    <w:rsid w:val="002436BA"/>
    <w:rsid w:val="00244A15"/>
    <w:rsid w:val="00247319"/>
    <w:rsid w:val="0024799E"/>
    <w:rsid w:val="00253C0F"/>
    <w:rsid w:val="002558C1"/>
    <w:rsid w:val="0026207F"/>
    <w:rsid w:val="0026743D"/>
    <w:rsid w:val="00271465"/>
    <w:rsid w:val="00274037"/>
    <w:rsid w:val="00285412"/>
    <w:rsid w:val="00291640"/>
    <w:rsid w:val="002A16D4"/>
    <w:rsid w:val="002A230C"/>
    <w:rsid w:val="002A5D97"/>
    <w:rsid w:val="002B2127"/>
    <w:rsid w:val="002B213A"/>
    <w:rsid w:val="002B38B8"/>
    <w:rsid w:val="002B4845"/>
    <w:rsid w:val="002B6B06"/>
    <w:rsid w:val="002C43BD"/>
    <w:rsid w:val="002D0E59"/>
    <w:rsid w:val="002E02A1"/>
    <w:rsid w:val="002E4E4C"/>
    <w:rsid w:val="00303533"/>
    <w:rsid w:val="00304771"/>
    <w:rsid w:val="003052D4"/>
    <w:rsid w:val="00306C5B"/>
    <w:rsid w:val="003209D6"/>
    <w:rsid w:val="00321924"/>
    <w:rsid w:val="0032656E"/>
    <w:rsid w:val="00330060"/>
    <w:rsid w:val="00332190"/>
    <w:rsid w:val="00336E03"/>
    <w:rsid w:val="0034335E"/>
    <w:rsid w:val="00344668"/>
    <w:rsid w:val="003462D9"/>
    <w:rsid w:val="00347378"/>
    <w:rsid w:val="00360C86"/>
    <w:rsid w:val="00360DE3"/>
    <w:rsid w:val="00360FBC"/>
    <w:rsid w:val="00362E90"/>
    <w:rsid w:val="00364FA0"/>
    <w:rsid w:val="003657F3"/>
    <w:rsid w:val="003818DC"/>
    <w:rsid w:val="00384327"/>
    <w:rsid w:val="00385D3E"/>
    <w:rsid w:val="00385D98"/>
    <w:rsid w:val="003870EE"/>
    <w:rsid w:val="00392244"/>
    <w:rsid w:val="003A2B4D"/>
    <w:rsid w:val="003A2D12"/>
    <w:rsid w:val="003A478C"/>
    <w:rsid w:val="003A5525"/>
    <w:rsid w:val="003A6B38"/>
    <w:rsid w:val="003B4331"/>
    <w:rsid w:val="003B461F"/>
    <w:rsid w:val="003B5A32"/>
    <w:rsid w:val="003C3490"/>
    <w:rsid w:val="003C4BE8"/>
    <w:rsid w:val="003C7E62"/>
    <w:rsid w:val="003D6920"/>
    <w:rsid w:val="003E38BA"/>
    <w:rsid w:val="003E4C91"/>
    <w:rsid w:val="003F313C"/>
    <w:rsid w:val="003F37FC"/>
    <w:rsid w:val="003F3890"/>
    <w:rsid w:val="003F4B2C"/>
    <w:rsid w:val="003F551C"/>
    <w:rsid w:val="003F72ED"/>
    <w:rsid w:val="003F7D23"/>
    <w:rsid w:val="00407C13"/>
    <w:rsid w:val="00410638"/>
    <w:rsid w:val="0041501E"/>
    <w:rsid w:val="004159C3"/>
    <w:rsid w:val="004225C6"/>
    <w:rsid w:val="00432A58"/>
    <w:rsid w:val="00433C0C"/>
    <w:rsid w:val="00434617"/>
    <w:rsid w:val="00436778"/>
    <w:rsid w:val="00440900"/>
    <w:rsid w:val="00441BF6"/>
    <w:rsid w:val="004441A0"/>
    <w:rsid w:val="0045078A"/>
    <w:rsid w:val="0045086D"/>
    <w:rsid w:val="00460FB3"/>
    <w:rsid w:val="00461976"/>
    <w:rsid w:val="00476240"/>
    <w:rsid w:val="00476439"/>
    <w:rsid w:val="0047735C"/>
    <w:rsid w:val="004776BC"/>
    <w:rsid w:val="0048139F"/>
    <w:rsid w:val="00481E40"/>
    <w:rsid w:val="00484ECE"/>
    <w:rsid w:val="004915CB"/>
    <w:rsid w:val="004924DC"/>
    <w:rsid w:val="00493F18"/>
    <w:rsid w:val="004A14E4"/>
    <w:rsid w:val="004A3212"/>
    <w:rsid w:val="004A5494"/>
    <w:rsid w:val="004A61C5"/>
    <w:rsid w:val="004A77DF"/>
    <w:rsid w:val="004B1417"/>
    <w:rsid w:val="004B48DF"/>
    <w:rsid w:val="004B55B7"/>
    <w:rsid w:val="004B6468"/>
    <w:rsid w:val="004B7125"/>
    <w:rsid w:val="004C26B0"/>
    <w:rsid w:val="004C384C"/>
    <w:rsid w:val="004C3867"/>
    <w:rsid w:val="004C4CD0"/>
    <w:rsid w:val="004C5FBF"/>
    <w:rsid w:val="004C70DC"/>
    <w:rsid w:val="004D0211"/>
    <w:rsid w:val="004D0794"/>
    <w:rsid w:val="004E02EB"/>
    <w:rsid w:val="004E326C"/>
    <w:rsid w:val="004F06F5"/>
    <w:rsid w:val="004F16F7"/>
    <w:rsid w:val="004F33A0"/>
    <w:rsid w:val="0050689D"/>
    <w:rsid w:val="005108C0"/>
    <w:rsid w:val="00511873"/>
    <w:rsid w:val="00512A2F"/>
    <w:rsid w:val="00513B7E"/>
    <w:rsid w:val="00515C74"/>
    <w:rsid w:val="00515FFA"/>
    <w:rsid w:val="005173AF"/>
    <w:rsid w:val="0052007E"/>
    <w:rsid w:val="0052337A"/>
    <w:rsid w:val="00525137"/>
    <w:rsid w:val="005251DD"/>
    <w:rsid w:val="00532CE7"/>
    <w:rsid w:val="0053324C"/>
    <w:rsid w:val="00534A28"/>
    <w:rsid w:val="00541508"/>
    <w:rsid w:val="00543498"/>
    <w:rsid w:val="00551238"/>
    <w:rsid w:val="0055599F"/>
    <w:rsid w:val="00556D68"/>
    <w:rsid w:val="00563EB8"/>
    <w:rsid w:val="005647BF"/>
    <w:rsid w:val="00564AF1"/>
    <w:rsid w:val="0057364B"/>
    <w:rsid w:val="00574773"/>
    <w:rsid w:val="00583FFD"/>
    <w:rsid w:val="005911BE"/>
    <w:rsid w:val="00593152"/>
    <w:rsid w:val="005A10F2"/>
    <w:rsid w:val="005A21E0"/>
    <w:rsid w:val="005A28FF"/>
    <w:rsid w:val="005A2C7B"/>
    <w:rsid w:val="005A3DF8"/>
    <w:rsid w:val="005A5549"/>
    <w:rsid w:val="005A7666"/>
    <w:rsid w:val="005B08EB"/>
    <w:rsid w:val="005B121D"/>
    <w:rsid w:val="005C06ED"/>
    <w:rsid w:val="005C2609"/>
    <w:rsid w:val="005D3386"/>
    <w:rsid w:val="005D5802"/>
    <w:rsid w:val="005D7119"/>
    <w:rsid w:val="005D7890"/>
    <w:rsid w:val="005E2A7C"/>
    <w:rsid w:val="005E7C78"/>
    <w:rsid w:val="005F18C5"/>
    <w:rsid w:val="005F3EB1"/>
    <w:rsid w:val="005F46D8"/>
    <w:rsid w:val="005F5469"/>
    <w:rsid w:val="00600079"/>
    <w:rsid w:val="006003D1"/>
    <w:rsid w:val="00601A2E"/>
    <w:rsid w:val="0060404F"/>
    <w:rsid w:val="00604307"/>
    <w:rsid w:val="0060487F"/>
    <w:rsid w:val="00604EAD"/>
    <w:rsid w:val="006104FB"/>
    <w:rsid w:val="0061249B"/>
    <w:rsid w:val="00612A2F"/>
    <w:rsid w:val="00616E05"/>
    <w:rsid w:val="00624093"/>
    <w:rsid w:val="0063201A"/>
    <w:rsid w:val="006350D5"/>
    <w:rsid w:val="006404A7"/>
    <w:rsid w:val="006451E4"/>
    <w:rsid w:val="00645B33"/>
    <w:rsid w:val="00650330"/>
    <w:rsid w:val="006516CB"/>
    <w:rsid w:val="006558BD"/>
    <w:rsid w:val="00657E87"/>
    <w:rsid w:val="00664803"/>
    <w:rsid w:val="00665BA4"/>
    <w:rsid w:val="00666D91"/>
    <w:rsid w:val="00667AF2"/>
    <w:rsid w:val="006710C9"/>
    <w:rsid w:val="00674D89"/>
    <w:rsid w:val="00675E37"/>
    <w:rsid w:val="00680001"/>
    <w:rsid w:val="0068174E"/>
    <w:rsid w:val="00681DCE"/>
    <w:rsid w:val="0068260E"/>
    <w:rsid w:val="006836CB"/>
    <w:rsid w:val="00695BEF"/>
    <w:rsid w:val="006977F6"/>
    <w:rsid w:val="00697A13"/>
    <w:rsid w:val="006A109C"/>
    <w:rsid w:val="006A3E08"/>
    <w:rsid w:val="006A73A6"/>
    <w:rsid w:val="006B0F92"/>
    <w:rsid w:val="006B344A"/>
    <w:rsid w:val="006B4B7B"/>
    <w:rsid w:val="006B78D8"/>
    <w:rsid w:val="006C113F"/>
    <w:rsid w:val="006C123E"/>
    <w:rsid w:val="006C1752"/>
    <w:rsid w:val="006C33B2"/>
    <w:rsid w:val="006C56D4"/>
    <w:rsid w:val="006C6924"/>
    <w:rsid w:val="006C7CA6"/>
    <w:rsid w:val="006D3E8A"/>
    <w:rsid w:val="006D61F6"/>
    <w:rsid w:val="006D64C2"/>
    <w:rsid w:val="006E279A"/>
    <w:rsid w:val="006E313B"/>
    <w:rsid w:val="006E7227"/>
    <w:rsid w:val="006F2595"/>
    <w:rsid w:val="006F438E"/>
    <w:rsid w:val="006F5416"/>
    <w:rsid w:val="00705242"/>
    <w:rsid w:val="00706AD4"/>
    <w:rsid w:val="00707150"/>
    <w:rsid w:val="007140BE"/>
    <w:rsid w:val="00716E3F"/>
    <w:rsid w:val="007211F5"/>
    <w:rsid w:val="007240E2"/>
    <w:rsid w:val="00725BB5"/>
    <w:rsid w:val="00730AE8"/>
    <w:rsid w:val="00730F1B"/>
    <w:rsid w:val="00741493"/>
    <w:rsid w:val="0074369B"/>
    <w:rsid w:val="00750EF8"/>
    <w:rsid w:val="00752180"/>
    <w:rsid w:val="00753CAB"/>
    <w:rsid w:val="00755202"/>
    <w:rsid w:val="00755D3A"/>
    <w:rsid w:val="007578D3"/>
    <w:rsid w:val="007609C6"/>
    <w:rsid w:val="0076175D"/>
    <w:rsid w:val="00763B85"/>
    <w:rsid w:val="0076521E"/>
    <w:rsid w:val="007661E9"/>
    <w:rsid w:val="00775F45"/>
    <w:rsid w:val="00776169"/>
    <w:rsid w:val="00776527"/>
    <w:rsid w:val="00780EF1"/>
    <w:rsid w:val="00783C17"/>
    <w:rsid w:val="00785232"/>
    <w:rsid w:val="00790764"/>
    <w:rsid w:val="0079453C"/>
    <w:rsid w:val="00794677"/>
    <w:rsid w:val="007A516D"/>
    <w:rsid w:val="007B6689"/>
    <w:rsid w:val="007C13A4"/>
    <w:rsid w:val="007C6BBD"/>
    <w:rsid w:val="007C7BAE"/>
    <w:rsid w:val="007D0C24"/>
    <w:rsid w:val="007D40DF"/>
    <w:rsid w:val="007E29B4"/>
    <w:rsid w:val="007E435A"/>
    <w:rsid w:val="007E7E61"/>
    <w:rsid w:val="007F0845"/>
    <w:rsid w:val="007F708D"/>
    <w:rsid w:val="00801E13"/>
    <w:rsid w:val="00807C82"/>
    <w:rsid w:val="00816905"/>
    <w:rsid w:val="00821FF6"/>
    <w:rsid w:val="00822574"/>
    <w:rsid w:val="00825C4D"/>
    <w:rsid w:val="0083143E"/>
    <w:rsid w:val="00831CDE"/>
    <w:rsid w:val="00833BF2"/>
    <w:rsid w:val="00834304"/>
    <w:rsid w:val="00834FAA"/>
    <w:rsid w:val="00836086"/>
    <w:rsid w:val="00846121"/>
    <w:rsid w:val="0084708F"/>
    <w:rsid w:val="008477C8"/>
    <w:rsid w:val="00847931"/>
    <w:rsid w:val="0085114D"/>
    <w:rsid w:val="00852217"/>
    <w:rsid w:val="00855408"/>
    <w:rsid w:val="00856D65"/>
    <w:rsid w:val="00861B41"/>
    <w:rsid w:val="00861BE3"/>
    <w:rsid w:val="00863434"/>
    <w:rsid w:val="00865E4C"/>
    <w:rsid w:val="008701E4"/>
    <w:rsid w:val="00875A32"/>
    <w:rsid w:val="00876086"/>
    <w:rsid w:val="008873D4"/>
    <w:rsid w:val="0089296D"/>
    <w:rsid w:val="00893E85"/>
    <w:rsid w:val="00894031"/>
    <w:rsid w:val="00895508"/>
    <w:rsid w:val="008A3986"/>
    <w:rsid w:val="008B7C02"/>
    <w:rsid w:val="008B7D2B"/>
    <w:rsid w:val="008C0049"/>
    <w:rsid w:val="008C0E88"/>
    <w:rsid w:val="008D0A60"/>
    <w:rsid w:val="008D0DBD"/>
    <w:rsid w:val="008D1E6A"/>
    <w:rsid w:val="008D2A16"/>
    <w:rsid w:val="008E0DC9"/>
    <w:rsid w:val="008E2C57"/>
    <w:rsid w:val="008E31FF"/>
    <w:rsid w:val="008E6F06"/>
    <w:rsid w:val="008E7FC9"/>
    <w:rsid w:val="008F029B"/>
    <w:rsid w:val="008F3FC9"/>
    <w:rsid w:val="008F585B"/>
    <w:rsid w:val="009003A8"/>
    <w:rsid w:val="00902500"/>
    <w:rsid w:val="00902EFF"/>
    <w:rsid w:val="00906401"/>
    <w:rsid w:val="0091155E"/>
    <w:rsid w:val="00912A92"/>
    <w:rsid w:val="0091728D"/>
    <w:rsid w:val="0092180B"/>
    <w:rsid w:val="00921F14"/>
    <w:rsid w:val="00924AC8"/>
    <w:rsid w:val="0092597A"/>
    <w:rsid w:val="00926403"/>
    <w:rsid w:val="00930FB1"/>
    <w:rsid w:val="0093139F"/>
    <w:rsid w:val="00932443"/>
    <w:rsid w:val="00937AE2"/>
    <w:rsid w:val="00942C19"/>
    <w:rsid w:val="0094427A"/>
    <w:rsid w:val="00945245"/>
    <w:rsid w:val="009540B7"/>
    <w:rsid w:val="0095759C"/>
    <w:rsid w:val="00974923"/>
    <w:rsid w:val="00980D3D"/>
    <w:rsid w:val="00987A30"/>
    <w:rsid w:val="00992CF3"/>
    <w:rsid w:val="009942B6"/>
    <w:rsid w:val="00994868"/>
    <w:rsid w:val="009968D6"/>
    <w:rsid w:val="009A1CAB"/>
    <w:rsid w:val="009A60D1"/>
    <w:rsid w:val="009A7B2E"/>
    <w:rsid w:val="009B6FD3"/>
    <w:rsid w:val="009C03C8"/>
    <w:rsid w:val="009C1750"/>
    <w:rsid w:val="009C2E29"/>
    <w:rsid w:val="009C3ED8"/>
    <w:rsid w:val="009C554B"/>
    <w:rsid w:val="009C719E"/>
    <w:rsid w:val="009D3ACD"/>
    <w:rsid w:val="009E5273"/>
    <w:rsid w:val="009E5DDB"/>
    <w:rsid w:val="009F46EA"/>
    <w:rsid w:val="009F4CA7"/>
    <w:rsid w:val="00A10D66"/>
    <w:rsid w:val="00A14114"/>
    <w:rsid w:val="00A16413"/>
    <w:rsid w:val="00A16E1D"/>
    <w:rsid w:val="00A17D5B"/>
    <w:rsid w:val="00A230A8"/>
    <w:rsid w:val="00A23E43"/>
    <w:rsid w:val="00A25216"/>
    <w:rsid w:val="00A27420"/>
    <w:rsid w:val="00A30F65"/>
    <w:rsid w:val="00A329DF"/>
    <w:rsid w:val="00A35142"/>
    <w:rsid w:val="00A35EA6"/>
    <w:rsid w:val="00A40EAC"/>
    <w:rsid w:val="00A418BC"/>
    <w:rsid w:val="00A46DE0"/>
    <w:rsid w:val="00A4750C"/>
    <w:rsid w:val="00A50D73"/>
    <w:rsid w:val="00A51F19"/>
    <w:rsid w:val="00A52CAD"/>
    <w:rsid w:val="00A537F0"/>
    <w:rsid w:val="00A53FC7"/>
    <w:rsid w:val="00A55161"/>
    <w:rsid w:val="00A62CE1"/>
    <w:rsid w:val="00A6741E"/>
    <w:rsid w:val="00A75E40"/>
    <w:rsid w:val="00A77D1D"/>
    <w:rsid w:val="00A84923"/>
    <w:rsid w:val="00A857C0"/>
    <w:rsid w:val="00A90FED"/>
    <w:rsid w:val="00AA2996"/>
    <w:rsid w:val="00AA52BF"/>
    <w:rsid w:val="00AA559A"/>
    <w:rsid w:val="00AB2AF1"/>
    <w:rsid w:val="00AB5421"/>
    <w:rsid w:val="00AC45BD"/>
    <w:rsid w:val="00AD168E"/>
    <w:rsid w:val="00AD306C"/>
    <w:rsid w:val="00AD68C4"/>
    <w:rsid w:val="00AE09B3"/>
    <w:rsid w:val="00AE1A83"/>
    <w:rsid w:val="00AE7FB2"/>
    <w:rsid w:val="00B00913"/>
    <w:rsid w:val="00B01593"/>
    <w:rsid w:val="00B023F2"/>
    <w:rsid w:val="00B10A4D"/>
    <w:rsid w:val="00B120A1"/>
    <w:rsid w:val="00B121D2"/>
    <w:rsid w:val="00B14BC1"/>
    <w:rsid w:val="00B17E71"/>
    <w:rsid w:val="00B17FDE"/>
    <w:rsid w:val="00B20632"/>
    <w:rsid w:val="00B2379C"/>
    <w:rsid w:val="00B2687D"/>
    <w:rsid w:val="00B30358"/>
    <w:rsid w:val="00B32DDB"/>
    <w:rsid w:val="00B34528"/>
    <w:rsid w:val="00B34CC9"/>
    <w:rsid w:val="00B402FC"/>
    <w:rsid w:val="00B40FF9"/>
    <w:rsid w:val="00B42470"/>
    <w:rsid w:val="00B439DA"/>
    <w:rsid w:val="00B46604"/>
    <w:rsid w:val="00B530CD"/>
    <w:rsid w:val="00B55F5E"/>
    <w:rsid w:val="00B57338"/>
    <w:rsid w:val="00B5752E"/>
    <w:rsid w:val="00B63A11"/>
    <w:rsid w:val="00B64C24"/>
    <w:rsid w:val="00B6608F"/>
    <w:rsid w:val="00B679FB"/>
    <w:rsid w:val="00B76D1E"/>
    <w:rsid w:val="00B80EC6"/>
    <w:rsid w:val="00B84CF6"/>
    <w:rsid w:val="00B86F03"/>
    <w:rsid w:val="00B92D1D"/>
    <w:rsid w:val="00B938C5"/>
    <w:rsid w:val="00B95940"/>
    <w:rsid w:val="00BA0DD3"/>
    <w:rsid w:val="00BA6C2B"/>
    <w:rsid w:val="00BB2F03"/>
    <w:rsid w:val="00BB46F3"/>
    <w:rsid w:val="00BB4CB1"/>
    <w:rsid w:val="00BB4F98"/>
    <w:rsid w:val="00BC0E31"/>
    <w:rsid w:val="00BC5C12"/>
    <w:rsid w:val="00BC7154"/>
    <w:rsid w:val="00BC731E"/>
    <w:rsid w:val="00BD163C"/>
    <w:rsid w:val="00BD2211"/>
    <w:rsid w:val="00BD366B"/>
    <w:rsid w:val="00BD6D50"/>
    <w:rsid w:val="00BE18B9"/>
    <w:rsid w:val="00BE2495"/>
    <w:rsid w:val="00BE468E"/>
    <w:rsid w:val="00BE6186"/>
    <w:rsid w:val="00BF1578"/>
    <w:rsid w:val="00C21405"/>
    <w:rsid w:val="00C21F94"/>
    <w:rsid w:val="00C27913"/>
    <w:rsid w:val="00C33B68"/>
    <w:rsid w:val="00C36A79"/>
    <w:rsid w:val="00C401D2"/>
    <w:rsid w:val="00C405D4"/>
    <w:rsid w:val="00C4513B"/>
    <w:rsid w:val="00C466D2"/>
    <w:rsid w:val="00C517C6"/>
    <w:rsid w:val="00C5390B"/>
    <w:rsid w:val="00C54697"/>
    <w:rsid w:val="00C60191"/>
    <w:rsid w:val="00C6152B"/>
    <w:rsid w:val="00C73885"/>
    <w:rsid w:val="00C747B1"/>
    <w:rsid w:val="00C805DC"/>
    <w:rsid w:val="00C82191"/>
    <w:rsid w:val="00C83134"/>
    <w:rsid w:val="00C85545"/>
    <w:rsid w:val="00C90CF4"/>
    <w:rsid w:val="00C92EB6"/>
    <w:rsid w:val="00C93389"/>
    <w:rsid w:val="00C96D08"/>
    <w:rsid w:val="00CA6AB4"/>
    <w:rsid w:val="00CB259D"/>
    <w:rsid w:val="00CB4930"/>
    <w:rsid w:val="00CC2E7D"/>
    <w:rsid w:val="00CC71EC"/>
    <w:rsid w:val="00CD10A5"/>
    <w:rsid w:val="00CD2076"/>
    <w:rsid w:val="00CD29B5"/>
    <w:rsid w:val="00CD6331"/>
    <w:rsid w:val="00CE153B"/>
    <w:rsid w:val="00CE670B"/>
    <w:rsid w:val="00CF1C4C"/>
    <w:rsid w:val="00CF4908"/>
    <w:rsid w:val="00CF51EC"/>
    <w:rsid w:val="00CF73AE"/>
    <w:rsid w:val="00D040DD"/>
    <w:rsid w:val="00D050F8"/>
    <w:rsid w:val="00D075BE"/>
    <w:rsid w:val="00D1005A"/>
    <w:rsid w:val="00D11854"/>
    <w:rsid w:val="00D13986"/>
    <w:rsid w:val="00D21D83"/>
    <w:rsid w:val="00D235B7"/>
    <w:rsid w:val="00D25F28"/>
    <w:rsid w:val="00D26071"/>
    <w:rsid w:val="00D27973"/>
    <w:rsid w:val="00D279B8"/>
    <w:rsid w:val="00D32F90"/>
    <w:rsid w:val="00D35E1A"/>
    <w:rsid w:val="00D460FB"/>
    <w:rsid w:val="00D50F46"/>
    <w:rsid w:val="00D52BE2"/>
    <w:rsid w:val="00D57677"/>
    <w:rsid w:val="00D66223"/>
    <w:rsid w:val="00D8084C"/>
    <w:rsid w:val="00D915EA"/>
    <w:rsid w:val="00D93CE2"/>
    <w:rsid w:val="00D943C6"/>
    <w:rsid w:val="00D965EC"/>
    <w:rsid w:val="00DA7C0C"/>
    <w:rsid w:val="00DB08A9"/>
    <w:rsid w:val="00DB2EC8"/>
    <w:rsid w:val="00DC37E3"/>
    <w:rsid w:val="00DC5B3B"/>
    <w:rsid w:val="00DD129F"/>
    <w:rsid w:val="00DE4C19"/>
    <w:rsid w:val="00DF42FF"/>
    <w:rsid w:val="00DF7AD4"/>
    <w:rsid w:val="00E01C0E"/>
    <w:rsid w:val="00E03F9A"/>
    <w:rsid w:val="00E04694"/>
    <w:rsid w:val="00E04F27"/>
    <w:rsid w:val="00E102BD"/>
    <w:rsid w:val="00E11DE1"/>
    <w:rsid w:val="00E12B1E"/>
    <w:rsid w:val="00E17262"/>
    <w:rsid w:val="00E212C9"/>
    <w:rsid w:val="00E253A2"/>
    <w:rsid w:val="00E3309D"/>
    <w:rsid w:val="00E453F9"/>
    <w:rsid w:val="00E47EBA"/>
    <w:rsid w:val="00E50156"/>
    <w:rsid w:val="00E53470"/>
    <w:rsid w:val="00E539F6"/>
    <w:rsid w:val="00E6519D"/>
    <w:rsid w:val="00E67696"/>
    <w:rsid w:val="00E711D1"/>
    <w:rsid w:val="00E71A58"/>
    <w:rsid w:val="00E72A7A"/>
    <w:rsid w:val="00E733C7"/>
    <w:rsid w:val="00E75C94"/>
    <w:rsid w:val="00E76E61"/>
    <w:rsid w:val="00E924B2"/>
    <w:rsid w:val="00E93820"/>
    <w:rsid w:val="00E94A86"/>
    <w:rsid w:val="00E96143"/>
    <w:rsid w:val="00E972A9"/>
    <w:rsid w:val="00EA0840"/>
    <w:rsid w:val="00EA0C68"/>
    <w:rsid w:val="00EA17B0"/>
    <w:rsid w:val="00EA32BC"/>
    <w:rsid w:val="00EA405F"/>
    <w:rsid w:val="00EB4511"/>
    <w:rsid w:val="00EC03D7"/>
    <w:rsid w:val="00EC25F0"/>
    <w:rsid w:val="00ED62C6"/>
    <w:rsid w:val="00ED64C1"/>
    <w:rsid w:val="00EE2D85"/>
    <w:rsid w:val="00EE3446"/>
    <w:rsid w:val="00EE3E78"/>
    <w:rsid w:val="00EE4B1B"/>
    <w:rsid w:val="00EF150D"/>
    <w:rsid w:val="00EF1F5A"/>
    <w:rsid w:val="00EF47BF"/>
    <w:rsid w:val="00F04811"/>
    <w:rsid w:val="00F0488C"/>
    <w:rsid w:val="00F10F11"/>
    <w:rsid w:val="00F15AAA"/>
    <w:rsid w:val="00F15BEF"/>
    <w:rsid w:val="00F160CE"/>
    <w:rsid w:val="00F162B3"/>
    <w:rsid w:val="00F24407"/>
    <w:rsid w:val="00F24FAA"/>
    <w:rsid w:val="00F3364D"/>
    <w:rsid w:val="00F33E56"/>
    <w:rsid w:val="00F433FE"/>
    <w:rsid w:val="00F437CC"/>
    <w:rsid w:val="00F44537"/>
    <w:rsid w:val="00F46502"/>
    <w:rsid w:val="00F47067"/>
    <w:rsid w:val="00F525EB"/>
    <w:rsid w:val="00F55E08"/>
    <w:rsid w:val="00F63DDE"/>
    <w:rsid w:val="00F63FB7"/>
    <w:rsid w:val="00F6421B"/>
    <w:rsid w:val="00F649D2"/>
    <w:rsid w:val="00F6602B"/>
    <w:rsid w:val="00F73A0C"/>
    <w:rsid w:val="00F756DB"/>
    <w:rsid w:val="00F84E7D"/>
    <w:rsid w:val="00F85066"/>
    <w:rsid w:val="00F859D0"/>
    <w:rsid w:val="00F87A4D"/>
    <w:rsid w:val="00FA5D4D"/>
    <w:rsid w:val="00FB0EE2"/>
    <w:rsid w:val="00FB542E"/>
    <w:rsid w:val="00FC0359"/>
    <w:rsid w:val="00FC0E5F"/>
    <w:rsid w:val="00FC1A95"/>
    <w:rsid w:val="00FC56DE"/>
    <w:rsid w:val="00FC684B"/>
    <w:rsid w:val="00FD3265"/>
    <w:rsid w:val="00FD4916"/>
    <w:rsid w:val="00FE2F78"/>
    <w:rsid w:val="00FE6609"/>
    <w:rsid w:val="00FF3EEC"/>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qFormat/>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EA0840"/>
    <w:rPr>
      <w:noProof/>
      <w:lang w:eastAsia="en-US"/>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F46502"/>
    <w:pPr>
      <w:keepNext/>
      <w:keepLines/>
      <w:spacing w:after="100"/>
      <w:contextualSpacing/>
      <w:jc w:val="left"/>
      <w:outlineLvl w:val="0"/>
    </w:pPr>
    <w:rPr>
      <w:rFonts w:eastAsia="MS Gothic"/>
      <w:b/>
      <w:bCs/>
      <w:color w:val="71818C"/>
      <w:sz w:val="32"/>
      <w:szCs w:val="28"/>
    </w:rPr>
  </w:style>
  <w:style w:type="paragraph" w:customStyle="1" w:styleId="Nadpis21">
    <w:name w:val="Nadpis 21"/>
    <w:basedOn w:val="Normln"/>
    <w:uiPriority w:val="9"/>
    <w:qFormat/>
    <w:rsid w:val="00F46502"/>
    <w:pPr>
      <w:keepNext/>
      <w:keepLines/>
      <w:spacing w:after="0"/>
      <w:jc w:val="left"/>
      <w:outlineLvl w:val="1"/>
    </w:pPr>
    <w:rPr>
      <w:rFonts w:eastAsia="MS Gothic"/>
      <w:b/>
      <w:bCs/>
      <w:color w:val="71818C"/>
      <w:sz w:val="28"/>
      <w:szCs w:val="26"/>
    </w:rPr>
  </w:style>
  <w:style w:type="paragraph" w:customStyle="1" w:styleId="Textpoznpodarou1">
    <w:name w:val="Text pozn. pod čarou1"/>
    <w:basedOn w:val="Normln"/>
    <w:rsid w:val="00F46502"/>
    <w:pPr>
      <w:spacing w:after="0" w:line="240" w:lineRule="auto"/>
      <w:jc w:val="left"/>
    </w:pPr>
    <w:rPr>
      <w:rFonts w:eastAsia="Calibri"/>
      <w:color w:val="00000A"/>
      <w:szCs w:val="20"/>
    </w:rPr>
  </w:style>
  <w:style w:type="character" w:customStyle="1" w:styleId="TextpoznpodarouChar1">
    <w:name w:val="Text pozn. pod čarou Char1"/>
    <w:aliases w:val="Text pozn. pod čarou_martin_ang Char1"/>
    <w:basedOn w:val="Standardnpsmoodstavce"/>
    <w:semiHidden/>
    <w:rsid w:val="00F46502"/>
    <w:rPr>
      <w:rFonts w:ascii="Arial" w:eastAsia="Times New Roman" w:hAnsi="Arial" w:cs="Times New Roman"/>
      <w:color w:val="00000A"/>
      <w:szCs w:val="20"/>
      <w:lang w:eastAsia="cs-CZ"/>
    </w:rPr>
  </w:style>
  <w:style w:type="character" w:styleId="Znakapoznpodarou">
    <w:name w:val="footnote reference"/>
    <w:basedOn w:val="Standardnpsmoodstavce"/>
    <w:rsid w:val="00F46502"/>
    <w:rPr>
      <w:rFonts w:cs="Times New Roman"/>
      <w:vertAlign w:val="superscript"/>
    </w:rPr>
  </w:style>
  <w:style w:type="character" w:customStyle="1" w:styleId="odkaz-style-wrapper">
    <w:name w:val="odkaz-style-wrapper"/>
    <w:basedOn w:val="Standardnpsmoodstavce"/>
    <w:rsid w:val="00BE6186"/>
  </w:style>
  <w:style w:type="paragraph" w:customStyle="1" w:styleId="Nadpis110">
    <w:name w:val="Nadpis 11"/>
    <w:basedOn w:val="Normln"/>
    <w:uiPriority w:val="9"/>
    <w:qFormat/>
    <w:rsid w:val="00BE6186"/>
    <w:pPr>
      <w:keepNext/>
      <w:keepLines/>
      <w:spacing w:after="100"/>
      <w:contextualSpacing/>
      <w:jc w:val="left"/>
      <w:outlineLvl w:val="0"/>
    </w:pPr>
    <w:rPr>
      <w:rFonts w:eastAsia="MS Gothic"/>
      <w:b/>
      <w:bCs/>
      <w:color w:val="71818C"/>
      <w:sz w:val="32"/>
      <w:szCs w:val="28"/>
    </w:rPr>
  </w:style>
  <w:style w:type="paragraph" w:customStyle="1" w:styleId="Nadpis210">
    <w:name w:val="Nadpis 21"/>
    <w:basedOn w:val="Normln"/>
    <w:uiPriority w:val="9"/>
    <w:qFormat/>
    <w:rsid w:val="00BE6186"/>
    <w:pPr>
      <w:keepNext/>
      <w:keepLines/>
      <w:spacing w:after="0"/>
      <w:jc w:val="left"/>
      <w:outlineLvl w:val="1"/>
    </w:pPr>
    <w:rPr>
      <w:rFonts w:eastAsia="MS Gothic"/>
      <w:b/>
      <w:bCs/>
      <w:color w:val="71818C"/>
      <w:sz w:val="28"/>
      <w:szCs w:val="26"/>
    </w:rPr>
  </w:style>
  <w:style w:type="paragraph" w:customStyle="1" w:styleId="Textpoznpodarou10">
    <w:name w:val="Text pozn. pod čarou1"/>
    <w:basedOn w:val="Normln"/>
    <w:rsid w:val="00BE6186"/>
    <w:pPr>
      <w:spacing w:after="0" w:line="240" w:lineRule="auto"/>
      <w:jc w:val="left"/>
    </w:pPr>
    <w:rPr>
      <w:rFonts w:eastAsia="Calibri"/>
      <w:color w:val="00000A"/>
      <w:szCs w:val="20"/>
    </w:rPr>
  </w:style>
  <w:style w:type="paragraph" w:styleId="Normlnweb">
    <w:name w:val="Normal (Web)"/>
    <w:basedOn w:val="Normln"/>
    <w:uiPriority w:val="99"/>
    <w:unhideWhenUsed/>
    <w:rsid w:val="00C96D08"/>
    <w:pPr>
      <w:spacing w:before="100" w:beforeAutospacing="1" w:after="100" w:afterAutospacing="1" w:line="240" w:lineRule="auto"/>
      <w:jc w:val="left"/>
    </w:pPr>
    <w:rPr>
      <w:rFonts w:ascii="Times New Roman" w:hAnsi="Times New Roman"/>
      <w:sz w:val="24"/>
    </w:rPr>
  </w:style>
  <w:style w:type="paragraph" w:styleId="Zkladntext">
    <w:name w:val="Body Text"/>
    <w:basedOn w:val="Normln"/>
    <w:link w:val="ZkladntextChar"/>
    <w:semiHidden/>
    <w:rsid w:val="004C5FBF"/>
    <w:pPr>
      <w:widowControl w:val="0"/>
      <w:suppressAutoHyphens/>
      <w:autoSpaceDE w:val="0"/>
      <w:autoSpaceDN w:val="0"/>
      <w:adjustRightInd w:val="0"/>
      <w:spacing w:before="120" w:after="0" w:line="215" w:lineRule="exact"/>
    </w:pPr>
    <w:rPr>
      <w:rFonts w:ascii="Times New Roman CE obyèejné" w:hAnsi="Times New Roman CE obyèejné"/>
      <w:szCs w:val="20"/>
    </w:rPr>
  </w:style>
  <w:style w:type="character" w:customStyle="1" w:styleId="ZkladntextChar">
    <w:name w:val="Základní text Char"/>
    <w:basedOn w:val="Standardnpsmoodstavce"/>
    <w:link w:val="Zkladntext"/>
    <w:semiHidden/>
    <w:rsid w:val="004C5FBF"/>
    <w:rPr>
      <w:rFonts w:ascii="Times New Roman CE obyèejné" w:eastAsia="Times New Roman" w:hAnsi="Times New Roman CE obyèejné"/>
      <w:lang w:eastAsia="cs-CZ"/>
    </w:rPr>
  </w:style>
  <w:style w:type="character" w:customStyle="1" w:styleId="content">
    <w:name w:val="content"/>
    <w:basedOn w:val="Standardnpsmoodstavce"/>
    <w:rsid w:val="003C4BE8"/>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615720">
      <w:bodyDiv w:val="1"/>
      <w:marLeft w:val="60"/>
      <w:marRight w:val="60"/>
      <w:marTop w:val="60"/>
      <w:marBottom w:val="15"/>
      <w:divBdr>
        <w:top w:val="none" w:sz="0" w:space="0" w:color="auto"/>
        <w:left w:val="none" w:sz="0" w:space="0" w:color="auto"/>
        <w:bottom w:val="none" w:sz="0" w:space="0" w:color="auto"/>
        <w:right w:val="none" w:sz="0" w:space="0" w:color="auto"/>
      </w:divBdr>
      <w:divsChild>
        <w:div w:id="658968227">
          <w:marLeft w:val="0"/>
          <w:marRight w:val="0"/>
          <w:marTop w:val="0"/>
          <w:marBottom w:val="0"/>
          <w:divBdr>
            <w:top w:val="none" w:sz="0" w:space="0" w:color="auto"/>
            <w:left w:val="none" w:sz="0" w:space="0" w:color="auto"/>
            <w:bottom w:val="none" w:sz="0" w:space="0" w:color="auto"/>
            <w:right w:val="none" w:sz="0" w:space="0" w:color="auto"/>
          </w:divBdr>
        </w:div>
      </w:divsChild>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4515303">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226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18138374">
          <w:marLeft w:val="0"/>
          <w:marRight w:val="0"/>
          <w:marTop w:val="0"/>
          <w:marBottom w:val="0"/>
          <w:divBdr>
            <w:top w:val="none" w:sz="0" w:space="0" w:color="auto"/>
            <w:left w:val="none" w:sz="0" w:space="0" w:color="auto"/>
            <w:bottom w:val="none" w:sz="0" w:space="0" w:color="auto"/>
            <w:right w:val="none" w:sz="0" w:space="0" w:color="auto"/>
          </w:divBdr>
        </w:div>
      </w:divsChild>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4047975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Ro&#269;n&#237;%20anal&#253;za%202018\Ana&#253;za%20ekonomick&#233;ho%20v&#253;voje%20v%20roce%202017.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ukupova31519\AppData\Local\Temp\Vystup-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Ro&#269;n&#237;%20anal&#253;za%202018\Vn&#283;j&#353;&#237;%20vztahy\investi&#269;n&#237;%20pozi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7.1656746031746113E-2"/>
          <c:y val="3.9316672295395698E-2"/>
          <c:w val="0.9085062056737585"/>
          <c:h val="0.73398489309186365"/>
        </c:manualLayout>
      </c:layout>
      <c:barChart>
        <c:barDir val="col"/>
        <c:grouping val="stacked"/>
        <c:ser>
          <c:idx val="14"/>
          <c:order val="1"/>
          <c:tx>
            <c:strRef>
              <c:f>'Vystup-4'!$P$17</c:f>
              <c:strCache>
                <c:ptCount val="1"/>
                <c:pt idx="0">
                  <c:v>Ostatní</c:v>
                </c:pt>
              </c:strCache>
            </c:strRef>
          </c:tx>
          <c:spPr>
            <a:solidFill>
              <a:srgbClr val="808080"/>
            </a:solidFill>
          </c:spPr>
          <c:cat>
            <c:numRef>
              <c:f>'Vystup-4'!$A$18:$A$27</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'Vystup-4'!$P$18:$P$27</c:f>
              <c:numCache>
                <c:formatCode>General</c:formatCode>
                <c:ptCount val="10"/>
                <c:pt idx="0">
                  <c:v>1.6460000000000021</c:v>
                </c:pt>
                <c:pt idx="1">
                  <c:v>-2.1359999999999997</c:v>
                </c:pt>
                <c:pt idx="2">
                  <c:v>9.4720000000000066</c:v>
                </c:pt>
                <c:pt idx="3">
                  <c:v>8.0500000000000025</c:v>
                </c:pt>
                <c:pt idx="4">
                  <c:v>-4.5489999999999995</c:v>
                </c:pt>
                <c:pt idx="5">
                  <c:v>2.5559999999999987</c:v>
                </c:pt>
                <c:pt idx="6">
                  <c:v>-10.41</c:v>
                </c:pt>
                <c:pt idx="7">
                  <c:v>7.4380000000000024</c:v>
                </c:pt>
                <c:pt idx="8">
                  <c:v>2.9809999999999999</c:v>
                </c:pt>
                <c:pt idx="9">
                  <c:v>6.785000000000001</c:v>
                </c:pt>
              </c:numCache>
            </c:numRef>
          </c:val>
          <c:extLst xmlns:c16r2="http://schemas.microsoft.com/office/drawing/2015/06/chart">
            <c:ext xmlns:c16="http://schemas.microsoft.com/office/drawing/2014/chart" uri="{C3380CC4-5D6E-409C-BE32-E72D297353CC}">
              <c16:uniqueId val="{00000000-BDCF-4C27-B532-9B334DBF9434}"/>
            </c:ext>
          </c:extLst>
        </c:ser>
        <c:ser>
          <c:idx val="8"/>
          <c:order val="2"/>
          <c:tx>
            <c:strRef>
              <c:f>'Vystup-4'!$J$17</c:f>
              <c:strCache>
                <c:ptCount val="1"/>
                <c:pt idx="0">
                  <c:v>Využívání duševního vlastnictví</c:v>
                </c:pt>
              </c:strCache>
            </c:strRef>
          </c:tx>
          <c:spPr>
            <a:solidFill>
              <a:srgbClr val="E8AFB2"/>
            </a:solidFill>
          </c:spPr>
          <c:cat>
            <c:numRef>
              <c:f>'Vystup-4'!$A$18:$A$27</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'Vystup-4'!$J$18:$J$27</c:f>
              <c:numCache>
                <c:formatCode>General</c:formatCode>
                <c:ptCount val="10"/>
                <c:pt idx="0">
                  <c:v>-12.259</c:v>
                </c:pt>
                <c:pt idx="1">
                  <c:v>-12.518000000000001</c:v>
                </c:pt>
                <c:pt idx="2">
                  <c:v>-13.31</c:v>
                </c:pt>
                <c:pt idx="3">
                  <c:v>-15.837</c:v>
                </c:pt>
                <c:pt idx="4">
                  <c:v>-13.493</c:v>
                </c:pt>
                <c:pt idx="5">
                  <c:v>-15.122</c:v>
                </c:pt>
                <c:pt idx="6">
                  <c:v>-17.57</c:v>
                </c:pt>
                <c:pt idx="7">
                  <c:v>-18.759</c:v>
                </c:pt>
                <c:pt idx="8">
                  <c:v>-18.280999999999889</c:v>
                </c:pt>
                <c:pt idx="9">
                  <c:v>-18.937000000000001</c:v>
                </c:pt>
              </c:numCache>
            </c:numRef>
          </c:val>
          <c:extLst xmlns:c16r2="http://schemas.microsoft.com/office/drawing/2015/06/chart">
            <c:ext xmlns:c16="http://schemas.microsoft.com/office/drawing/2014/chart" uri="{C3380CC4-5D6E-409C-BE32-E72D297353CC}">
              <c16:uniqueId val="{00000001-BDCF-4C27-B532-9B334DBF9434}"/>
            </c:ext>
          </c:extLst>
        </c:ser>
        <c:ser>
          <c:idx val="6"/>
          <c:order val="3"/>
          <c:tx>
            <c:strRef>
              <c:f>'Vystup-4'!$H$17</c:f>
              <c:strCache>
                <c:ptCount val="1"/>
                <c:pt idx="0">
                  <c:v>Pojišť. služby a penzijní fin.</c:v>
                </c:pt>
              </c:strCache>
            </c:strRef>
          </c:tx>
          <c:spPr>
            <a:solidFill>
              <a:srgbClr val="48AEE7"/>
            </a:solidFill>
          </c:spPr>
          <c:cat>
            <c:numRef>
              <c:f>'Vystup-4'!$A$18:$A$27</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'Vystup-4'!$H$18:$H$27</c:f>
              <c:numCache>
                <c:formatCode>General</c:formatCode>
                <c:ptCount val="10"/>
                <c:pt idx="0">
                  <c:v>-8.0450000000000017</c:v>
                </c:pt>
                <c:pt idx="1">
                  <c:v>-8.9130000000000003</c:v>
                </c:pt>
                <c:pt idx="2">
                  <c:v>-7.8959999999999955</c:v>
                </c:pt>
                <c:pt idx="3">
                  <c:v>-9.8320000000000007</c:v>
                </c:pt>
                <c:pt idx="4">
                  <c:v>-9.3710000000000004</c:v>
                </c:pt>
                <c:pt idx="5">
                  <c:v>-11.069000000000004</c:v>
                </c:pt>
                <c:pt idx="6">
                  <c:v>-13.104000000000001</c:v>
                </c:pt>
                <c:pt idx="7">
                  <c:v>-11.477</c:v>
                </c:pt>
                <c:pt idx="8">
                  <c:v>-10.787000000000001</c:v>
                </c:pt>
                <c:pt idx="9">
                  <c:v>-11.221</c:v>
                </c:pt>
              </c:numCache>
            </c:numRef>
          </c:val>
          <c:extLst xmlns:c16r2="http://schemas.microsoft.com/office/drawing/2015/06/chart">
            <c:ext xmlns:c16="http://schemas.microsoft.com/office/drawing/2014/chart" uri="{C3380CC4-5D6E-409C-BE32-E72D297353CC}">
              <c16:uniqueId val="{00000002-BDCF-4C27-B532-9B334DBF9434}"/>
            </c:ext>
          </c:extLst>
        </c:ser>
        <c:ser>
          <c:idx val="3"/>
          <c:order val="4"/>
          <c:tx>
            <c:strRef>
              <c:f>'Vystup-4'!$E$17</c:f>
              <c:strCache>
                <c:ptCount val="1"/>
                <c:pt idx="0">
                  <c:v>Doprava</c:v>
                </c:pt>
              </c:strCache>
            </c:strRef>
          </c:tx>
          <c:spPr>
            <a:solidFill>
              <a:srgbClr val="A6CDE8"/>
            </a:solidFill>
          </c:spPr>
          <c:cat>
            <c:numRef>
              <c:f>'Vystup-4'!$A$18:$A$27</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'Vystup-4'!$E$18:$E$27</c:f>
              <c:numCache>
                <c:formatCode>General</c:formatCode>
                <c:ptCount val="10"/>
                <c:pt idx="0">
                  <c:v>24.431999999999999</c:v>
                </c:pt>
                <c:pt idx="1">
                  <c:v>26.261999999999986</c:v>
                </c:pt>
                <c:pt idx="2">
                  <c:v>19.267999999999986</c:v>
                </c:pt>
                <c:pt idx="3">
                  <c:v>22.196999999999999</c:v>
                </c:pt>
                <c:pt idx="4">
                  <c:v>19.864000000000001</c:v>
                </c:pt>
                <c:pt idx="5">
                  <c:v>9.5210000000000008</c:v>
                </c:pt>
                <c:pt idx="6">
                  <c:v>13.495000000000006</c:v>
                </c:pt>
                <c:pt idx="7">
                  <c:v>13.747</c:v>
                </c:pt>
                <c:pt idx="8">
                  <c:v>29.864999999999988</c:v>
                </c:pt>
                <c:pt idx="9">
                  <c:v>31.204999999999988</c:v>
                </c:pt>
              </c:numCache>
            </c:numRef>
          </c:val>
          <c:extLst xmlns:c16r2="http://schemas.microsoft.com/office/drawing/2015/06/chart">
            <c:ext xmlns:c16="http://schemas.microsoft.com/office/drawing/2014/chart" uri="{C3380CC4-5D6E-409C-BE32-E72D297353CC}">
              <c16:uniqueId val="{00000003-BDCF-4C27-B532-9B334DBF9434}"/>
            </c:ext>
          </c:extLst>
        </c:ser>
        <c:ser>
          <c:idx val="4"/>
          <c:order val="5"/>
          <c:tx>
            <c:strRef>
              <c:f>'Vystup-4'!$F$17</c:f>
              <c:strCache>
                <c:ptCount val="1"/>
                <c:pt idx="0">
                  <c:v>Cestovní ruch</c:v>
                </c:pt>
              </c:strCache>
            </c:strRef>
          </c:tx>
          <c:spPr>
            <a:solidFill>
              <a:srgbClr val="0071BC"/>
            </a:solidFill>
          </c:spPr>
          <c:cat>
            <c:numRef>
              <c:f>'Vystup-4'!$A$18:$A$27</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'Vystup-4'!$F$18:$F$27</c:f>
              <c:numCache>
                <c:formatCode>General</c:formatCode>
                <c:ptCount val="10"/>
                <c:pt idx="0">
                  <c:v>56.623000000000012</c:v>
                </c:pt>
                <c:pt idx="1">
                  <c:v>56.501000000000005</c:v>
                </c:pt>
                <c:pt idx="2">
                  <c:v>55.764000000000003</c:v>
                </c:pt>
                <c:pt idx="3">
                  <c:v>58.937000000000005</c:v>
                </c:pt>
                <c:pt idx="4">
                  <c:v>58.377000000000002</c:v>
                </c:pt>
                <c:pt idx="5">
                  <c:v>47.072000000000003</c:v>
                </c:pt>
                <c:pt idx="6">
                  <c:v>35.061</c:v>
                </c:pt>
                <c:pt idx="7">
                  <c:v>31.613000000000035</c:v>
                </c:pt>
                <c:pt idx="8">
                  <c:v>33.963000000000001</c:v>
                </c:pt>
                <c:pt idx="9">
                  <c:v>35.15</c:v>
                </c:pt>
              </c:numCache>
            </c:numRef>
          </c:val>
          <c:extLst xmlns:c16r2="http://schemas.microsoft.com/office/drawing/2015/06/chart">
            <c:ext xmlns:c16="http://schemas.microsoft.com/office/drawing/2014/chart" uri="{C3380CC4-5D6E-409C-BE32-E72D297353CC}">
              <c16:uniqueId val="{00000004-BDCF-4C27-B532-9B334DBF9434}"/>
            </c:ext>
          </c:extLst>
        </c:ser>
        <c:ser>
          <c:idx val="9"/>
          <c:order val="6"/>
          <c:tx>
            <c:strRef>
              <c:f>'Vystup-4'!$K$17</c:f>
              <c:strCache>
                <c:ptCount val="1"/>
                <c:pt idx="0">
                  <c:v>Telekom. služby, informační služby</c:v>
                </c:pt>
              </c:strCache>
            </c:strRef>
          </c:tx>
          <c:spPr>
            <a:solidFill>
              <a:srgbClr val="7DBB2D"/>
            </a:solidFill>
          </c:spPr>
          <c:cat>
            <c:numRef>
              <c:f>'Vystup-4'!$A$18:$A$27</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'Vystup-4'!$K$18:$K$27</c:f>
              <c:numCache>
                <c:formatCode>General</c:formatCode>
                <c:ptCount val="10"/>
                <c:pt idx="0">
                  <c:v>7.9880000000000004</c:v>
                </c:pt>
                <c:pt idx="1">
                  <c:v>4.6189999999999856</c:v>
                </c:pt>
                <c:pt idx="2">
                  <c:v>-0.84300000000000064</c:v>
                </c:pt>
                <c:pt idx="3">
                  <c:v>6.8760000000000003</c:v>
                </c:pt>
                <c:pt idx="4">
                  <c:v>12.22</c:v>
                </c:pt>
                <c:pt idx="5">
                  <c:v>12.796000000000001</c:v>
                </c:pt>
                <c:pt idx="6">
                  <c:v>19.100000000000001</c:v>
                </c:pt>
                <c:pt idx="7">
                  <c:v>24.332999999999988</c:v>
                </c:pt>
                <c:pt idx="8">
                  <c:v>32.887999999999998</c:v>
                </c:pt>
                <c:pt idx="9">
                  <c:v>37.854999999999997</c:v>
                </c:pt>
              </c:numCache>
            </c:numRef>
          </c:val>
          <c:extLst xmlns:c16r2="http://schemas.microsoft.com/office/drawing/2015/06/chart">
            <c:ext xmlns:c16="http://schemas.microsoft.com/office/drawing/2014/chart" uri="{C3380CC4-5D6E-409C-BE32-E72D297353CC}">
              <c16:uniqueId val="{00000005-BDCF-4C27-B532-9B334DBF9434}"/>
            </c:ext>
          </c:extLst>
        </c:ser>
        <c:ser>
          <c:idx val="1"/>
          <c:order val="7"/>
          <c:tx>
            <c:strRef>
              <c:f>'Vystup-4'!$C$17</c:f>
              <c:strCache>
                <c:ptCount val="1"/>
                <c:pt idx="0">
                  <c:v>Výr. služby u cizích fyz. vstupů</c:v>
                </c:pt>
              </c:strCache>
            </c:strRef>
          </c:tx>
          <c:spPr>
            <a:solidFill>
              <a:srgbClr val="BD1B21"/>
            </a:solidFill>
          </c:spPr>
          <c:cat>
            <c:numRef>
              <c:f>'Vystup-4'!$A$18:$A$27</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'Vystup-4'!$C$18:$C$27</c:f>
              <c:numCache>
                <c:formatCode>General</c:formatCode>
                <c:ptCount val="10"/>
                <c:pt idx="0">
                  <c:v>18.888999999999989</c:v>
                </c:pt>
                <c:pt idx="1">
                  <c:v>18.100000000000001</c:v>
                </c:pt>
                <c:pt idx="2">
                  <c:v>16.021999999999988</c:v>
                </c:pt>
                <c:pt idx="3">
                  <c:v>10.89</c:v>
                </c:pt>
                <c:pt idx="4">
                  <c:v>14.579000000000002</c:v>
                </c:pt>
                <c:pt idx="5">
                  <c:v>24.602</c:v>
                </c:pt>
                <c:pt idx="6">
                  <c:v>29.079000000000001</c:v>
                </c:pt>
                <c:pt idx="7">
                  <c:v>31.145</c:v>
                </c:pt>
                <c:pt idx="8">
                  <c:v>36.980000000000004</c:v>
                </c:pt>
                <c:pt idx="9">
                  <c:v>41.157000000000004</c:v>
                </c:pt>
              </c:numCache>
            </c:numRef>
          </c:val>
          <c:extLst xmlns:c16r2="http://schemas.microsoft.com/office/drawing/2015/06/chart">
            <c:ext xmlns:c16="http://schemas.microsoft.com/office/drawing/2014/chart" uri="{C3380CC4-5D6E-409C-BE32-E72D297353CC}">
              <c16:uniqueId val="{00000006-BDCF-4C27-B532-9B334DBF9434}"/>
            </c:ext>
          </c:extLst>
        </c:ser>
        <c:overlap val="100"/>
        <c:axId val="168402944"/>
        <c:axId val="168404480"/>
      </c:barChart>
      <c:lineChart>
        <c:grouping val="standard"/>
        <c:ser>
          <c:idx val="0"/>
          <c:order val="0"/>
          <c:tx>
            <c:strRef>
              <c:f>'Vystup-4'!$B$17</c:f>
              <c:strCache>
                <c:ptCount val="1"/>
                <c:pt idx="0">
                  <c:v>Služby</c:v>
                </c:pt>
              </c:strCache>
            </c:strRef>
          </c:tx>
          <c:spPr>
            <a:ln>
              <a:solidFill>
                <a:schemeClr val="tx1"/>
              </a:solidFill>
            </a:ln>
          </c:spPr>
          <c:marker>
            <c:symbol val="none"/>
          </c:marker>
          <c:cat>
            <c:numRef>
              <c:f>'Vystup-4'!$A$18:$A$27</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'Vystup-4'!$B$18:$B$27</c:f>
              <c:numCache>
                <c:formatCode>General</c:formatCode>
                <c:ptCount val="10"/>
                <c:pt idx="0">
                  <c:v>89.274000000000001</c:v>
                </c:pt>
                <c:pt idx="1">
                  <c:v>81.917000000000513</c:v>
                </c:pt>
                <c:pt idx="2">
                  <c:v>78.475999999999999</c:v>
                </c:pt>
                <c:pt idx="3">
                  <c:v>81.281999999999996</c:v>
                </c:pt>
                <c:pt idx="4">
                  <c:v>77.625999999999948</c:v>
                </c:pt>
                <c:pt idx="5">
                  <c:v>70.35899999999998</c:v>
                </c:pt>
                <c:pt idx="6">
                  <c:v>55.651000000000003</c:v>
                </c:pt>
                <c:pt idx="7">
                  <c:v>78.037999999999997</c:v>
                </c:pt>
                <c:pt idx="8">
                  <c:v>107.60899999999998</c:v>
                </c:pt>
                <c:pt idx="9">
                  <c:v>121.99400000000048</c:v>
                </c:pt>
              </c:numCache>
            </c:numRef>
          </c:val>
          <c:extLst xmlns:c16r2="http://schemas.microsoft.com/office/drawing/2015/06/chart">
            <c:ext xmlns:c16="http://schemas.microsoft.com/office/drawing/2014/chart" uri="{C3380CC4-5D6E-409C-BE32-E72D297353CC}">
              <c16:uniqueId val="{00000007-BDCF-4C27-B532-9B334DBF9434}"/>
            </c:ext>
          </c:extLst>
        </c:ser>
        <c:marker val="1"/>
        <c:axId val="168402944"/>
        <c:axId val="168404480"/>
      </c:lineChart>
      <c:catAx>
        <c:axId val="168402944"/>
        <c:scaling>
          <c:orientation val="minMax"/>
        </c:scaling>
        <c:axPos val="b"/>
        <c:numFmt formatCode="0" sourceLinked="1"/>
        <c:tickLblPos val="low"/>
        <c:crossAx val="168404480"/>
        <c:crosses val="autoZero"/>
        <c:auto val="1"/>
        <c:lblAlgn val="ctr"/>
        <c:lblOffset val="100"/>
      </c:catAx>
      <c:valAx>
        <c:axId val="168404480"/>
        <c:scaling>
          <c:orientation val="minMax"/>
          <c:min val="-50"/>
        </c:scaling>
        <c:axPos val="l"/>
        <c:majorGridlines/>
        <c:numFmt formatCode="General" sourceLinked="1"/>
        <c:tickLblPos val="nextTo"/>
        <c:crossAx val="168402944"/>
        <c:crosses val="autoZero"/>
        <c:crossBetween val="between"/>
        <c:majorUnit val="25"/>
      </c:valAx>
      <c:spPr>
        <a:ln>
          <a:solidFill>
            <a:prstClr val="black"/>
          </a:solidFill>
        </a:ln>
      </c:spPr>
    </c:plotArea>
    <c:legend>
      <c:legendPos val="r"/>
      <c:layout>
        <c:manualLayout>
          <c:xMode val="edge"/>
          <c:yMode val="edge"/>
          <c:x val="7.1411685241472525E-2"/>
          <c:y val="0.85346537008951162"/>
          <c:w val="0.90714285714285714"/>
          <c:h val="0.13673179290451118"/>
        </c:manualLayout>
      </c:layout>
      <c:spPr>
        <a:ln>
          <a:solidFill>
            <a:prstClr val="black"/>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9.072990543735325E-2"/>
          <c:y val="3.9316672295395698E-2"/>
          <c:w val="0.88742253461668352"/>
          <c:h val="0.75032196330069145"/>
        </c:manualLayout>
      </c:layout>
      <c:barChart>
        <c:barDir val="col"/>
        <c:grouping val="stacked"/>
        <c:ser>
          <c:idx val="1"/>
          <c:order val="1"/>
          <c:tx>
            <c:strRef>
              <c:f>Vystup!$C$17</c:f>
              <c:strCache>
                <c:ptCount val="1"/>
                <c:pt idx="0">
                  <c:v>Přímé investice</c:v>
                </c:pt>
              </c:strCache>
            </c:strRef>
          </c:tx>
          <c:spPr>
            <a:solidFill>
              <a:srgbClr val="0071BC"/>
            </a:solidFill>
          </c:spPr>
          <c:cat>
            <c:numRef>
              <c:f>Vystup!$A$18:$A$27</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Vystup!$C$18:$C$27</c:f>
              <c:numCache>
                <c:formatCode>General</c:formatCode>
                <c:ptCount val="10"/>
                <c:pt idx="0">
                  <c:v>-1947.0266000000001</c:v>
                </c:pt>
                <c:pt idx="1">
                  <c:v>-2039.2679000000001</c:v>
                </c:pt>
                <c:pt idx="2">
                  <c:v>-2129.7679999999987</c:v>
                </c:pt>
                <c:pt idx="3">
                  <c:v>-2140.6570999999999</c:v>
                </c:pt>
                <c:pt idx="4">
                  <c:v>-2269.9308999999998</c:v>
                </c:pt>
                <c:pt idx="5">
                  <c:v>-2257.134</c:v>
                </c:pt>
                <c:pt idx="6">
                  <c:v>-2358.2125000000001</c:v>
                </c:pt>
                <c:pt idx="7">
                  <c:v>-2433.6567999999997</c:v>
                </c:pt>
                <c:pt idx="8">
                  <c:v>-2626.1597000000002</c:v>
                </c:pt>
                <c:pt idx="9">
                  <c:v>-2793.4432999999999</c:v>
                </c:pt>
              </c:numCache>
            </c:numRef>
          </c:val>
          <c:extLst xmlns:c16r2="http://schemas.microsoft.com/office/drawing/2015/06/chart">
            <c:ext xmlns:c16="http://schemas.microsoft.com/office/drawing/2014/chart" uri="{C3380CC4-5D6E-409C-BE32-E72D297353CC}">
              <c16:uniqueId val="{00000000-D737-41A9-8F10-A8BBC1DABA79}"/>
            </c:ext>
          </c:extLst>
        </c:ser>
        <c:ser>
          <c:idx val="2"/>
          <c:order val="2"/>
          <c:tx>
            <c:strRef>
              <c:f>Vystup!$D$17</c:f>
              <c:strCache>
                <c:ptCount val="1"/>
                <c:pt idx="0">
                  <c:v>Portfoliové investice</c:v>
                </c:pt>
              </c:strCache>
            </c:strRef>
          </c:tx>
          <c:spPr>
            <a:solidFill>
              <a:srgbClr val="7DBB2D"/>
            </a:solidFill>
          </c:spPr>
          <c:cat>
            <c:numRef>
              <c:f>Vystup!$A$18:$A$27</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Vystup!$D$18:$D$27</c:f>
              <c:numCache>
                <c:formatCode>General</c:formatCode>
                <c:ptCount val="10"/>
                <c:pt idx="0">
                  <c:v>-2.9579</c:v>
                </c:pt>
                <c:pt idx="1">
                  <c:v>-197.04559999999998</c:v>
                </c:pt>
                <c:pt idx="2">
                  <c:v>-327.43229999999869</c:v>
                </c:pt>
                <c:pt idx="3">
                  <c:v>-348.83019999999863</c:v>
                </c:pt>
                <c:pt idx="4">
                  <c:v>-376.53790000000004</c:v>
                </c:pt>
                <c:pt idx="5">
                  <c:v>-455.77549999999923</c:v>
                </c:pt>
                <c:pt idx="6">
                  <c:v>-363.09540000000004</c:v>
                </c:pt>
                <c:pt idx="7">
                  <c:v>-522.53880000000004</c:v>
                </c:pt>
                <c:pt idx="8">
                  <c:v>-596.57619999999997</c:v>
                </c:pt>
                <c:pt idx="9">
                  <c:v>-738.21530000000052</c:v>
                </c:pt>
              </c:numCache>
            </c:numRef>
          </c:val>
          <c:extLst xmlns:c16r2="http://schemas.microsoft.com/office/drawing/2015/06/chart">
            <c:ext xmlns:c16="http://schemas.microsoft.com/office/drawing/2014/chart" uri="{C3380CC4-5D6E-409C-BE32-E72D297353CC}">
              <c16:uniqueId val="{00000001-D737-41A9-8F10-A8BBC1DABA79}"/>
            </c:ext>
          </c:extLst>
        </c:ser>
        <c:ser>
          <c:idx val="4"/>
          <c:order val="3"/>
          <c:tx>
            <c:strRef>
              <c:f>Vystup!$F$17</c:f>
              <c:strCache>
                <c:ptCount val="1"/>
                <c:pt idx="0">
                  <c:v>Ostatní investice</c:v>
                </c:pt>
              </c:strCache>
            </c:strRef>
          </c:tx>
          <c:spPr>
            <a:solidFill>
              <a:srgbClr val="48AEE7"/>
            </a:solidFill>
          </c:spPr>
          <c:cat>
            <c:numRef>
              <c:f>Vystup!$A$18:$A$27</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Vystup!$F$18:$F$27</c:f>
              <c:numCache>
                <c:formatCode>General</c:formatCode>
                <c:ptCount val="10"/>
                <c:pt idx="0">
                  <c:v>-278.83540000000005</c:v>
                </c:pt>
                <c:pt idx="1">
                  <c:v>-236.33280000000047</c:v>
                </c:pt>
                <c:pt idx="2">
                  <c:v>-148.55450000000002</c:v>
                </c:pt>
                <c:pt idx="3">
                  <c:v>-125.2923</c:v>
                </c:pt>
                <c:pt idx="4">
                  <c:v>-60.911199999999994</c:v>
                </c:pt>
                <c:pt idx="5">
                  <c:v>-71.047900000000027</c:v>
                </c:pt>
                <c:pt idx="6">
                  <c:v>-104.30529999999999</c:v>
                </c:pt>
                <c:pt idx="7">
                  <c:v>-152.94949999999997</c:v>
                </c:pt>
                <c:pt idx="8">
                  <c:v>-251.15210000000027</c:v>
                </c:pt>
                <c:pt idx="9">
                  <c:v>-953.47550000000001</c:v>
                </c:pt>
              </c:numCache>
            </c:numRef>
          </c:val>
          <c:extLst xmlns:c16r2="http://schemas.microsoft.com/office/drawing/2015/06/chart">
            <c:ext xmlns:c16="http://schemas.microsoft.com/office/drawing/2014/chart" uri="{C3380CC4-5D6E-409C-BE32-E72D297353CC}">
              <c16:uniqueId val="{00000002-D737-41A9-8F10-A8BBC1DABA79}"/>
            </c:ext>
          </c:extLst>
        </c:ser>
        <c:ser>
          <c:idx val="5"/>
          <c:order val="4"/>
          <c:tx>
            <c:strRef>
              <c:f>Vystup!$G$17</c:f>
              <c:strCache>
                <c:ptCount val="1"/>
                <c:pt idx="0">
                  <c:v>Rezervní aktiva</c:v>
                </c:pt>
              </c:strCache>
            </c:strRef>
          </c:tx>
          <c:spPr>
            <a:solidFill>
              <a:srgbClr val="A6CDE8"/>
            </a:solidFill>
          </c:spPr>
          <c:cat>
            <c:numRef>
              <c:f>Vystup!$A$18:$A$27</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Vystup!$G$18:$G$27</c:f>
              <c:numCache>
                <c:formatCode>General</c:formatCode>
                <c:ptCount val="10"/>
                <c:pt idx="0">
                  <c:v>716.04430000000002</c:v>
                </c:pt>
                <c:pt idx="1">
                  <c:v>764.31209999999749</c:v>
                </c:pt>
                <c:pt idx="2">
                  <c:v>796.77880000000573</c:v>
                </c:pt>
                <c:pt idx="3">
                  <c:v>803.39340000000004</c:v>
                </c:pt>
                <c:pt idx="4">
                  <c:v>855.25099999999998</c:v>
                </c:pt>
                <c:pt idx="5">
                  <c:v>1118.3795</c:v>
                </c:pt>
                <c:pt idx="6">
                  <c:v>1244.2878000000001</c:v>
                </c:pt>
                <c:pt idx="7">
                  <c:v>1600.9264000000001</c:v>
                </c:pt>
                <c:pt idx="8">
                  <c:v>2197.9307999999996</c:v>
                </c:pt>
                <c:pt idx="9">
                  <c:v>3150.5097000000001</c:v>
                </c:pt>
              </c:numCache>
            </c:numRef>
          </c:val>
          <c:extLst xmlns:c16r2="http://schemas.microsoft.com/office/drawing/2015/06/chart">
            <c:ext xmlns:c16="http://schemas.microsoft.com/office/drawing/2014/chart" uri="{C3380CC4-5D6E-409C-BE32-E72D297353CC}">
              <c16:uniqueId val="{00000003-D737-41A9-8F10-A8BBC1DABA79}"/>
            </c:ext>
          </c:extLst>
        </c:ser>
        <c:overlap val="100"/>
        <c:axId val="188417920"/>
        <c:axId val="188904576"/>
      </c:barChart>
      <c:lineChart>
        <c:grouping val="standard"/>
        <c:ser>
          <c:idx val="0"/>
          <c:order val="0"/>
          <c:tx>
            <c:strRef>
              <c:f>Vystup!$B$17</c:f>
              <c:strCache>
                <c:ptCount val="1"/>
                <c:pt idx="0">
                  <c:v>Investiční pozice</c:v>
                </c:pt>
              </c:strCache>
            </c:strRef>
          </c:tx>
          <c:spPr>
            <a:ln>
              <a:solidFill>
                <a:sysClr val="windowText" lastClr="000000"/>
              </a:solidFill>
            </a:ln>
          </c:spPr>
          <c:marker>
            <c:symbol val="none"/>
          </c:marker>
          <c:cat>
            <c:numRef>
              <c:f>Vystup!$A$18:$A$27</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Vystup!$B$18:$B$27</c:f>
              <c:numCache>
                <c:formatCode>General</c:formatCode>
                <c:ptCount val="10"/>
                <c:pt idx="0">
                  <c:v>-1533.8529999999998</c:v>
                </c:pt>
                <c:pt idx="1">
                  <c:v>-1725.5246999999999</c:v>
                </c:pt>
                <c:pt idx="2">
                  <c:v>-1822.7683</c:v>
                </c:pt>
                <c:pt idx="3">
                  <c:v>-1822.751</c:v>
                </c:pt>
                <c:pt idx="4">
                  <c:v>-1864.0926000000002</c:v>
                </c:pt>
                <c:pt idx="5">
                  <c:v>-1695.1492999999998</c:v>
                </c:pt>
                <c:pt idx="6">
                  <c:v>-1577.0788</c:v>
                </c:pt>
                <c:pt idx="7">
                  <c:v>-1512.9359000000011</c:v>
                </c:pt>
                <c:pt idx="8">
                  <c:v>-1283.0966000000001</c:v>
                </c:pt>
                <c:pt idx="9">
                  <c:v>-1337.0089</c:v>
                </c:pt>
              </c:numCache>
            </c:numRef>
          </c:val>
          <c:extLst xmlns:c16r2="http://schemas.microsoft.com/office/drawing/2015/06/chart">
            <c:ext xmlns:c16="http://schemas.microsoft.com/office/drawing/2014/chart" uri="{C3380CC4-5D6E-409C-BE32-E72D297353CC}">
              <c16:uniqueId val="{00000004-D737-41A9-8F10-A8BBC1DABA79}"/>
            </c:ext>
          </c:extLst>
        </c:ser>
        <c:marker val="1"/>
        <c:axId val="188417920"/>
        <c:axId val="188904576"/>
      </c:lineChart>
      <c:catAx>
        <c:axId val="188417920"/>
        <c:scaling>
          <c:orientation val="minMax"/>
        </c:scaling>
        <c:axPos val="b"/>
        <c:numFmt formatCode="0" sourceLinked="1"/>
        <c:tickLblPos val="low"/>
        <c:crossAx val="188904576"/>
        <c:crosses val="autoZero"/>
        <c:auto val="1"/>
        <c:lblAlgn val="ctr"/>
        <c:lblOffset val="100"/>
      </c:catAx>
      <c:valAx>
        <c:axId val="188904576"/>
        <c:scaling>
          <c:orientation val="minMax"/>
        </c:scaling>
        <c:axPos val="l"/>
        <c:majorGridlines/>
        <c:numFmt formatCode="General" sourceLinked="1"/>
        <c:tickLblPos val="nextTo"/>
        <c:crossAx val="188417920"/>
        <c:crosses val="autoZero"/>
        <c:crossBetween val="between"/>
      </c:valAx>
    </c:plotArea>
    <c:legend>
      <c:legendPos val="r"/>
      <c:layout>
        <c:manualLayout>
          <c:xMode val="edge"/>
          <c:yMode val="edge"/>
          <c:x val="9.0846631205673781E-2"/>
          <c:y val="0.87337695598333898"/>
          <c:w val="0.88234654677473756"/>
          <c:h val="0.11463863559608246"/>
        </c:manualLayout>
      </c:layout>
      <c:spPr>
        <a:ln>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6C3A-31CE-4E12-A181-96165BAB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Anaýza ekonomického vývoje v roce 2017.dotx</Template>
  <TotalTime>2</TotalTime>
  <Pages>3</Pages>
  <Words>1163</Words>
  <Characters>6866</Characters>
  <Application>Microsoft Office Word</Application>
  <DocSecurity>0</DocSecurity>
  <Lines>57</Lines>
  <Paragraphs>16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8013</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kamenicky3604</cp:lastModifiedBy>
  <cp:revision>3</cp:revision>
  <cp:lastPrinted>2014-07-17T14:07:00Z</cp:lastPrinted>
  <dcterms:created xsi:type="dcterms:W3CDTF">2018-10-29T15:26:00Z</dcterms:created>
  <dcterms:modified xsi:type="dcterms:W3CDTF">2018-10-29T15:28:00Z</dcterms:modified>
</cp:coreProperties>
</file>