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02" w:rsidRPr="00360DE3" w:rsidRDefault="00F46502" w:rsidP="00F46502">
      <w:pPr>
        <w:pStyle w:val="Nadpis1"/>
      </w:pPr>
      <w:bookmarkStart w:id="0" w:name="_Toc511215218"/>
      <w:bookmarkStart w:id="1" w:name="_Toc527639460"/>
      <w:r w:rsidRPr="00360DE3">
        <w:t>2. Ceny</w:t>
      </w:r>
      <w:bookmarkEnd w:id="0"/>
      <w:bookmarkEnd w:id="1"/>
    </w:p>
    <w:p w:rsidR="00F46502" w:rsidRPr="00360DE3" w:rsidRDefault="00F46502" w:rsidP="00F46502">
      <w:pPr>
        <w:pStyle w:val="Nadpis21"/>
      </w:pPr>
      <w:bookmarkStart w:id="2" w:name="_Toc527639461"/>
      <w:r w:rsidRPr="00360DE3">
        <w:t>2.1 Deflátor HDP</w:t>
      </w:r>
      <w:bookmarkEnd w:id="2"/>
    </w:p>
    <w:tbl>
      <w:tblPr>
        <w:tblW w:w="9597" w:type="dxa"/>
        <w:tblInd w:w="-15" w:type="dxa"/>
        <w:tblLayout w:type="fixed"/>
        <w:tblCellMar>
          <w:left w:w="0" w:type="dxa"/>
          <w:right w:w="0" w:type="dxa"/>
        </w:tblCellMar>
        <w:tblLook w:val="00A0"/>
      </w:tblPr>
      <w:tblGrid>
        <w:gridCol w:w="1966"/>
        <w:gridCol w:w="276"/>
        <w:gridCol w:w="7355"/>
      </w:tblGrid>
      <w:tr w:rsidR="00F46502" w:rsidRPr="00360DE3" w:rsidTr="002B213A">
        <w:trPr>
          <w:trHeight w:val="145"/>
        </w:trPr>
        <w:tc>
          <w:tcPr>
            <w:tcW w:w="1966" w:type="dxa"/>
          </w:tcPr>
          <w:p w:rsidR="00F46502" w:rsidRPr="00360DE3" w:rsidRDefault="00F46502" w:rsidP="002B213A">
            <w:pPr>
              <w:pStyle w:val="Marginlie"/>
              <w:rPr>
                <w:spacing w:val="0"/>
              </w:rPr>
            </w:pPr>
            <w:r w:rsidRPr="00360DE3">
              <w:rPr>
                <w:spacing w:val="0"/>
              </w:rPr>
              <w:t>Celková cenová hladina loni vzrostla o 1,3 %. Růst výrazně podpořily spotřební statky.</w:t>
            </w:r>
          </w:p>
        </w:tc>
        <w:tc>
          <w:tcPr>
            <w:tcW w:w="276" w:type="dxa"/>
          </w:tcPr>
          <w:p w:rsidR="00F46502" w:rsidRPr="00360DE3" w:rsidRDefault="00F46502" w:rsidP="002B213A">
            <w:pPr>
              <w:pStyle w:val="Textpoznpodarou"/>
              <w:jc w:val="both"/>
            </w:pPr>
          </w:p>
        </w:tc>
        <w:tc>
          <w:tcPr>
            <w:tcW w:w="7355" w:type="dxa"/>
          </w:tcPr>
          <w:p w:rsidR="00F46502" w:rsidRPr="00360DE3" w:rsidRDefault="00F46502" w:rsidP="00EA405F">
            <w:pPr>
              <w:spacing w:after="220"/>
            </w:pPr>
            <w:r w:rsidRPr="00360DE3">
              <w:t>Celková cenová hladina měřená deflátorem hrubého domácího produktu se v roce 2017 zvýšila o 1,4 %. To je o 0,2 p. </w:t>
            </w:r>
            <w:proofErr w:type="spellStart"/>
            <w:r w:rsidRPr="00360DE3">
              <w:t>b</w:t>
            </w:r>
            <w:proofErr w:type="spellEnd"/>
            <w:r w:rsidRPr="00360DE3">
              <w:t xml:space="preserve">. </w:t>
            </w:r>
            <w:proofErr w:type="gramStart"/>
            <w:r w:rsidRPr="00360DE3">
              <w:t>více</w:t>
            </w:r>
            <w:proofErr w:type="gramEnd"/>
            <w:r w:rsidRPr="00360DE3">
              <w:t xml:space="preserve"> než v předchozím roce. Přitom se v porovnání s rokem 2016 zrychlil růst cen statků spotřebovávaných domácnostmi (z 0,5 % na 2,4 %), podobně jako ceny zboží a služeb spotřebovávaných vládními </w:t>
            </w:r>
            <w:proofErr w:type="gramStart"/>
            <w:r w:rsidRPr="00360DE3">
              <w:t>institucemi (z 1,8</w:t>
            </w:r>
            <w:proofErr w:type="gramEnd"/>
            <w:r w:rsidRPr="00360DE3">
              <w:t xml:space="preserve"> % na 4,0 %). Zrychlení se nevyhnulo ani cenám kapitálových statků. Ty celkově vzrostly o 1,3 %. </w:t>
            </w:r>
          </w:p>
        </w:tc>
      </w:tr>
      <w:tr w:rsidR="00F46502" w:rsidRPr="00360DE3" w:rsidTr="002B213A">
        <w:trPr>
          <w:trHeight w:val="145"/>
        </w:trPr>
        <w:tc>
          <w:tcPr>
            <w:tcW w:w="1966" w:type="dxa"/>
            <w:shd w:val="clear" w:color="auto" w:fill="auto"/>
          </w:tcPr>
          <w:p w:rsidR="00F46502" w:rsidRPr="00360DE3" w:rsidRDefault="00F46502" w:rsidP="002B213A">
            <w:pPr>
              <w:pStyle w:val="Marginlie"/>
              <w:rPr>
                <w:spacing w:val="0"/>
              </w:rPr>
            </w:pPr>
            <w:r w:rsidRPr="00360DE3">
              <w:rPr>
                <w:spacing w:val="0"/>
              </w:rPr>
              <w:t>Směnné relace byly poprvé po čtyřech letech záporné.</w:t>
            </w:r>
          </w:p>
        </w:tc>
        <w:tc>
          <w:tcPr>
            <w:tcW w:w="276" w:type="dxa"/>
          </w:tcPr>
          <w:p w:rsidR="00F46502" w:rsidRPr="00360DE3" w:rsidRDefault="00F46502" w:rsidP="002B213A">
            <w:pPr>
              <w:pStyle w:val="Textpoznpodarou"/>
              <w:jc w:val="both"/>
            </w:pPr>
          </w:p>
        </w:tc>
        <w:tc>
          <w:tcPr>
            <w:tcW w:w="7355" w:type="dxa"/>
          </w:tcPr>
          <w:p w:rsidR="00F46502" w:rsidRPr="00360DE3" w:rsidRDefault="00F46502" w:rsidP="00EA405F">
            <w:pPr>
              <w:spacing w:after="220"/>
            </w:pPr>
            <w:r w:rsidRPr="00360DE3">
              <w:t>Výslednou cenovou hladinu však po celý rok negativně ovlivňovaly záporné směnné relace. Ty loni dosáhly 99,0 %. Do záporných hodnot se směnné relace dostaly poprvé po čtyřech letech. Důvodem byl výsledek obchodu se zbožím, směnné relace zde loni činily 98,8 %. Naopak směnné relace zahraničního obchodu se službami dosáhly 100,2 %.</w:t>
            </w:r>
          </w:p>
        </w:tc>
      </w:tr>
      <w:tr w:rsidR="00F46502" w:rsidRPr="00360DE3" w:rsidTr="002B213A">
        <w:trPr>
          <w:trHeight w:val="90"/>
        </w:trPr>
        <w:tc>
          <w:tcPr>
            <w:tcW w:w="1966" w:type="dxa"/>
            <w:vMerge w:val="restart"/>
            <w:shd w:val="clear" w:color="auto" w:fill="auto"/>
          </w:tcPr>
          <w:p w:rsidR="00F46502" w:rsidRPr="00360DE3" w:rsidRDefault="00F46502" w:rsidP="002B213A">
            <w:pPr>
              <w:pStyle w:val="Marginlie"/>
              <w:rPr>
                <w:spacing w:val="0"/>
              </w:rPr>
            </w:pPr>
          </w:p>
        </w:tc>
        <w:tc>
          <w:tcPr>
            <w:tcW w:w="276" w:type="dxa"/>
            <w:vMerge w:val="restart"/>
          </w:tcPr>
          <w:p w:rsidR="00F46502" w:rsidRPr="00360DE3" w:rsidRDefault="00F46502" w:rsidP="002B213A">
            <w:pPr>
              <w:pStyle w:val="Textpoznpodarou"/>
              <w:jc w:val="both"/>
            </w:pPr>
          </w:p>
        </w:tc>
        <w:tc>
          <w:tcPr>
            <w:tcW w:w="7355" w:type="dxa"/>
          </w:tcPr>
          <w:p w:rsidR="00F46502" w:rsidRPr="00360DE3" w:rsidRDefault="00F46502" w:rsidP="002B213A">
            <w:pPr>
              <w:spacing w:after="0"/>
              <w:rPr>
                <w:b/>
              </w:rPr>
            </w:pPr>
            <w:r w:rsidRPr="00360DE3">
              <w:rPr>
                <w:b/>
              </w:rPr>
              <w:t xml:space="preserve">Graf č. </w:t>
            </w:r>
            <w:proofErr w:type="gramStart"/>
            <w:r w:rsidR="002B213A" w:rsidRPr="00360DE3">
              <w:rPr>
                <w:b/>
              </w:rPr>
              <w:t>2.1.1</w:t>
            </w:r>
            <w:r w:rsidRPr="00360DE3">
              <w:rPr>
                <w:b/>
              </w:rPr>
              <w:t xml:space="preserve">  Deflátor</w:t>
            </w:r>
            <w:proofErr w:type="gramEnd"/>
            <w:r w:rsidRPr="00360DE3">
              <w:rPr>
                <w:b/>
              </w:rPr>
              <w:t xml:space="preserve"> HDP a jeho složek </w:t>
            </w:r>
            <w:r w:rsidRPr="00360DE3">
              <w:t>(meziroční změna v %)</w:t>
            </w:r>
          </w:p>
        </w:tc>
      </w:tr>
      <w:tr w:rsidR="00F46502" w:rsidRPr="00360DE3" w:rsidTr="002B213A">
        <w:trPr>
          <w:trHeight w:val="90"/>
        </w:trPr>
        <w:tc>
          <w:tcPr>
            <w:tcW w:w="1966" w:type="dxa"/>
            <w:vMerge/>
            <w:shd w:val="clear" w:color="auto" w:fill="auto"/>
          </w:tcPr>
          <w:p w:rsidR="00F46502" w:rsidRPr="00360DE3" w:rsidRDefault="00F46502" w:rsidP="002B213A">
            <w:pPr>
              <w:pStyle w:val="Marginlie"/>
              <w:rPr>
                <w:spacing w:val="0"/>
              </w:rPr>
            </w:pPr>
          </w:p>
        </w:tc>
        <w:tc>
          <w:tcPr>
            <w:tcW w:w="276" w:type="dxa"/>
            <w:vMerge/>
          </w:tcPr>
          <w:p w:rsidR="00F46502" w:rsidRPr="00360DE3" w:rsidRDefault="00F46502" w:rsidP="002B213A">
            <w:pPr>
              <w:pStyle w:val="Textpoznpodarou"/>
              <w:jc w:val="both"/>
            </w:pPr>
          </w:p>
        </w:tc>
        <w:tc>
          <w:tcPr>
            <w:tcW w:w="7355" w:type="dxa"/>
          </w:tcPr>
          <w:p w:rsidR="00F46502" w:rsidRPr="00360DE3" w:rsidRDefault="00F46502" w:rsidP="002B213A">
            <w:pPr>
              <w:spacing w:after="0"/>
              <w:rPr>
                <w:b/>
              </w:rPr>
            </w:pPr>
            <w:r w:rsidRPr="00360DE3">
              <w:rPr>
                <w:b/>
                <w:noProof/>
              </w:rPr>
              <w:drawing>
                <wp:inline distT="0" distB="0" distL="0" distR="0">
                  <wp:extent cx="4740295" cy="3522964"/>
                  <wp:effectExtent l="0" t="0" r="0" b="0"/>
                  <wp:docPr id="1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F46502" w:rsidRPr="00360DE3" w:rsidTr="002B213A">
        <w:trPr>
          <w:trHeight w:val="90"/>
        </w:trPr>
        <w:tc>
          <w:tcPr>
            <w:tcW w:w="1966" w:type="dxa"/>
            <w:vMerge/>
            <w:shd w:val="clear" w:color="auto" w:fill="auto"/>
          </w:tcPr>
          <w:p w:rsidR="00F46502" w:rsidRPr="00360DE3" w:rsidRDefault="00F46502" w:rsidP="002B213A">
            <w:pPr>
              <w:pStyle w:val="Marginlie"/>
              <w:rPr>
                <w:spacing w:val="0"/>
              </w:rPr>
            </w:pPr>
          </w:p>
        </w:tc>
        <w:tc>
          <w:tcPr>
            <w:tcW w:w="276" w:type="dxa"/>
            <w:vMerge/>
          </w:tcPr>
          <w:p w:rsidR="00F46502" w:rsidRPr="00360DE3" w:rsidRDefault="00F46502" w:rsidP="002B213A">
            <w:pPr>
              <w:pStyle w:val="Textpoznpodarou"/>
              <w:jc w:val="both"/>
            </w:pPr>
          </w:p>
        </w:tc>
        <w:tc>
          <w:tcPr>
            <w:tcW w:w="7355" w:type="dxa"/>
          </w:tcPr>
          <w:p w:rsidR="00F46502" w:rsidRPr="00360DE3" w:rsidRDefault="00493F18" w:rsidP="00EA405F">
            <w:pPr>
              <w:pStyle w:val="Textpoznpodarou"/>
              <w:spacing w:after="220" w:line="276" w:lineRule="auto"/>
              <w:jc w:val="both"/>
              <w:rPr>
                <w:b/>
              </w:rPr>
            </w:pPr>
            <w:r>
              <w:rPr>
                <w:sz w:val="14"/>
                <w:szCs w:val="14"/>
              </w:rPr>
              <w:t>Z</w:t>
            </w:r>
            <w:r w:rsidR="00F46502" w:rsidRPr="00360DE3">
              <w:rPr>
                <w:sz w:val="14"/>
                <w:szCs w:val="14"/>
              </w:rPr>
              <w:t>droj: ČSÚ, vlastní výpočty</w:t>
            </w:r>
          </w:p>
        </w:tc>
      </w:tr>
    </w:tbl>
    <w:p w:rsidR="00F46502" w:rsidRPr="00360DE3" w:rsidRDefault="00F46502" w:rsidP="00F46502">
      <w:pPr>
        <w:pStyle w:val="Nadpis2"/>
      </w:pPr>
      <w:bookmarkStart w:id="3" w:name="_Toc527639462"/>
      <w:r w:rsidRPr="00360DE3">
        <w:t>2.2 Spotřebitelské ceny</w:t>
      </w:r>
      <w:bookmarkEnd w:id="3"/>
    </w:p>
    <w:tbl>
      <w:tblPr>
        <w:tblW w:w="9644" w:type="dxa"/>
        <w:tblInd w:w="-15" w:type="dxa"/>
        <w:tblLayout w:type="fixed"/>
        <w:tblCellMar>
          <w:left w:w="0" w:type="dxa"/>
          <w:right w:w="0" w:type="dxa"/>
        </w:tblCellMar>
        <w:tblLook w:val="00A0"/>
      </w:tblPr>
      <w:tblGrid>
        <w:gridCol w:w="1976"/>
        <w:gridCol w:w="277"/>
        <w:gridCol w:w="7391"/>
      </w:tblGrid>
      <w:tr w:rsidR="00F46502" w:rsidRPr="00360DE3" w:rsidTr="002B213A">
        <w:trPr>
          <w:trHeight w:val="145"/>
        </w:trPr>
        <w:tc>
          <w:tcPr>
            <w:tcW w:w="1976" w:type="dxa"/>
          </w:tcPr>
          <w:p w:rsidR="00F46502" w:rsidRPr="00360DE3" w:rsidRDefault="00F46502" w:rsidP="002B213A">
            <w:pPr>
              <w:pStyle w:val="Marginlie"/>
              <w:rPr>
                <w:spacing w:val="0"/>
              </w:rPr>
            </w:pPr>
            <w:r w:rsidRPr="00360DE3">
              <w:rPr>
                <w:spacing w:val="0"/>
              </w:rPr>
              <w:t>Po letech stagnace se v roce 2017 obnovil růst spotřebitelských cen.</w:t>
            </w:r>
          </w:p>
        </w:tc>
        <w:tc>
          <w:tcPr>
            <w:tcW w:w="277" w:type="dxa"/>
          </w:tcPr>
          <w:p w:rsidR="00F46502" w:rsidRPr="00360DE3" w:rsidRDefault="00F46502" w:rsidP="002B213A">
            <w:pPr>
              <w:pStyle w:val="Textpoznpodarou"/>
              <w:jc w:val="both"/>
            </w:pPr>
          </w:p>
        </w:tc>
        <w:tc>
          <w:tcPr>
            <w:tcW w:w="7391" w:type="dxa"/>
          </w:tcPr>
          <w:p w:rsidR="00F46502" w:rsidRPr="00360DE3" w:rsidRDefault="00F46502" w:rsidP="00EA405F">
            <w:pPr>
              <w:spacing w:after="220"/>
              <w:rPr>
                <w:sz w:val="16"/>
                <w:szCs w:val="16"/>
              </w:rPr>
            </w:pPr>
            <w:r w:rsidRPr="00360DE3">
              <w:t>Index spotřebitelských cen v roce 2017 vzrostl o 2,5 %. To je nejvíce od roku 2012. V porovnání s lety 2014–2016 došlo tedy ke značnému oživení meziroční dynamiky. Zlom se odehrál již v posledních měsících roku 2016. Meziroční přírůstek indexu se dostal nad 2% hranici v lednu 2017 (poprvé od prosince 2012). Pod 2% hranicí se tedy meziroční dynamika držela nepřetržitě 47 měsíců a dotkla se jí až v prosinci 2016. V průběhu roku 2017 pak meziroční růst spotřebitelských cen sílil. Tomu napomohlo výrazné meziměsíční navýšení indexu v lednu (0,8 %). Díky tomu se udržela meziroční dynamika nad 2% hranicí i ve 2. čtvrtletí, kdy index stagnoval. Dalšímu zrychlení meziročního růstu spotřebitelských cen napomohly meziměsíční impulsy v červenci a říjnu (0,5 %).</w:t>
            </w:r>
          </w:p>
        </w:tc>
      </w:tr>
      <w:tr w:rsidR="00F46502" w:rsidRPr="00360DE3" w:rsidTr="002B213A">
        <w:trPr>
          <w:trHeight w:val="145"/>
        </w:trPr>
        <w:tc>
          <w:tcPr>
            <w:tcW w:w="1976" w:type="dxa"/>
          </w:tcPr>
          <w:p w:rsidR="00F46502" w:rsidRPr="00360DE3" w:rsidRDefault="00F46502" w:rsidP="002B213A">
            <w:pPr>
              <w:pStyle w:val="Marginlie"/>
              <w:rPr>
                <w:spacing w:val="0"/>
              </w:rPr>
            </w:pPr>
            <w:r w:rsidRPr="00360DE3">
              <w:rPr>
                <w:spacing w:val="0"/>
              </w:rPr>
              <w:t xml:space="preserve">Rostly ceny všech hlavních komponent spotřebního </w:t>
            </w:r>
            <w:r w:rsidRPr="00360DE3">
              <w:rPr>
                <w:spacing w:val="0"/>
              </w:rPr>
              <w:lastRenderedPageBreak/>
              <w:t xml:space="preserve">koše. Klíčový byl příspěvek potravin a nealkoholických nápojů. </w:t>
            </w:r>
          </w:p>
        </w:tc>
        <w:tc>
          <w:tcPr>
            <w:tcW w:w="277" w:type="dxa"/>
          </w:tcPr>
          <w:p w:rsidR="00F46502" w:rsidRPr="00360DE3" w:rsidRDefault="00F46502" w:rsidP="002B213A">
            <w:pPr>
              <w:pStyle w:val="Textpoznpodarou"/>
              <w:jc w:val="both"/>
            </w:pPr>
          </w:p>
        </w:tc>
        <w:tc>
          <w:tcPr>
            <w:tcW w:w="7391" w:type="dxa"/>
          </w:tcPr>
          <w:p w:rsidR="00F46502" w:rsidRPr="00360DE3" w:rsidRDefault="00F46502" w:rsidP="002B213A">
            <w:pPr>
              <w:rPr>
                <w:sz w:val="16"/>
                <w:szCs w:val="16"/>
              </w:rPr>
            </w:pPr>
            <w:r w:rsidRPr="00360DE3">
              <w:t xml:space="preserve">Klíčovou komponentou spotřebitelského koše, která táhla loňský růst cen, byly potraviny. Jejich příspěvek k růstu v roce 2017 činil 0,9 procentního bodu (p. </w:t>
            </w:r>
            <w:proofErr w:type="spellStart"/>
            <w:r w:rsidRPr="00360DE3">
              <w:t>b</w:t>
            </w:r>
            <w:proofErr w:type="spellEnd"/>
            <w:r w:rsidRPr="00360DE3">
              <w:t xml:space="preserve">.). </w:t>
            </w:r>
            <w:r w:rsidRPr="00360DE3">
              <w:lastRenderedPageBreak/>
              <w:t xml:space="preserve">Sílící růst cen bydlení a energií přispěl 0,4 p. </w:t>
            </w:r>
            <w:proofErr w:type="spellStart"/>
            <w:r w:rsidRPr="00360DE3">
              <w:t>b</w:t>
            </w:r>
            <w:proofErr w:type="spellEnd"/>
            <w:r w:rsidRPr="00360DE3">
              <w:t xml:space="preserve">., stejně jako ceny dopravy. Zatímco doprava tlačila spotřebitelské ceny vzhůru především v 1. čtvrtletí, bydlení a energie výrazněji podpořily růst v druhé polovině roku. Výrazněji (0,3 p. </w:t>
            </w:r>
            <w:proofErr w:type="spellStart"/>
            <w:r w:rsidRPr="00360DE3">
              <w:t>b</w:t>
            </w:r>
            <w:proofErr w:type="spellEnd"/>
            <w:r w:rsidRPr="00360DE3">
              <w:t xml:space="preserve">.) k růstu přispělo i stravování a ubytování, které má přitom ve spotřebitelském koši poměrně malou váhu (5,4 %). V porovnání s rokem 2016 se snížil příspěvek alkoholických nápojů a tabáku a loni dosáhl 0,2 </w:t>
            </w:r>
            <w:proofErr w:type="spellStart"/>
            <w:proofErr w:type="gramStart"/>
            <w:r w:rsidRPr="00360DE3">
              <w:t>p.b</w:t>
            </w:r>
            <w:proofErr w:type="spellEnd"/>
            <w:r w:rsidRPr="00360DE3">
              <w:t>.</w:t>
            </w:r>
            <w:proofErr w:type="gramEnd"/>
          </w:p>
        </w:tc>
      </w:tr>
      <w:tr w:rsidR="00F46502" w:rsidRPr="00360DE3" w:rsidTr="002B213A">
        <w:tc>
          <w:tcPr>
            <w:tcW w:w="1976" w:type="dxa"/>
            <w:vMerge w:val="restart"/>
          </w:tcPr>
          <w:p w:rsidR="00F46502" w:rsidRPr="00360DE3" w:rsidRDefault="00F46502" w:rsidP="002B213A">
            <w:pPr>
              <w:pStyle w:val="Marginlie"/>
              <w:rPr>
                <w:spacing w:val="0"/>
              </w:rPr>
            </w:pPr>
          </w:p>
        </w:tc>
        <w:tc>
          <w:tcPr>
            <w:tcW w:w="277" w:type="dxa"/>
            <w:vMerge w:val="restart"/>
          </w:tcPr>
          <w:p w:rsidR="00F46502" w:rsidRPr="00360DE3" w:rsidRDefault="00F46502" w:rsidP="002B213A">
            <w:pPr>
              <w:pStyle w:val="Textpoznpodarou"/>
              <w:jc w:val="both"/>
            </w:pPr>
          </w:p>
        </w:tc>
        <w:tc>
          <w:tcPr>
            <w:tcW w:w="7391" w:type="dxa"/>
          </w:tcPr>
          <w:p w:rsidR="000D514E" w:rsidRDefault="00F46502" w:rsidP="002B213A">
            <w:pPr>
              <w:spacing w:after="0"/>
              <w:rPr>
                <w:b/>
              </w:rPr>
            </w:pPr>
            <w:r w:rsidRPr="00360DE3">
              <w:rPr>
                <w:b/>
              </w:rPr>
              <w:t xml:space="preserve">Graf č. </w:t>
            </w:r>
            <w:proofErr w:type="gramStart"/>
            <w:r w:rsidRPr="00360DE3">
              <w:rPr>
                <w:b/>
              </w:rPr>
              <w:t>2</w:t>
            </w:r>
            <w:r w:rsidR="002B213A" w:rsidRPr="00360DE3">
              <w:rPr>
                <w:b/>
              </w:rPr>
              <w:t>.2.1</w:t>
            </w:r>
            <w:r w:rsidRPr="00360DE3">
              <w:rPr>
                <w:b/>
              </w:rPr>
              <w:t xml:space="preserve">  Index</w:t>
            </w:r>
            <w:proofErr w:type="gramEnd"/>
            <w:r w:rsidRPr="00360DE3">
              <w:rPr>
                <w:b/>
              </w:rPr>
              <w:t xml:space="preserve"> spotřebitelských cen, rozklad přírůstku </w:t>
            </w:r>
          </w:p>
          <w:p w:rsidR="00F46502" w:rsidRPr="00360DE3" w:rsidRDefault="00F46502" w:rsidP="002B213A">
            <w:pPr>
              <w:spacing w:after="0"/>
              <w:rPr>
                <w:b/>
              </w:rPr>
            </w:pPr>
            <w:r w:rsidRPr="00360DE3">
              <w:t>(meziroční změna v p. </w:t>
            </w:r>
            <w:proofErr w:type="spellStart"/>
            <w:r w:rsidRPr="00360DE3">
              <w:t>b</w:t>
            </w:r>
            <w:proofErr w:type="spellEnd"/>
            <w:r w:rsidRPr="00360DE3">
              <w:t>.)</w:t>
            </w:r>
          </w:p>
        </w:tc>
      </w:tr>
      <w:tr w:rsidR="00F46502" w:rsidRPr="00360DE3" w:rsidTr="002B213A">
        <w:trPr>
          <w:trHeight w:val="170"/>
        </w:trPr>
        <w:tc>
          <w:tcPr>
            <w:tcW w:w="1976" w:type="dxa"/>
            <w:vMerge/>
          </w:tcPr>
          <w:p w:rsidR="00F46502" w:rsidRPr="00360DE3" w:rsidRDefault="00F46502" w:rsidP="002B213A">
            <w:pPr>
              <w:pStyle w:val="Marginlie"/>
              <w:rPr>
                <w:spacing w:val="0"/>
              </w:rPr>
            </w:pPr>
          </w:p>
        </w:tc>
        <w:tc>
          <w:tcPr>
            <w:tcW w:w="277" w:type="dxa"/>
            <w:vMerge/>
          </w:tcPr>
          <w:p w:rsidR="00F46502" w:rsidRPr="00360DE3" w:rsidRDefault="00F46502" w:rsidP="002B213A">
            <w:pPr>
              <w:pStyle w:val="Textpoznpodarou"/>
              <w:jc w:val="both"/>
            </w:pPr>
          </w:p>
        </w:tc>
        <w:tc>
          <w:tcPr>
            <w:tcW w:w="7391" w:type="dxa"/>
          </w:tcPr>
          <w:p w:rsidR="00F46502" w:rsidRPr="00360DE3" w:rsidRDefault="00F46502" w:rsidP="002B213A">
            <w:pPr>
              <w:spacing w:after="0"/>
            </w:pPr>
            <w:r w:rsidRPr="00360DE3">
              <w:rPr>
                <w:noProof/>
              </w:rPr>
              <w:drawing>
                <wp:inline distT="0" distB="0" distL="0" distR="0">
                  <wp:extent cx="4737600" cy="3552825"/>
                  <wp:effectExtent l="0" t="0" r="0" b="0"/>
                  <wp:docPr id="1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F46502" w:rsidRPr="00360DE3" w:rsidTr="002B213A">
        <w:trPr>
          <w:trHeight w:val="170"/>
        </w:trPr>
        <w:tc>
          <w:tcPr>
            <w:tcW w:w="1976" w:type="dxa"/>
            <w:vMerge/>
          </w:tcPr>
          <w:p w:rsidR="00F46502" w:rsidRPr="00360DE3" w:rsidRDefault="00F46502" w:rsidP="002B213A">
            <w:pPr>
              <w:pStyle w:val="Marginlie"/>
              <w:rPr>
                <w:spacing w:val="0"/>
              </w:rPr>
            </w:pPr>
          </w:p>
        </w:tc>
        <w:tc>
          <w:tcPr>
            <w:tcW w:w="277" w:type="dxa"/>
            <w:vMerge/>
          </w:tcPr>
          <w:p w:rsidR="00F46502" w:rsidRPr="00360DE3" w:rsidRDefault="00F46502" w:rsidP="002B213A">
            <w:pPr>
              <w:pStyle w:val="Textpoznpodarou"/>
              <w:jc w:val="both"/>
            </w:pPr>
          </w:p>
        </w:tc>
        <w:tc>
          <w:tcPr>
            <w:tcW w:w="7391" w:type="dxa"/>
          </w:tcPr>
          <w:p w:rsidR="00F46502" w:rsidRPr="00360DE3" w:rsidRDefault="00F46502" w:rsidP="002B213A">
            <w:pPr>
              <w:rPr>
                <w:sz w:val="14"/>
                <w:szCs w:val="14"/>
              </w:rPr>
            </w:pPr>
            <w:r w:rsidRPr="00360DE3">
              <w:rPr>
                <w:sz w:val="14"/>
                <w:szCs w:val="14"/>
              </w:rPr>
              <w:t>Zdroj: ČSÚ</w:t>
            </w:r>
          </w:p>
        </w:tc>
      </w:tr>
      <w:tr w:rsidR="00F46502" w:rsidRPr="00360DE3" w:rsidTr="002B213A">
        <w:trPr>
          <w:trHeight w:val="145"/>
        </w:trPr>
        <w:tc>
          <w:tcPr>
            <w:tcW w:w="1976" w:type="dxa"/>
          </w:tcPr>
          <w:p w:rsidR="00F46502" w:rsidRPr="00360DE3" w:rsidRDefault="00F46502" w:rsidP="002B213A">
            <w:pPr>
              <w:pStyle w:val="Marginlie"/>
              <w:rPr>
                <w:spacing w:val="0"/>
              </w:rPr>
            </w:pPr>
            <w:r w:rsidRPr="00360DE3">
              <w:rPr>
                <w:spacing w:val="0"/>
              </w:rPr>
              <w:t>Ceny potravin loni velmi výrazně rostly. Zdražování se týkalo téměř všech tříd klasifikace. Nejvýrazněji se projevilo zdražení mléčných výrobků, vajec, masa a pekárenských výrobků.</w:t>
            </w:r>
          </w:p>
        </w:tc>
        <w:tc>
          <w:tcPr>
            <w:tcW w:w="277" w:type="dxa"/>
          </w:tcPr>
          <w:p w:rsidR="00F46502" w:rsidRPr="00360DE3" w:rsidRDefault="00F46502" w:rsidP="002B213A">
            <w:pPr>
              <w:pStyle w:val="Textpoznpodarou"/>
              <w:jc w:val="both"/>
            </w:pPr>
          </w:p>
        </w:tc>
        <w:tc>
          <w:tcPr>
            <w:tcW w:w="7391" w:type="dxa"/>
          </w:tcPr>
          <w:p w:rsidR="00F46502" w:rsidRPr="00360DE3" w:rsidRDefault="00F46502" w:rsidP="002B213A">
            <w:pPr>
              <w:rPr>
                <w:sz w:val="16"/>
                <w:szCs w:val="16"/>
              </w:rPr>
            </w:pPr>
            <w:r w:rsidRPr="00360DE3">
              <w:t xml:space="preserve">Ceny potravin a nealkoholických nápojů se v roce 2017 meziročně zvýšily o 5,2 %. Jde o nejvyšší hodnotu od roku 2012. S výjimkou zeleniny rostly ceny všech tříd v tomto oddílu klasifikace spotřeby. V meziroční dynamice se nejvýrazněji projevila třída mléko, sýry a vejce, která k růstu cen potravin a nápojů přispěla 1,9 p. </w:t>
            </w:r>
            <w:proofErr w:type="spellStart"/>
            <w:r w:rsidRPr="00360DE3">
              <w:t>b</w:t>
            </w:r>
            <w:proofErr w:type="spellEnd"/>
            <w:r w:rsidRPr="00360DE3">
              <w:t xml:space="preserve">. Celkově v roce 2017 tato položka zdražila o 10,8 % a jde o nejvyšší hodnotu od roku 2008. Výrazně rostly i ceny masa (oproti roku 2016 o 4,4 %). Ty přispěly k navýšení cen potravin a nápojů 1,1 p. </w:t>
            </w:r>
            <w:proofErr w:type="spellStart"/>
            <w:r w:rsidRPr="00360DE3">
              <w:t>b</w:t>
            </w:r>
            <w:proofErr w:type="spellEnd"/>
            <w:r w:rsidRPr="00360DE3">
              <w:t xml:space="preserve">. Pekárenské výrobky a obiloviny loni zdražily o 5,1 % a k růstu cen potravin a nápojů přidaly 0,8 p. </w:t>
            </w:r>
            <w:proofErr w:type="spellStart"/>
            <w:r w:rsidRPr="00360DE3">
              <w:t>b</w:t>
            </w:r>
            <w:proofErr w:type="spellEnd"/>
            <w:r w:rsidRPr="00360DE3">
              <w:t xml:space="preserve">. Třída oleje a tuky má v indexu spotřebitelských cen jen malou váhu (0,8 %) a v samotných potravinách a nealkoholických nápojích její zastoupení dosahuje 4,3 %. Přesto díky meziročnímu navýšení o 14,2 % přispěla k růstu cen svého nadřazeného oddílu o 0,6 p. </w:t>
            </w:r>
            <w:proofErr w:type="spellStart"/>
            <w:r w:rsidRPr="00360DE3">
              <w:t>b</w:t>
            </w:r>
            <w:proofErr w:type="spellEnd"/>
            <w:r w:rsidRPr="00360DE3">
              <w:t>. Do této třídy patří hojně medializované máslo.</w:t>
            </w:r>
          </w:p>
        </w:tc>
      </w:tr>
      <w:tr w:rsidR="00F46502" w:rsidRPr="00360DE3" w:rsidTr="002B213A">
        <w:trPr>
          <w:trHeight w:val="145"/>
        </w:trPr>
        <w:tc>
          <w:tcPr>
            <w:tcW w:w="1976" w:type="dxa"/>
          </w:tcPr>
          <w:p w:rsidR="00F46502" w:rsidRPr="00360DE3" w:rsidRDefault="00F46502" w:rsidP="002B213A">
            <w:pPr>
              <w:pStyle w:val="Marginlie"/>
              <w:rPr>
                <w:spacing w:val="0"/>
              </w:rPr>
            </w:pPr>
            <w:r w:rsidRPr="00360DE3">
              <w:rPr>
                <w:spacing w:val="0"/>
              </w:rPr>
              <w:t>Ceny energií loni mírně klesly, růst nákladů na bydlení a energie tak pohánělo zejména zvyšující se imputované nájemné a nájemné z bytů.</w:t>
            </w:r>
          </w:p>
        </w:tc>
        <w:tc>
          <w:tcPr>
            <w:tcW w:w="277" w:type="dxa"/>
          </w:tcPr>
          <w:p w:rsidR="00F46502" w:rsidRPr="00360DE3" w:rsidRDefault="00F46502" w:rsidP="002B213A">
            <w:pPr>
              <w:pStyle w:val="Textpoznpodarou"/>
              <w:jc w:val="both"/>
            </w:pPr>
          </w:p>
        </w:tc>
        <w:tc>
          <w:tcPr>
            <w:tcW w:w="7391" w:type="dxa"/>
          </w:tcPr>
          <w:p w:rsidR="00F46502" w:rsidRPr="00360DE3" w:rsidRDefault="00F46502" w:rsidP="002B213A">
            <w:r w:rsidRPr="00360DE3">
              <w:t xml:space="preserve">Ceny bydlení, vody, energií a paliv oproti roku 2016 vloni vzrostly o 1,7 %. Ještě v 1. čtvrtletí meziroční přírůstek cen bydlení a energií nepřesáhl 1,0 %, v dalších čtvrtletích však zrychloval. Samotné ceny energií loni přitom poklesly o 0,7 %. Zrychlení růstu nákladů na bydlení a energie lze přičíst především imputovanému nájemnému (meziroční růst 4,2 %), které zčásti odráží výrazně rostoucí ceny nemovitostí. Napětí na trhu s nemovitostmi se promítlo i do zvyšujícího se nájemného z bytů (2,2 %). Situaci názorně vykresluje pohled na vývoj indexu cen nemovitostí. Ten v roce 2017 vzrostl o 11,7 % (7,2 % v roce 2016). Jeho hlavní součástí jsou nákupy starších obydlí, které zdražily o 11,4 %. V loňském roce však </w:t>
            </w:r>
            <w:r w:rsidRPr="00360DE3">
              <w:lastRenderedPageBreak/>
              <w:t xml:space="preserve">došlo k výraznému zrychlení cenového růstu v nových stavebních projektech. To odráží vzestup cen nových obydlí o 13,9 % (v roce 2016 to bylo 5,9 %).  </w:t>
            </w:r>
          </w:p>
        </w:tc>
      </w:tr>
      <w:tr w:rsidR="00F46502" w:rsidRPr="00360DE3" w:rsidTr="002B213A">
        <w:trPr>
          <w:trHeight w:val="145"/>
        </w:trPr>
        <w:tc>
          <w:tcPr>
            <w:tcW w:w="1976" w:type="dxa"/>
          </w:tcPr>
          <w:p w:rsidR="00F46502" w:rsidRPr="00360DE3" w:rsidRDefault="00F46502" w:rsidP="002B213A">
            <w:pPr>
              <w:pStyle w:val="Marginlie"/>
              <w:rPr>
                <w:spacing w:val="0"/>
              </w:rPr>
            </w:pPr>
            <w:r w:rsidRPr="00360DE3">
              <w:rPr>
                <w:spacing w:val="0"/>
              </w:rPr>
              <w:lastRenderedPageBreak/>
              <w:t>Ustálení cen ropy zmírnilo vliv cen dopravy na vývoj celkového indexu spotřebitelských cen.</w:t>
            </w:r>
          </w:p>
        </w:tc>
        <w:tc>
          <w:tcPr>
            <w:tcW w:w="277" w:type="dxa"/>
          </w:tcPr>
          <w:p w:rsidR="00F46502" w:rsidRPr="00360DE3" w:rsidRDefault="00F46502" w:rsidP="002B213A">
            <w:pPr>
              <w:pStyle w:val="Textpoznpodarou"/>
              <w:jc w:val="both"/>
            </w:pPr>
          </w:p>
        </w:tc>
        <w:tc>
          <w:tcPr>
            <w:tcW w:w="7391" w:type="dxa"/>
          </w:tcPr>
          <w:p w:rsidR="00F46502" w:rsidRPr="00360DE3" w:rsidRDefault="00F46502" w:rsidP="002B213A">
            <w:r w:rsidRPr="00360DE3">
              <w:t>Ceny dopravy měly klíčový dopad na spotřebitelské ceny v letech 2015-2016. Nyní jejich význam pro ně mírně poklesl. Celkově ceny dopravy loni vzrostly o 3,7 %. Rostly přitom náklady na provoz dopravních prostředků (5,2 %), které ovlivnil růst cen ropy, i ceny samotných dopravních prostředků (3,1 %). Nejvýrazněji rostly ceny dopravy na počátku roku, kdy se silně projevoval vliv nízké srovnávací základny u cen ropy v předchozím roce. Zatímco náklady na provoz dopravních prostředků tak tlačily na růst cen dopravy v 1. pololetí, ve druhé polovině roku se výrazněji projevilo zdražování osobních dopravních prostředků povzbuzené silnou domácí poptávkou. Podobně silně jako ceny dopravy působilo na spotřebitelské ceny i stravování a ubytování. Zde loni vzrostly ceny o 5,7 %. Jedním z důvodů bylo poměrně výrazné navýšení mezd v tomto odvětví. Rostoucí náklady se následně přenesly do cenové hladiny.</w:t>
            </w:r>
          </w:p>
        </w:tc>
      </w:tr>
      <w:tr w:rsidR="00F46502" w:rsidRPr="00360DE3" w:rsidTr="002B213A">
        <w:trPr>
          <w:trHeight w:val="145"/>
        </w:trPr>
        <w:tc>
          <w:tcPr>
            <w:tcW w:w="1976" w:type="dxa"/>
          </w:tcPr>
          <w:p w:rsidR="00F46502" w:rsidRPr="00360DE3" w:rsidRDefault="00F46502" w:rsidP="002B213A">
            <w:pPr>
              <w:pStyle w:val="Marginlie"/>
              <w:rPr>
                <w:spacing w:val="0"/>
              </w:rPr>
            </w:pPr>
            <w:r w:rsidRPr="00360DE3">
              <w:rPr>
                <w:spacing w:val="0"/>
              </w:rPr>
              <w:t>Česko bylo součástí širší vlny oživení cenového růstu v EU.</w:t>
            </w:r>
          </w:p>
        </w:tc>
        <w:tc>
          <w:tcPr>
            <w:tcW w:w="277" w:type="dxa"/>
          </w:tcPr>
          <w:p w:rsidR="00F46502" w:rsidRPr="00360DE3" w:rsidRDefault="00F46502" w:rsidP="002B213A">
            <w:pPr>
              <w:pStyle w:val="Textpoznpodarou"/>
              <w:jc w:val="both"/>
            </w:pPr>
          </w:p>
        </w:tc>
        <w:tc>
          <w:tcPr>
            <w:tcW w:w="7391" w:type="dxa"/>
          </w:tcPr>
          <w:p w:rsidR="00F46502" w:rsidRPr="00360DE3" w:rsidRDefault="00F46502" w:rsidP="002B213A">
            <w:r w:rsidRPr="00360DE3">
              <w:t xml:space="preserve">Výrazné zrychlení růstu spotřebitelských cen bylo společné prakticky celé Evropské unii. V porovnání s rokem 2016 se loni zvýšil harmonizovaný index spotřebitelských cen (HICP) v EU 28 o 1,7 % (v roce 2016 meziroční růst cen činil 0,3 %). V zemích platících eurem rostly spotřebitelské ceny o 1,5 % (zrychlení z 0,2 % v roce 2016). Nejrychleji loni rostly ceny v Estonsku (3,7 %), Litvě (3,7 %) a Lotyšsku (2,9 %). Česká republika se vloni umístila v první šestici zemí s nejrychlejším cenovým růstem. Nejpomaleji rostly ceny v Irsku (0,3 %), na Kypru (0,7 %) a ve Finsku (0,8 %). Tyto tři země byly jediné, kde ceny vzrostly o méně než 1 %. Poprvé po čtyřech letech se meziročně zvýšily spotřebitelské ceny ve všech zemích EU.  </w:t>
            </w:r>
          </w:p>
        </w:tc>
      </w:tr>
      <w:tr w:rsidR="00F46502" w:rsidRPr="00360DE3" w:rsidTr="002B213A">
        <w:trPr>
          <w:trHeight w:val="170"/>
        </w:trPr>
        <w:tc>
          <w:tcPr>
            <w:tcW w:w="1976" w:type="dxa"/>
            <w:vMerge w:val="restart"/>
          </w:tcPr>
          <w:p w:rsidR="00F46502" w:rsidRPr="00360DE3" w:rsidRDefault="00F46502" w:rsidP="002B213A">
            <w:pPr>
              <w:pStyle w:val="Marginlie"/>
              <w:rPr>
                <w:spacing w:val="0"/>
              </w:rPr>
            </w:pPr>
          </w:p>
        </w:tc>
        <w:tc>
          <w:tcPr>
            <w:tcW w:w="277" w:type="dxa"/>
            <w:vMerge w:val="restart"/>
          </w:tcPr>
          <w:p w:rsidR="00F46502" w:rsidRPr="00360DE3" w:rsidRDefault="00F46502" w:rsidP="002B213A">
            <w:pPr>
              <w:pStyle w:val="Textpoznpodarou"/>
              <w:jc w:val="both"/>
            </w:pPr>
          </w:p>
        </w:tc>
        <w:tc>
          <w:tcPr>
            <w:tcW w:w="7391" w:type="dxa"/>
          </w:tcPr>
          <w:p w:rsidR="000D514E" w:rsidRDefault="00F46502" w:rsidP="00E212C9">
            <w:pPr>
              <w:spacing w:after="0"/>
              <w:rPr>
                <w:b/>
              </w:rPr>
            </w:pPr>
            <w:r w:rsidRPr="00360DE3">
              <w:rPr>
                <w:b/>
              </w:rPr>
              <w:t xml:space="preserve">Graf č. </w:t>
            </w:r>
            <w:r w:rsidR="002B213A" w:rsidRPr="00360DE3">
              <w:rPr>
                <w:b/>
              </w:rPr>
              <w:t>2.2.</w:t>
            </w:r>
            <w:r w:rsidR="00E212C9" w:rsidRPr="00360DE3">
              <w:rPr>
                <w:b/>
              </w:rPr>
              <w:t>2</w:t>
            </w:r>
            <w:r w:rsidRPr="00360DE3">
              <w:rPr>
                <w:b/>
              </w:rPr>
              <w:t xml:space="preserve"> Harmonizovaný index spotřebitelských cen </w:t>
            </w:r>
          </w:p>
          <w:p w:rsidR="00F46502" w:rsidRPr="00360DE3" w:rsidRDefault="00F46502" w:rsidP="00E212C9">
            <w:pPr>
              <w:spacing w:after="0"/>
              <w:rPr>
                <w:b/>
              </w:rPr>
            </w:pPr>
            <w:r w:rsidRPr="00360DE3">
              <w:t>(meziroční změna v %)</w:t>
            </w:r>
          </w:p>
        </w:tc>
      </w:tr>
      <w:tr w:rsidR="00F46502" w:rsidRPr="00360DE3" w:rsidTr="002B213A">
        <w:trPr>
          <w:trHeight w:val="170"/>
        </w:trPr>
        <w:tc>
          <w:tcPr>
            <w:tcW w:w="1976" w:type="dxa"/>
            <w:vMerge/>
          </w:tcPr>
          <w:p w:rsidR="00F46502" w:rsidRPr="00360DE3" w:rsidRDefault="00F46502" w:rsidP="002B213A">
            <w:pPr>
              <w:pStyle w:val="Marginlie"/>
              <w:rPr>
                <w:spacing w:val="0"/>
              </w:rPr>
            </w:pPr>
          </w:p>
        </w:tc>
        <w:tc>
          <w:tcPr>
            <w:tcW w:w="277" w:type="dxa"/>
            <w:vMerge/>
          </w:tcPr>
          <w:p w:rsidR="00F46502" w:rsidRPr="00360DE3" w:rsidRDefault="00F46502" w:rsidP="002B213A">
            <w:pPr>
              <w:pStyle w:val="Textpoznpodarou"/>
              <w:jc w:val="both"/>
            </w:pPr>
          </w:p>
        </w:tc>
        <w:tc>
          <w:tcPr>
            <w:tcW w:w="7391" w:type="dxa"/>
          </w:tcPr>
          <w:p w:rsidR="00F46502" w:rsidRPr="00360DE3" w:rsidRDefault="00F46502" w:rsidP="002B213A">
            <w:pPr>
              <w:spacing w:after="0"/>
            </w:pPr>
            <w:r w:rsidRPr="00360DE3">
              <w:rPr>
                <w:noProof/>
              </w:rPr>
              <w:drawing>
                <wp:inline distT="0" distB="0" distL="0" distR="0">
                  <wp:extent cx="4737600" cy="3553200"/>
                  <wp:effectExtent l="0" t="0" r="0" b="0"/>
                  <wp:docPr id="1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F46502" w:rsidRPr="00360DE3" w:rsidTr="002B213A">
        <w:trPr>
          <w:trHeight w:val="170"/>
        </w:trPr>
        <w:tc>
          <w:tcPr>
            <w:tcW w:w="1976" w:type="dxa"/>
            <w:vMerge/>
          </w:tcPr>
          <w:p w:rsidR="00F46502" w:rsidRPr="00360DE3" w:rsidRDefault="00F46502" w:rsidP="002B213A">
            <w:pPr>
              <w:pStyle w:val="Marginlie"/>
              <w:rPr>
                <w:spacing w:val="0"/>
              </w:rPr>
            </w:pPr>
          </w:p>
        </w:tc>
        <w:tc>
          <w:tcPr>
            <w:tcW w:w="277" w:type="dxa"/>
            <w:vMerge/>
          </w:tcPr>
          <w:p w:rsidR="00F46502" w:rsidRPr="00360DE3" w:rsidRDefault="00F46502" w:rsidP="002B213A">
            <w:pPr>
              <w:pStyle w:val="Textpoznpodarou"/>
              <w:jc w:val="both"/>
            </w:pPr>
          </w:p>
        </w:tc>
        <w:tc>
          <w:tcPr>
            <w:tcW w:w="7391" w:type="dxa"/>
          </w:tcPr>
          <w:p w:rsidR="00F46502" w:rsidRPr="00360DE3" w:rsidRDefault="00F46502" w:rsidP="002B213A">
            <w:pPr>
              <w:rPr>
                <w:sz w:val="14"/>
                <w:szCs w:val="14"/>
              </w:rPr>
            </w:pPr>
            <w:r w:rsidRPr="00360DE3">
              <w:rPr>
                <w:sz w:val="14"/>
                <w:szCs w:val="14"/>
              </w:rPr>
              <w:t xml:space="preserve">Zdroj: </w:t>
            </w:r>
            <w:proofErr w:type="spellStart"/>
            <w:r w:rsidRPr="00360DE3">
              <w:rPr>
                <w:sz w:val="14"/>
                <w:szCs w:val="14"/>
              </w:rPr>
              <w:t>Eurostat</w:t>
            </w:r>
            <w:proofErr w:type="spellEnd"/>
          </w:p>
        </w:tc>
      </w:tr>
      <w:tr w:rsidR="00F46502" w:rsidRPr="00360DE3" w:rsidTr="002B213A">
        <w:trPr>
          <w:trHeight w:val="145"/>
        </w:trPr>
        <w:tc>
          <w:tcPr>
            <w:tcW w:w="1976" w:type="dxa"/>
          </w:tcPr>
          <w:p w:rsidR="00F46502" w:rsidRPr="00360DE3" w:rsidRDefault="00F46502" w:rsidP="002B213A">
            <w:pPr>
              <w:pStyle w:val="Marginlie"/>
              <w:rPr>
                <w:spacing w:val="0"/>
              </w:rPr>
            </w:pPr>
          </w:p>
          <w:p w:rsidR="00F46502" w:rsidRPr="00360DE3" w:rsidRDefault="00F46502" w:rsidP="002B213A">
            <w:pPr>
              <w:pStyle w:val="Marginlie"/>
              <w:rPr>
                <w:spacing w:val="0"/>
              </w:rPr>
            </w:pPr>
          </w:p>
          <w:p w:rsidR="00F46502" w:rsidRPr="00360DE3" w:rsidRDefault="00F46502" w:rsidP="002B213A">
            <w:pPr>
              <w:pStyle w:val="Marginlie"/>
              <w:rPr>
                <w:spacing w:val="0"/>
              </w:rPr>
            </w:pPr>
            <w:r w:rsidRPr="00360DE3">
              <w:rPr>
                <w:spacing w:val="0"/>
              </w:rPr>
              <w:lastRenderedPageBreak/>
              <w:t>Potraviny a nealkoholické nápoje byly jedním z faktorů, který poháněl růst cen v zemích EU.</w:t>
            </w:r>
          </w:p>
          <w:p w:rsidR="00F46502" w:rsidRPr="00360DE3" w:rsidRDefault="00F46502" w:rsidP="002B213A">
            <w:pPr>
              <w:pStyle w:val="Marginlie"/>
              <w:rPr>
                <w:spacing w:val="0"/>
              </w:rPr>
            </w:pPr>
          </w:p>
        </w:tc>
        <w:tc>
          <w:tcPr>
            <w:tcW w:w="277" w:type="dxa"/>
          </w:tcPr>
          <w:p w:rsidR="00F46502" w:rsidRPr="00360DE3" w:rsidRDefault="00F46502" w:rsidP="002B213A">
            <w:pPr>
              <w:pStyle w:val="Textpoznpodarou"/>
              <w:jc w:val="both"/>
            </w:pPr>
          </w:p>
        </w:tc>
        <w:tc>
          <w:tcPr>
            <w:tcW w:w="7391" w:type="dxa"/>
          </w:tcPr>
          <w:p w:rsidR="00F46502" w:rsidRPr="00360DE3" w:rsidRDefault="00F46502" w:rsidP="002B213A">
            <w:r w:rsidRPr="00360DE3">
              <w:t xml:space="preserve">Podobně jako v Česku, i v EU zaznamenaly loni potraviny a nealkoholické nápoje výrazné zrychlení cenového růstu (z 0,2 % na 2,1 %). Nejvyšší meziroční růst cen </w:t>
            </w:r>
            <w:r w:rsidRPr="00360DE3">
              <w:lastRenderedPageBreak/>
              <w:t xml:space="preserve">v tomto segmentu spotřeby se krom Česka objevil v Estonsku a Lotyšsku (u obou o 5,6 %). Při pohledu na další spotřební kategorie je patrné, že v pobaltských státech růst spotřebitelských cen závisel na podobných faktorech jako u nás. Kromě potravin zde silně rostly i ceny dopravy (v Litvě o 5,0 %, v Estonsku o 4,8 %). Nezanedbatelným faktorem pro vysoký růst spotřebitelských cen v Litvě (10,7 %) a Estonsku (8,7 %) byly rovněž alkoholické nápoje, které mají v Pobaltí velmi vysokou váhu ve spotřebním koši. V Litvě (7,2 %) a v Estonsku (6,4 %) zaznamenali statistici také silný růst cen ubytování a stravování. V Lotyšsku působily výrazně </w:t>
            </w:r>
            <w:proofErr w:type="spellStart"/>
            <w:r w:rsidRPr="00360DE3">
              <w:t>proinflačně</w:t>
            </w:r>
            <w:proofErr w:type="spellEnd"/>
            <w:r w:rsidRPr="00360DE3">
              <w:t xml:space="preserve"> ceny pošty a telekomunikací (4,4 %). Naopak Irsko, Finsko a Kypr, kde byl růst HICP loni nejnižší, jsou rovněž jediné země EU, kde potraviny a nealkoholické nápoje zlevnily. Na Kypru dále loni poklesla cena alkoholických nápojů a tabáku o 2,3 %, v Irsku se </w:t>
            </w:r>
            <w:r w:rsidR="009C3ED8">
              <w:t>snížily ceny oblečení a obuvi o</w:t>
            </w:r>
            <w:r w:rsidR="009C3ED8" w:rsidRPr="005A2C7B">
              <w:rPr>
                <w:spacing w:val="-4"/>
              </w:rPr>
              <w:t> </w:t>
            </w:r>
            <w:r w:rsidRPr="00360DE3">
              <w:t>4,3 %, obě země zažívaly i výrazný pokles cen bytového vybavení. Ve Finsku proti růstu cen působilo oblečení a obuv, méně výrazný než ve zbytku EU zde byl růst cen dopravy, poklesly ceny pošt a telekomunikací.</w:t>
            </w:r>
          </w:p>
        </w:tc>
      </w:tr>
    </w:tbl>
    <w:p w:rsidR="00F46502" w:rsidRPr="00360DE3" w:rsidRDefault="00F46502" w:rsidP="00F46502">
      <w:pPr>
        <w:pStyle w:val="Nadpis2"/>
      </w:pPr>
      <w:bookmarkStart w:id="4" w:name="_Toc527639463"/>
      <w:r w:rsidRPr="00360DE3">
        <w:lastRenderedPageBreak/>
        <w:t>2.3 Ceny výrobců</w:t>
      </w:r>
      <w:bookmarkEnd w:id="4"/>
    </w:p>
    <w:tbl>
      <w:tblPr>
        <w:tblW w:w="9644" w:type="dxa"/>
        <w:tblInd w:w="-15" w:type="dxa"/>
        <w:tblLayout w:type="fixed"/>
        <w:tblCellMar>
          <w:left w:w="0" w:type="dxa"/>
          <w:right w:w="0" w:type="dxa"/>
        </w:tblCellMar>
        <w:tblLook w:val="00A0"/>
      </w:tblPr>
      <w:tblGrid>
        <w:gridCol w:w="1976"/>
        <w:gridCol w:w="277"/>
        <w:gridCol w:w="7391"/>
      </w:tblGrid>
      <w:tr w:rsidR="00F46502" w:rsidRPr="00360DE3" w:rsidTr="002B213A">
        <w:trPr>
          <w:trHeight w:val="145"/>
        </w:trPr>
        <w:tc>
          <w:tcPr>
            <w:tcW w:w="1976" w:type="dxa"/>
          </w:tcPr>
          <w:p w:rsidR="00F46502" w:rsidRPr="00360DE3" w:rsidRDefault="00F46502" w:rsidP="002B213A">
            <w:pPr>
              <w:pStyle w:val="Marginlie"/>
              <w:rPr>
                <w:spacing w:val="0"/>
              </w:rPr>
            </w:pPr>
            <w:r w:rsidRPr="00360DE3">
              <w:rPr>
                <w:spacing w:val="0"/>
              </w:rPr>
              <w:t>Index cen výrobců loni vzrostl poprvé od roku 2013.</w:t>
            </w:r>
          </w:p>
        </w:tc>
        <w:tc>
          <w:tcPr>
            <w:tcW w:w="277" w:type="dxa"/>
          </w:tcPr>
          <w:p w:rsidR="00F46502" w:rsidRPr="00360DE3" w:rsidRDefault="00F46502" w:rsidP="002B213A">
            <w:pPr>
              <w:pStyle w:val="Textpoznpodarou"/>
              <w:jc w:val="both"/>
            </w:pPr>
          </w:p>
        </w:tc>
        <w:tc>
          <w:tcPr>
            <w:tcW w:w="7391" w:type="dxa"/>
          </w:tcPr>
          <w:p w:rsidR="00F46502" w:rsidRPr="00360DE3" w:rsidRDefault="00F46502" w:rsidP="002B213A">
            <w:r w:rsidRPr="00360DE3">
              <w:t>Celkově index cen průmyslových výrobců v roce 2017 vzrostl o 1,8 %, poprvé od roku 2013. Index se do značné míry odvíjí od pohybu cen výrobků a služeb ve zpracovatelském průmyslu. Váha tato sekce je př</w:t>
            </w:r>
            <w:r w:rsidR="00EA405F">
              <w:t>ibližně 80 % celkového indexu a</w:t>
            </w:r>
            <w:r w:rsidR="00EA405F" w:rsidRPr="00360DE3">
              <w:t> </w:t>
            </w:r>
            <w:r w:rsidRPr="00360DE3">
              <w:t>v roce 2017 zde ceny vzrostly o 2,3 %. Ceny v</w:t>
            </w:r>
            <w:r w:rsidR="00EA405F">
              <w:t>ýrobců elektřiny, plynu, páry a</w:t>
            </w:r>
            <w:r w:rsidR="00EA405F" w:rsidRPr="00360DE3">
              <w:t> </w:t>
            </w:r>
            <w:r w:rsidRPr="00360DE3">
              <w:t>klimatizovaného vzduchu se loni snížily o 1,2 %, c</w:t>
            </w:r>
            <w:r w:rsidR="00EA405F">
              <w:t>eny těžby a dobývání vzrostly o</w:t>
            </w:r>
            <w:r w:rsidR="00EA405F" w:rsidRPr="00360DE3">
              <w:t> </w:t>
            </w:r>
            <w:r w:rsidRPr="00360DE3">
              <w:t xml:space="preserve">3,8 % a zásobování vodou a služby spojené s odpadními vodami setrvaly na růstu 1,3 %.  </w:t>
            </w:r>
          </w:p>
        </w:tc>
      </w:tr>
      <w:tr w:rsidR="00F46502" w:rsidRPr="00360DE3" w:rsidTr="002B213A">
        <w:trPr>
          <w:trHeight w:val="170"/>
        </w:trPr>
        <w:tc>
          <w:tcPr>
            <w:tcW w:w="1976" w:type="dxa"/>
            <w:vMerge w:val="restart"/>
          </w:tcPr>
          <w:p w:rsidR="00F46502" w:rsidRPr="00360DE3" w:rsidRDefault="00F46502" w:rsidP="002B213A">
            <w:pPr>
              <w:pStyle w:val="Marginlie"/>
              <w:rPr>
                <w:spacing w:val="0"/>
              </w:rPr>
            </w:pPr>
          </w:p>
        </w:tc>
        <w:tc>
          <w:tcPr>
            <w:tcW w:w="277" w:type="dxa"/>
            <w:vMerge w:val="restart"/>
          </w:tcPr>
          <w:p w:rsidR="00F46502" w:rsidRPr="00360DE3" w:rsidRDefault="00F46502" w:rsidP="002B213A">
            <w:pPr>
              <w:pStyle w:val="Textpoznpodarou"/>
              <w:jc w:val="both"/>
            </w:pPr>
          </w:p>
        </w:tc>
        <w:tc>
          <w:tcPr>
            <w:tcW w:w="7391" w:type="dxa"/>
          </w:tcPr>
          <w:p w:rsidR="000D514E" w:rsidRDefault="00F46502" w:rsidP="001D198A">
            <w:pPr>
              <w:spacing w:after="0"/>
              <w:rPr>
                <w:b/>
                <w:szCs w:val="20"/>
                <w:lang w:eastAsia="en-US"/>
              </w:rPr>
            </w:pPr>
            <w:r w:rsidRPr="00360DE3">
              <w:rPr>
                <w:b/>
                <w:szCs w:val="20"/>
              </w:rPr>
              <w:t xml:space="preserve">Graf č. </w:t>
            </w:r>
            <w:proofErr w:type="gramStart"/>
            <w:r w:rsidR="001D198A" w:rsidRPr="00360DE3">
              <w:rPr>
                <w:b/>
                <w:szCs w:val="20"/>
              </w:rPr>
              <w:t>2.3.1</w:t>
            </w:r>
            <w:r w:rsidRPr="00360DE3">
              <w:rPr>
                <w:b/>
                <w:szCs w:val="20"/>
              </w:rPr>
              <w:t xml:space="preserve">  </w:t>
            </w:r>
            <w:r w:rsidRPr="00360DE3">
              <w:rPr>
                <w:b/>
                <w:szCs w:val="20"/>
                <w:lang w:eastAsia="en-US"/>
              </w:rPr>
              <w:t>Ceny</w:t>
            </w:r>
            <w:proofErr w:type="gramEnd"/>
            <w:r w:rsidRPr="00360DE3">
              <w:rPr>
                <w:b/>
                <w:szCs w:val="20"/>
                <w:lang w:eastAsia="en-US"/>
              </w:rPr>
              <w:t xml:space="preserve"> průmyslových výrobců podle sekcí CZ-CPA </w:t>
            </w:r>
          </w:p>
          <w:p w:rsidR="00F46502" w:rsidRPr="00360DE3" w:rsidRDefault="00F46502" w:rsidP="001D198A">
            <w:pPr>
              <w:spacing w:after="0"/>
              <w:rPr>
                <w:b/>
                <w:szCs w:val="20"/>
              </w:rPr>
            </w:pPr>
            <w:r w:rsidRPr="00360DE3">
              <w:rPr>
                <w:szCs w:val="20"/>
                <w:lang w:eastAsia="en-US"/>
              </w:rPr>
              <w:t>(meziročně, v</w:t>
            </w:r>
            <w:r w:rsidR="001D198A" w:rsidRPr="00360DE3">
              <w:rPr>
                <w:szCs w:val="20"/>
                <w:lang w:eastAsia="en-US"/>
              </w:rPr>
              <w:t> </w:t>
            </w:r>
            <w:r w:rsidRPr="00360DE3">
              <w:rPr>
                <w:szCs w:val="20"/>
                <w:lang w:eastAsia="en-US"/>
              </w:rPr>
              <w:t>%)</w:t>
            </w:r>
          </w:p>
        </w:tc>
      </w:tr>
      <w:tr w:rsidR="00F46502" w:rsidRPr="00360DE3" w:rsidTr="002B213A">
        <w:trPr>
          <w:trHeight w:val="170"/>
        </w:trPr>
        <w:tc>
          <w:tcPr>
            <w:tcW w:w="1976" w:type="dxa"/>
            <w:vMerge/>
          </w:tcPr>
          <w:p w:rsidR="00F46502" w:rsidRPr="00360DE3" w:rsidRDefault="00F46502" w:rsidP="002B213A">
            <w:pPr>
              <w:pStyle w:val="Marginlie"/>
              <w:rPr>
                <w:spacing w:val="0"/>
              </w:rPr>
            </w:pPr>
          </w:p>
        </w:tc>
        <w:tc>
          <w:tcPr>
            <w:tcW w:w="277" w:type="dxa"/>
            <w:vMerge/>
          </w:tcPr>
          <w:p w:rsidR="00F46502" w:rsidRPr="00360DE3" w:rsidRDefault="00F46502" w:rsidP="002B213A">
            <w:pPr>
              <w:pStyle w:val="Textpoznpodarou"/>
              <w:jc w:val="both"/>
            </w:pPr>
          </w:p>
        </w:tc>
        <w:tc>
          <w:tcPr>
            <w:tcW w:w="7391" w:type="dxa"/>
          </w:tcPr>
          <w:p w:rsidR="00F46502" w:rsidRPr="00360DE3" w:rsidRDefault="00F46502" w:rsidP="002B213A">
            <w:pPr>
              <w:spacing w:after="0"/>
            </w:pPr>
            <w:r w:rsidRPr="00360DE3">
              <w:rPr>
                <w:noProof/>
              </w:rPr>
              <w:drawing>
                <wp:inline distT="0" distB="0" distL="0" distR="0">
                  <wp:extent cx="4737600" cy="3553200"/>
                  <wp:effectExtent l="0" t="0" r="0" b="0"/>
                  <wp:docPr id="1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F46502" w:rsidRPr="00360DE3" w:rsidTr="002B213A">
        <w:trPr>
          <w:trHeight w:val="170"/>
        </w:trPr>
        <w:tc>
          <w:tcPr>
            <w:tcW w:w="1976" w:type="dxa"/>
            <w:vMerge/>
          </w:tcPr>
          <w:p w:rsidR="00F46502" w:rsidRPr="00360DE3" w:rsidRDefault="00F46502" w:rsidP="002B213A">
            <w:pPr>
              <w:pStyle w:val="Marginlie"/>
              <w:rPr>
                <w:spacing w:val="0"/>
              </w:rPr>
            </w:pPr>
          </w:p>
        </w:tc>
        <w:tc>
          <w:tcPr>
            <w:tcW w:w="277" w:type="dxa"/>
            <w:vMerge/>
          </w:tcPr>
          <w:p w:rsidR="00F46502" w:rsidRPr="00360DE3" w:rsidRDefault="00F46502" w:rsidP="002B213A">
            <w:pPr>
              <w:pStyle w:val="Textpoznpodarou"/>
              <w:jc w:val="both"/>
            </w:pPr>
          </w:p>
        </w:tc>
        <w:tc>
          <w:tcPr>
            <w:tcW w:w="7391" w:type="dxa"/>
          </w:tcPr>
          <w:p w:rsidR="00F46502" w:rsidRPr="00360DE3" w:rsidRDefault="00F46502" w:rsidP="002B213A">
            <w:pPr>
              <w:rPr>
                <w:sz w:val="14"/>
                <w:szCs w:val="14"/>
              </w:rPr>
            </w:pPr>
            <w:r w:rsidRPr="00360DE3">
              <w:rPr>
                <w:sz w:val="14"/>
                <w:szCs w:val="14"/>
              </w:rPr>
              <w:t>Zdroj: ČSÚ</w:t>
            </w:r>
          </w:p>
        </w:tc>
      </w:tr>
      <w:tr w:rsidR="00F46502" w:rsidRPr="00360DE3" w:rsidTr="002B213A">
        <w:trPr>
          <w:trHeight w:val="145"/>
        </w:trPr>
        <w:tc>
          <w:tcPr>
            <w:tcW w:w="1976" w:type="dxa"/>
          </w:tcPr>
          <w:p w:rsidR="00F46502" w:rsidRPr="00360DE3" w:rsidRDefault="00F46502" w:rsidP="002B213A">
            <w:pPr>
              <w:pStyle w:val="Marginlie"/>
              <w:rPr>
                <w:spacing w:val="0"/>
              </w:rPr>
            </w:pPr>
            <w:r w:rsidRPr="00360DE3">
              <w:rPr>
                <w:spacing w:val="0"/>
              </w:rPr>
              <w:t>I ve zpracovatelském průmyslu byl růst cen</w:t>
            </w:r>
          </w:p>
          <w:p w:rsidR="00F46502" w:rsidRPr="00360DE3" w:rsidRDefault="00F46502" w:rsidP="002B213A">
            <w:pPr>
              <w:pStyle w:val="Marginlie"/>
              <w:rPr>
                <w:spacing w:val="0"/>
              </w:rPr>
            </w:pPr>
            <w:r w:rsidRPr="00360DE3">
              <w:rPr>
                <w:spacing w:val="0"/>
              </w:rPr>
              <w:t>nejvýraznější za poslední roky.</w:t>
            </w:r>
          </w:p>
        </w:tc>
        <w:tc>
          <w:tcPr>
            <w:tcW w:w="277" w:type="dxa"/>
          </w:tcPr>
          <w:p w:rsidR="00F46502" w:rsidRPr="00360DE3" w:rsidRDefault="00F46502" w:rsidP="002B213A">
            <w:pPr>
              <w:pStyle w:val="Textpoznpodarou"/>
              <w:jc w:val="both"/>
            </w:pPr>
          </w:p>
        </w:tc>
        <w:tc>
          <w:tcPr>
            <w:tcW w:w="7391" w:type="dxa"/>
          </w:tcPr>
          <w:p w:rsidR="00F46502" w:rsidRPr="00360DE3" w:rsidRDefault="00F46502" w:rsidP="002B213A">
            <w:r w:rsidRPr="00360DE3">
              <w:t>Ceny výrobků a služeb zpracovatelského průmyslu</w:t>
            </w:r>
            <w:r w:rsidR="00EA405F">
              <w:t xml:space="preserve"> v letech 2015 a 2016 klesaly a</w:t>
            </w:r>
            <w:r w:rsidR="00EA405F" w:rsidRPr="00360DE3">
              <w:t> </w:t>
            </w:r>
            <w:r w:rsidRPr="00360DE3">
              <w:t xml:space="preserve">loňský růst o 2,3 % byl nejvyšší od roku 2011. V minulých letech tuto dynamiku výrazně ovlivňovala cena ropy. Ta se na počátku roku 2017 výrazně meziročně </w:t>
            </w:r>
            <w:r w:rsidRPr="00360DE3">
              <w:lastRenderedPageBreak/>
              <w:t>zvýšila a především v první čtvrtině roku tak k růstu cen ve zpracovatelském průmyslu podstatnou měrou přispěl koks a rafinované ropné výrobky. Výrazně působilo i zvýšení cen obecných kovů a kovodělných výrobků o 5,3 %, které bylo navíc rovnoměrně rozloženo do celého roku. Ceny potravinářských výrobků, nápojů a tabáku se loni zvýšily o 2,6 %, u chemických látek a výrobků o 3,0 %. Naopak ceny dopravních prostředků klesly o 2,2 %. V průběhu roku se jejich meziroční propad prohluboval, což kvůli jejich váze v indexu přispělo k postupnému zpomalování celkového růstu cen výrobků zpracovatelského průmyslu. Jedním z důvodů bylo i postupné prosakování posilujícího kurzu koruny do cen.</w:t>
            </w:r>
          </w:p>
        </w:tc>
      </w:tr>
      <w:tr w:rsidR="00F46502" w:rsidRPr="00360DE3" w:rsidTr="002B213A">
        <w:trPr>
          <w:trHeight w:val="412"/>
        </w:trPr>
        <w:tc>
          <w:tcPr>
            <w:tcW w:w="1976" w:type="dxa"/>
          </w:tcPr>
          <w:p w:rsidR="00F46502" w:rsidRPr="00360DE3" w:rsidRDefault="00F46502" w:rsidP="002B213A">
            <w:pPr>
              <w:pStyle w:val="Marginlie"/>
              <w:rPr>
                <w:spacing w:val="0"/>
              </w:rPr>
            </w:pPr>
            <w:r w:rsidRPr="00360DE3">
              <w:rPr>
                <w:spacing w:val="0"/>
              </w:rPr>
              <w:lastRenderedPageBreak/>
              <w:t>S výjimkou elektřiny, plynu, páry a klimatizovaného vzduchu ostatní sekce průmyslu prolomily trend posledních let a ceny zde rostly.</w:t>
            </w:r>
          </w:p>
        </w:tc>
        <w:tc>
          <w:tcPr>
            <w:tcW w:w="277" w:type="dxa"/>
          </w:tcPr>
          <w:p w:rsidR="00F46502" w:rsidRPr="00360DE3" w:rsidRDefault="00F46502" w:rsidP="002B213A">
            <w:pPr>
              <w:pStyle w:val="Textpoznpodarou"/>
              <w:jc w:val="both"/>
            </w:pPr>
          </w:p>
        </w:tc>
        <w:tc>
          <w:tcPr>
            <w:tcW w:w="7391" w:type="dxa"/>
          </w:tcPr>
          <w:p w:rsidR="00F46502" w:rsidRPr="00360DE3" w:rsidRDefault="00F46502" w:rsidP="002B213A">
            <w:r w:rsidRPr="00360DE3">
              <w:t xml:space="preserve">Ceny elektřiny, plynu, páry a klimatizovaného vzduchu loni poklesly počtvrté v řadě (-1,2 %), tempo se však výrazně zmírnilo. Tuto dynamiku kopíroval především vývoj cen elektřiny a jejího přenosu a obchodu (-2,1 %, zmírnění oproti roku 2016). Naopak ceny plynu a jeho rozvodu vzrostly loni o </w:t>
            </w:r>
            <w:r w:rsidR="00EA405F">
              <w:t>3,0 %. Ceny páry a horké vody a</w:t>
            </w:r>
            <w:r w:rsidR="00EA405F" w:rsidRPr="00360DE3">
              <w:t> </w:t>
            </w:r>
            <w:r w:rsidRPr="00360DE3">
              <w:t>souvisejících služeb stagnovaly (0,2 %). Výrazný obrat nastal ve vývoji cen těžby a dobývání. Ty loni vzrostly o 3,8 % (v roce 2016 klesly o 6,1 %). Projevilo se zvýšení cen černého a hnědého uhlí a lignitu o 6,4</w:t>
            </w:r>
            <w:r w:rsidR="00EA405F">
              <w:t xml:space="preserve"> % i cen ropy a zemního plynu o</w:t>
            </w:r>
            <w:r w:rsidR="00EA405F" w:rsidRPr="00360DE3">
              <w:t> </w:t>
            </w:r>
            <w:r w:rsidRPr="00360DE3">
              <w:t xml:space="preserve">6,8 % (u ropy došlo k růstu o 22,7 %, ceny plynu klesly o 5,0 %). Ceny ostatní těžby však loni stagnovaly (0,4 %).    </w:t>
            </w:r>
          </w:p>
        </w:tc>
      </w:tr>
      <w:tr w:rsidR="00F46502" w:rsidRPr="00360DE3" w:rsidTr="002B213A">
        <w:trPr>
          <w:trHeight w:val="145"/>
        </w:trPr>
        <w:tc>
          <w:tcPr>
            <w:tcW w:w="1976" w:type="dxa"/>
          </w:tcPr>
          <w:p w:rsidR="00F46502" w:rsidRPr="00360DE3" w:rsidRDefault="00F46502" w:rsidP="002B213A">
            <w:pPr>
              <w:pStyle w:val="Marginlie"/>
              <w:rPr>
                <w:spacing w:val="0"/>
              </w:rPr>
            </w:pPr>
            <w:r w:rsidRPr="00360DE3">
              <w:rPr>
                <w:spacing w:val="0"/>
              </w:rPr>
              <w:t>Ceny výrobců v EU rostly silněji než v Česku.</w:t>
            </w:r>
          </w:p>
        </w:tc>
        <w:tc>
          <w:tcPr>
            <w:tcW w:w="277" w:type="dxa"/>
          </w:tcPr>
          <w:p w:rsidR="00F46502" w:rsidRPr="00360DE3" w:rsidRDefault="00F46502" w:rsidP="002B213A">
            <w:pPr>
              <w:pStyle w:val="Textpoznpodarou"/>
              <w:jc w:val="both"/>
            </w:pPr>
          </w:p>
        </w:tc>
        <w:tc>
          <w:tcPr>
            <w:tcW w:w="7391" w:type="dxa"/>
          </w:tcPr>
          <w:p w:rsidR="00F46502" w:rsidRPr="00360DE3" w:rsidRDefault="00F46502" w:rsidP="002B213A">
            <w:r w:rsidRPr="00360DE3">
              <w:t>Vzhledem k tomu, že vývoj cen ropy má globální dopad, ceny výrobců v EU i Česku měly podobný trend a z tříletého poklesu se dostaly do růstové fáze. Oproti roku 2016 vzrostly ceny průmyslových výrobců v EU o 3,6 % a v </w:t>
            </w:r>
            <w:proofErr w:type="spellStart"/>
            <w:r w:rsidRPr="00360DE3">
              <w:t>eurozóně</w:t>
            </w:r>
            <w:proofErr w:type="spellEnd"/>
            <w:r w:rsidRPr="00360DE3">
              <w:t xml:space="preserve"> o 3,1 %. Ceny ve zpracovatelském průmyslu se v EU zvýšily o</w:t>
            </w:r>
            <w:r w:rsidR="00EA405F">
              <w:t xml:space="preserve"> 3,3 %, elektřina, plyn, pára a</w:t>
            </w:r>
            <w:r w:rsidR="00EA405F" w:rsidRPr="00360DE3">
              <w:t> </w:t>
            </w:r>
            <w:r w:rsidRPr="00360DE3">
              <w:t>klimatizovaný vzduch zdražily o 3,1 %, těžba a dobývání o 13,7 % a zásobování vodou o 1,2 %. Nejvyšší růst cen výrobců se loni odehrával v Belgii (8,9 %). Ceny zde výrazně rostly v celém průmyslu, nejvíce se však projevovaly základní kovy (25,6 %), koks a rafinované ropné výrobky (17,2 %) a chemické výrobky (8,1 %). Ceny výrobců měly silný růst ve Velké Británii (6,2 %) a Polsku (4,7 %). U obou se projevoval skokový nárůst cen těžby a dobývání (</w:t>
            </w:r>
            <w:r w:rsidR="00EA405F">
              <w:t>ve Velké Británii vlivem ropy a</w:t>
            </w:r>
            <w:r w:rsidR="00EA405F" w:rsidRPr="00360DE3">
              <w:t> </w:t>
            </w:r>
            <w:r w:rsidRPr="00360DE3">
              <w:t xml:space="preserve">zemního plynu o 24,6 %, v Polsku bylo důležité uhlí </w:t>
            </w:r>
            <w:r w:rsidR="00EA405F">
              <w:t>a lignit a ceny těžby vylétly o</w:t>
            </w:r>
            <w:r w:rsidR="00EA405F" w:rsidRPr="00360DE3">
              <w:t> </w:t>
            </w:r>
            <w:r w:rsidRPr="00360DE3">
              <w:t xml:space="preserve">22,2 %). V Lucembursku ceny výrobců klesly o 1,9 % (ceny elektřiny, plynu, páry a klimatizovaného vzduchu se zde propadly o 10,7 %), V Irsku klesly o 0,4 % a na Maltě vzrostly o 0,7 %. </w:t>
            </w:r>
          </w:p>
        </w:tc>
      </w:tr>
      <w:tr w:rsidR="00F46502" w:rsidRPr="00360DE3" w:rsidTr="002B213A">
        <w:trPr>
          <w:trHeight w:val="145"/>
        </w:trPr>
        <w:tc>
          <w:tcPr>
            <w:tcW w:w="1976" w:type="dxa"/>
          </w:tcPr>
          <w:p w:rsidR="00F46502" w:rsidRPr="00360DE3" w:rsidRDefault="00F46502" w:rsidP="002B213A">
            <w:pPr>
              <w:pStyle w:val="Marginlie"/>
              <w:rPr>
                <w:spacing w:val="0"/>
              </w:rPr>
            </w:pPr>
            <w:r w:rsidRPr="00360DE3">
              <w:rPr>
                <w:spacing w:val="0"/>
              </w:rPr>
              <w:t>Ceny zemědělských výrobců loni poměrně výrazně vzrostly, především pod vlivem cen živočišné výroby.</w:t>
            </w:r>
          </w:p>
        </w:tc>
        <w:tc>
          <w:tcPr>
            <w:tcW w:w="277" w:type="dxa"/>
          </w:tcPr>
          <w:p w:rsidR="00F46502" w:rsidRPr="00360DE3" w:rsidRDefault="00F46502" w:rsidP="002B213A">
            <w:pPr>
              <w:pStyle w:val="Textpoznpodarou"/>
              <w:jc w:val="both"/>
            </w:pPr>
          </w:p>
        </w:tc>
        <w:tc>
          <w:tcPr>
            <w:tcW w:w="7391" w:type="dxa"/>
          </w:tcPr>
          <w:p w:rsidR="00F46502" w:rsidRPr="00360DE3" w:rsidRDefault="00F46502" w:rsidP="002B213A">
            <w:r w:rsidRPr="00360DE3">
              <w:t>Ceny v zemědělské výrobě v letech 2014–2016 poměrně výrazně klesaly, loňský rok však přinesl změnu. Oproti roku 2016 se ceny zemědělských výrobců zvýšily o 7,3 %. Klíčový byl 15,2% růst cen živočišné výroby, ceny rostlinné výroby se zvýšily o 1,7 %. Růst cen živočišné výroby byl mimořádný i ve srovnání s poslední růstovou fází, která skončila v roce 2014. Díky 11,2% zvýšení cen prasat a selat vzrostly ceny hospodářských zvířat o 4,9 %. Proti tomu působil vývoj cen drůbeže, které klesly o 2,3 % (počtvrté v řadě). Mimořádný skok nastal u cen živočišných výrobků (25,4 %, v roce 2016 pokles o 14,3 %). Ceny mléka s</w:t>
            </w:r>
            <w:r w:rsidR="00EA405F">
              <w:t>e zvýšily o 25,8 % a</w:t>
            </w:r>
            <w:r w:rsidR="00EA405F" w:rsidRPr="00360DE3">
              <w:t> </w:t>
            </w:r>
            <w:r w:rsidRPr="00360DE3">
              <w:t>ceny vajec o 23,0 %. V mírném růstu cen rostlinné výroby lze vidět především vývoj cen obilovin, které mají v indexu největší váhu. Ty vzrostly o 1,7 %, z toho ceny pšenice byly vyšší o 3,0 %, žita o 2,3 %. Celkový růst tlumila především kukuřice, jejíž ceny klesly o 3,2 %. Ceny průmysl</w:t>
            </w:r>
            <w:r w:rsidR="00EA405F">
              <w:t>ových plodin vzrostly o 2,5 % a</w:t>
            </w:r>
            <w:r w:rsidR="00EA405F" w:rsidRPr="00360DE3">
              <w:t> </w:t>
            </w:r>
            <w:r w:rsidRPr="00360DE3">
              <w:t>dominovaly jim hlavně olejniny (4,1 %), růst zpomalovala cukrová řepa (-5,2 %). Klesaly ceny krmných plodin (-7,4 %), zeleniny a zahradnických produktů (-1,5 %), i brambor (-8,8 %). Naopak ceny ovoce vyskočily o 34,7 %</w:t>
            </w:r>
            <w:r w:rsidRPr="00360DE3">
              <w:rPr>
                <w:rStyle w:val="Znakapoznpodarou"/>
              </w:rPr>
              <w:footnoteReference w:id="1"/>
            </w:r>
            <w:r w:rsidRPr="00360DE3">
              <w:t xml:space="preserve">. Mezinárodní srovnání </w:t>
            </w:r>
            <w:r w:rsidRPr="00360DE3">
              <w:lastRenderedPageBreak/>
              <w:t xml:space="preserve">je u cen zemědělských výrobců poměrně složité vzhledem k odlišné struktuře zemědělství v jednotlivých zemích. Společné trendy jsou však patrné u obilovin, jejichž ceny klesaly v minulých letech a v roce 2017 mírně vzrostly (v EU o 4,7 %). Výše zmíněný skokový nárůst cen mléka a vajec se odehrál i v okolních státech (mléko v EU nárůst o 19,1 %, vejce o 16,9 %). </w:t>
            </w:r>
          </w:p>
        </w:tc>
      </w:tr>
      <w:tr w:rsidR="00F46502" w:rsidRPr="00360DE3" w:rsidTr="002B213A">
        <w:trPr>
          <w:trHeight w:val="145"/>
        </w:trPr>
        <w:tc>
          <w:tcPr>
            <w:tcW w:w="1976" w:type="dxa"/>
          </w:tcPr>
          <w:p w:rsidR="00F46502" w:rsidRPr="00360DE3" w:rsidRDefault="00F46502" w:rsidP="002B213A">
            <w:pPr>
              <w:pStyle w:val="Marginlie"/>
              <w:rPr>
                <w:spacing w:val="0"/>
              </w:rPr>
            </w:pPr>
            <w:r w:rsidRPr="00360DE3">
              <w:rPr>
                <w:spacing w:val="0"/>
              </w:rPr>
              <w:lastRenderedPageBreak/>
              <w:t>Ceny tržních služeb vzrostly nejvýrazněji od roku 2009 a projevila se na nich současná konjunkturní fáze.</w:t>
            </w:r>
          </w:p>
        </w:tc>
        <w:tc>
          <w:tcPr>
            <w:tcW w:w="277" w:type="dxa"/>
          </w:tcPr>
          <w:p w:rsidR="00F46502" w:rsidRPr="00360DE3" w:rsidRDefault="00F46502" w:rsidP="002B213A">
            <w:pPr>
              <w:pStyle w:val="Textpoznpodarou"/>
              <w:jc w:val="both"/>
            </w:pPr>
          </w:p>
        </w:tc>
        <w:tc>
          <w:tcPr>
            <w:tcW w:w="7391" w:type="dxa"/>
          </w:tcPr>
          <w:p w:rsidR="00F46502" w:rsidRPr="00360DE3" w:rsidRDefault="00F46502" w:rsidP="002B213A">
            <w:r w:rsidRPr="00360DE3">
              <w:t>Index cen tržních služeb loni vzrostl o 1,3 %. To je nejvyšší a prakticky první výraznější růstová hodnota od roku 2009. Nejvýrazněji ovlivnil ceny tržních služeb 4,1% růst cen pojištění, zajištění a penzijního financování a p</w:t>
            </w:r>
            <w:r w:rsidR="00EA405F">
              <w:t>ak reklamní služby a</w:t>
            </w:r>
            <w:r w:rsidR="00EA405F" w:rsidRPr="00360DE3">
              <w:t> </w:t>
            </w:r>
            <w:r w:rsidRPr="00360DE3">
              <w:t xml:space="preserve">průzkum trhu, kde ceny vzrostly o 2,7 %. Ceny tržních služeb do značné míry ovlivnila probíhající konjunktura. Ta stimulovala zrychlení růstu cen v silniční nákladní dopravě (0,6 %) i ve skladování (6,2 %). Výrazný nedostatek pracovní síly i růst mezd se projevil na 11,5% zvýšení cen služeb agentur zprostředkujících zaměstnání. Růst mezd se projevil i v cenách bezpečnostních a pátracích služeb (5,1 %).  </w:t>
            </w:r>
          </w:p>
        </w:tc>
      </w:tr>
      <w:tr w:rsidR="00F46502" w:rsidRPr="00360DE3" w:rsidTr="002B213A">
        <w:trPr>
          <w:trHeight w:val="145"/>
        </w:trPr>
        <w:tc>
          <w:tcPr>
            <w:tcW w:w="1976" w:type="dxa"/>
          </w:tcPr>
          <w:p w:rsidR="00F46502" w:rsidRPr="00360DE3" w:rsidRDefault="00F46502" w:rsidP="002B213A">
            <w:pPr>
              <w:pStyle w:val="Marginlie"/>
              <w:rPr>
                <w:spacing w:val="0"/>
              </w:rPr>
            </w:pPr>
            <w:r w:rsidRPr="00360DE3">
              <w:rPr>
                <w:spacing w:val="0"/>
              </w:rPr>
              <w:t>Ceny stavebních děl loni rostly rychleji než v roce 2016.</w:t>
            </w:r>
          </w:p>
        </w:tc>
        <w:tc>
          <w:tcPr>
            <w:tcW w:w="277" w:type="dxa"/>
          </w:tcPr>
          <w:p w:rsidR="00F46502" w:rsidRPr="00360DE3" w:rsidRDefault="00F46502" w:rsidP="002B213A">
            <w:pPr>
              <w:pStyle w:val="Textpoznpodarou"/>
              <w:jc w:val="both"/>
            </w:pPr>
          </w:p>
        </w:tc>
        <w:tc>
          <w:tcPr>
            <w:tcW w:w="7391" w:type="dxa"/>
          </w:tcPr>
          <w:p w:rsidR="00F46502" w:rsidRPr="00360DE3" w:rsidRDefault="00F46502" w:rsidP="002B213A">
            <w:r w:rsidRPr="00360DE3">
              <w:t xml:space="preserve">Zrychlení ekonomiky povzbudilo i růst cen stavebních děl. Cenový nárůst probíhal napříč jednotlivými druhy stavebních děl, což pravděpodobně odráželo tlak na zvyšování mezd, který se projevil ve výsledných cenách výrobků. Zároveň byl cenový růst poměrně rovnoměrně rozložen a pohyboval se pod 2,0 %. Zvýšily se ceny všech druhů bytových budov (jednobytové o 1,9 %, tří a </w:t>
            </w:r>
            <w:proofErr w:type="spellStart"/>
            <w:r w:rsidRPr="00360DE3">
              <w:t>vícebytové</w:t>
            </w:r>
            <w:proofErr w:type="spellEnd"/>
            <w:r w:rsidRPr="00360DE3">
              <w:t xml:space="preserve"> o 1,8 %). Podobný cenový růst nastal u nebytových budov (1,8 %). Mírněji rostly inženýrských děl, kde váhově dominují dálnice a místní a účelové komunikace (1,6 %).</w:t>
            </w:r>
          </w:p>
        </w:tc>
      </w:tr>
    </w:tbl>
    <w:p w:rsidR="00F46502" w:rsidRPr="00360DE3" w:rsidRDefault="00F46502" w:rsidP="00F46502">
      <w:pPr>
        <w:pStyle w:val="Nadpis2"/>
      </w:pPr>
      <w:bookmarkStart w:id="5" w:name="_Toc527639464"/>
      <w:r w:rsidRPr="00360DE3">
        <w:t>2.4 Ceny v zahraničním obchodě se zbožím</w:t>
      </w:r>
      <w:bookmarkEnd w:id="5"/>
    </w:p>
    <w:tbl>
      <w:tblPr>
        <w:tblW w:w="9644" w:type="dxa"/>
        <w:tblInd w:w="-15" w:type="dxa"/>
        <w:tblLayout w:type="fixed"/>
        <w:tblCellMar>
          <w:left w:w="0" w:type="dxa"/>
          <w:right w:w="0" w:type="dxa"/>
        </w:tblCellMar>
        <w:tblLook w:val="00A0"/>
      </w:tblPr>
      <w:tblGrid>
        <w:gridCol w:w="1976"/>
        <w:gridCol w:w="277"/>
        <w:gridCol w:w="7391"/>
      </w:tblGrid>
      <w:tr w:rsidR="00F46502" w:rsidRPr="00360DE3" w:rsidTr="002B213A">
        <w:trPr>
          <w:trHeight w:val="145"/>
        </w:trPr>
        <w:tc>
          <w:tcPr>
            <w:tcW w:w="1976" w:type="dxa"/>
          </w:tcPr>
          <w:p w:rsidR="00F46502" w:rsidRPr="00360DE3" w:rsidRDefault="00F46502" w:rsidP="002B213A">
            <w:pPr>
              <w:pStyle w:val="Marginlie"/>
              <w:rPr>
                <w:spacing w:val="0"/>
              </w:rPr>
            </w:pPr>
            <w:r w:rsidRPr="00360DE3">
              <w:rPr>
                <w:spacing w:val="0"/>
              </w:rPr>
              <w:t>Ceny vývozu klesly. Do značné míry se na tom podílel obchod se stroji a dopravními prostředky.</w:t>
            </w:r>
          </w:p>
        </w:tc>
        <w:tc>
          <w:tcPr>
            <w:tcW w:w="277" w:type="dxa"/>
          </w:tcPr>
          <w:p w:rsidR="00F46502" w:rsidRPr="00360DE3" w:rsidRDefault="00F46502" w:rsidP="002B213A">
            <w:pPr>
              <w:pStyle w:val="Textpoznpodarou"/>
              <w:jc w:val="both"/>
            </w:pPr>
          </w:p>
        </w:tc>
        <w:tc>
          <w:tcPr>
            <w:tcW w:w="7391" w:type="dxa"/>
          </w:tcPr>
          <w:p w:rsidR="00F46502" w:rsidRPr="00360DE3" w:rsidRDefault="00F46502" w:rsidP="002B213A">
            <w:r w:rsidRPr="00360DE3">
              <w:t>Klíčovým faktorem, který v roce 2017 ovlivňoval ceny vývozu a dovozu byl kurz koruny vůči světovým měnám. Na počátku roku 2017 sice ceny vývozu a dovozu poměrně přesvědčivě rostly, po dubnovém ukončení intervenci ČNB se však tento vývoj obrátil. Posílení bylo tak velké, že v druhé polovině roku způsobovalo meziroční propad cen dovozu i vývozu (po očištění od kurzových vlivů by ceny mírně rostly). Ceny vývozu loni oproti roku 2016 poklesly o 0,1 %. Klíčový byl pokles cen strojů a dopravních prostředků o 2,2 %, jejichž váhu v indexu nepřekonal ani nárůst cen minerálních paliv o 16,3 % a ostatních surovin o 10,3 %. Výrazněji klesaly ceny silničních vozidel (-2,9 %), u strojů a zařízení bylo snížení mírnější (-1,8 %). Pokles celkového indexu pak zmí</w:t>
            </w:r>
            <w:r w:rsidR="00EA405F">
              <w:t>rňoval nárůst cen potravin (2,2</w:t>
            </w:r>
            <w:r w:rsidR="00EA405F" w:rsidRPr="00360DE3">
              <w:t> </w:t>
            </w:r>
            <w:r w:rsidRPr="00360DE3">
              <w:t>%), chemikálií (0,7 %) a polotovarů (1,7 %).</w:t>
            </w:r>
          </w:p>
        </w:tc>
      </w:tr>
      <w:tr w:rsidR="00F46502" w:rsidRPr="00360DE3" w:rsidTr="002B213A">
        <w:trPr>
          <w:trHeight w:val="145"/>
        </w:trPr>
        <w:tc>
          <w:tcPr>
            <w:tcW w:w="1976" w:type="dxa"/>
          </w:tcPr>
          <w:p w:rsidR="00F46502" w:rsidRPr="00360DE3" w:rsidRDefault="00F46502" w:rsidP="002B213A">
            <w:pPr>
              <w:pStyle w:val="Marginlie"/>
              <w:rPr>
                <w:spacing w:val="0"/>
              </w:rPr>
            </w:pPr>
            <w:r w:rsidRPr="00360DE3">
              <w:rPr>
                <w:spacing w:val="0"/>
              </w:rPr>
              <w:t>Ceny dovozu mírně vzrostly, šlo však o výsledek silného růstu v 1. pololetí roku. Ve druhé půli již ceny dovozu rychle klesaly.</w:t>
            </w:r>
          </w:p>
        </w:tc>
        <w:tc>
          <w:tcPr>
            <w:tcW w:w="277" w:type="dxa"/>
          </w:tcPr>
          <w:p w:rsidR="00F46502" w:rsidRPr="00360DE3" w:rsidRDefault="00F46502" w:rsidP="002B213A">
            <w:pPr>
              <w:pStyle w:val="Textpoznpodarou"/>
              <w:jc w:val="both"/>
            </w:pPr>
          </w:p>
        </w:tc>
        <w:tc>
          <w:tcPr>
            <w:tcW w:w="7391" w:type="dxa"/>
          </w:tcPr>
          <w:p w:rsidR="00F46502" w:rsidRPr="00EA405F" w:rsidRDefault="00F46502" w:rsidP="002B213A">
            <w:pPr>
              <w:rPr>
                <w:spacing w:val="-2"/>
              </w:rPr>
            </w:pPr>
            <w:r w:rsidRPr="00EA405F">
              <w:rPr>
                <w:spacing w:val="-2"/>
              </w:rPr>
              <w:t>Ceny dovozu loni celkově vzrostly o 0,9 %. Přitom však v druhé půli roku klesaly rychleji než ceny vývozu (především kvůli posílení kurzu koruny vůči dolaru, který je v dovozu podstatnější než ve vývozu). Podobně jako u vývozu silně rostly ceny minerálních paliv (13,9 %) a ostatních surovin (10,3 %). Mírně rostly ceny polotovarů (4,9 %), potravin (2,8 %) a chemikálií (0,9 %). Naopak klesaly ceny strojů a</w:t>
            </w:r>
            <w:r w:rsidR="00EA405F" w:rsidRPr="00360DE3">
              <w:t> </w:t>
            </w:r>
            <w:r w:rsidRPr="00EA405F">
              <w:rPr>
                <w:spacing w:val="-2"/>
              </w:rPr>
              <w:t>dopravních prostředků (-2,9 %). Výrazněji ne</w:t>
            </w:r>
            <w:r w:rsidR="00EA405F" w:rsidRPr="00EA405F">
              <w:rPr>
                <w:spacing w:val="-2"/>
              </w:rPr>
              <w:t>ž ceny silničních vozidel (-0,4 </w:t>
            </w:r>
            <w:r w:rsidRPr="00EA405F">
              <w:rPr>
                <w:spacing w:val="-2"/>
              </w:rPr>
              <w:t xml:space="preserve">%) se však snižovaly ceny strojů a zařízení (-2,1 %). </w:t>
            </w:r>
          </w:p>
        </w:tc>
      </w:tr>
      <w:tr w:rsidR="00F46502" w:rsidRPr="00360DE3" w:rsidTr="002B213A">
        <w:trPr>
          <w:trHeight w:val="429"/>
        </w:trPr>
        <w:tc>
          <w:tcPr>
            <w:tcW w:w="1976" w:type="dxa"/>
          </w:tcPr>
          <w:p w:rsidR="00F46502" w:rsidRPr="00360DE3" w:rsidRDefault="00F46502" w:rsidP="002B213A">
            <w:pPr>
              <w:pStyle w:val="Marginlie"/>
              <w:rPr>
                <w:spacing w:val="0"/>
              </w:rPr>
            </w:pPr>
            <w:r w:rsidRPr="00360DE3">
              <w:rPr>
                <w:spacing w:val="0"/>
              </w:rPr>
              <w:t>Směnné relace v roce 2017 byly záporné.</w:t>
            </w:r>
          </w:p>
        </w:tc>
        <w:tc>
          <w:tcPr>
            <w:tcW w:w="277" w:type="dxa"/>
          </w:tcPr>
          <w:p w:rsidR="00F46502" w:rsidRPr="00360DE3" w:rsidRDefault="00F46502" w:rsidP="002B213A">
            <w:pPr>
              <w:pStyle w:val="Textpoznpodarou"/>
              <w:jc w:val="both"/>
            </w:pPr>
          </w:p>
        </w:tc>
        <w:tc>
          <w:tcPr>
            <w:tcW w:w="7391" w:type="dxa"/>
          </w:tcPr>
          <w:p w:rsidR="00F46502" w:rsidRPr="00360DE3" w:rsidRDefault="00F46502" w:rsidP="001A4DBF">
            <w:pPr>
              <w:spacing w:after="0"/>
            </w:pPr>
            <w:r w:rsidRPr="00360DE3">
              <w:t>Výsledné směnné relace zahraničního obchodu dosáhly 99,0 %. Záporné byly především směnné relace obchodu s polotovary (96,9 %), dále s potravinami a živými zvířaty (99,4 %), nápoji a tabákem (97,5 %) a chemikáliemi (99,8 %). Kladné směnné relace zaznamenal obchod s minerál</w:t>
            </w:r>
            <w:r w:rsidR="00EA405F">
              <w:t>ními palivy (102,1 %), stroji a</w:t>
            </w:r>
            <w:r w:rsidR="00EA405F" w:rsidRPr="00360DE3">
              <w:t> </w:t>
            </w:r>
            <w:r w:rsidRPr="00360DE3">
              <w:t xml:space="preserve">dopravními prostředky (100,7 %) a průmyslovým spotřebním zbožím (101,2 %). Jak bylo uvedeno výše, v mnohých případech ceny vývozu klesaly pomaleji než ceny dovozu, protože v dovozu měl větší roli vůči koruně silně oslabující dolar.  </w:t>
            </w:r>
          </w:p>
        </w:tc>
      </w:tr>
    </w:tbl>
    <w:p w:rsidR="00F46502" w:rsidRPr="001A4DBF" w:rsidRDefault="00F46502" w:rsidP="001A4DBF">
      <w:pPr>
        <w:pStyle w:val="Nadpis1"/>
        <w:rPr>
          <w:sz w:val="2"/>
          <w:szCs w:val="2"/>
        </w:rPr>
      </w:pPr>
    </w:p>
    <w:sectPr w:rsidR="00F46502" w:rsidRPr="001A4DBF" w:rsidSect="001A4DBF">
      <w:headerReference w:type="even" r:id="rId12"/>
      <w:headerReference w:type="default" r:id="rId13"/>
      <w:footerReference w:type="even" r:id="rId14"/>
      <w:footerReference w:type="default" r:id="rId15"/>
      <w:pgSz w:w="11906" w:h="16838" w:code="9"/>
      <w:pgMar w:top="1134" w:right="1134" w:bottom="1418" w:left="1134" w:header="680" w:footer="680"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9CA" w:rsidRDefault="00A149CA" w:rsidP="00E71A58">
      <w:r>
        <w:separator/>
      </w:r>
    </w:p>
  </w:endnote>
  <w:endnote w:type="continuationSeparator" w:id="0">
    <w:p w:rsidR="00A149CA" w:rsidRDefault="00A149CA"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DC" w:rsidRPr="00932443" w:rsidRDefault="00C805DC"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5"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201295"/>
                  </a:xfrm>
                  <a:prstGeom prst="rect">
                    <a:avLst/>
                  </a:prstGeom>
                  <a:noFill/>
                  <a:ln>
                    <a:noFill/>
                  </a:ln>
                </pic:spPr>
              </pic:pic>
            </a:graphicData>
          </a:graphic>
        </wp:anchor>
      </w:drawing>
    </w:r>
    <w:r w:rsidR="00404AF4" w:rsidRPr="00932443">
      <w:rPr>
        <w:szCs w:val="16"/>
      </w:rPr>
      <w:fldChar w:fldCharType="begin"/>
    </w:r>
    <w:r w:rsidRPr="00932443">
      <w:rPr>
        <w:szCs w:val="16"/>
      </w:rPr>
      <w:instrText>PAGE   \* MERGEFORMAT</w:instrText>
    </w:r>
    <w:r w:rsidR="00404AF4" w:rsidRPr="00932443">
      <w:rPr>
        <w:szCs w:val="16"/>
      </w:rPr>
      <w:fldChar w:fldCharType="separate"/>
    </w:r>
    <w:r w:rsidR="001A4DBF">
      <w:rPr>
        <w:szCs w:val="16"/>
      </w:rPr>
      <w:t>10</w:t>
    </w:r>
    <w:r w:rsidR="00404AF4" w:rsidRPr="00932443">
      <w:rPr>
        <w:szCs w:val="16"/>
      </w:rPr>
      <w:fldChar w:fldCharType="end"/>
    </w:r>
    <w:r w:rsidRPr="00932443">
      <w:rPr>
        <w:szCs w:val="16"/>
      </w:rPr>
      <w:tab/>
    </w:r>
    <w:r>
      <w:rPr>
        <w:szCs w:val="16"/>
      </w:rPr>
      <w:t>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DC" w:rsidRPr="00932443" w:rsidRDefault="00C805DC"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16"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2017</w:t>
    </w:r>
    <w:r w:rsidRPr="00932443">
      <w:rPr>
        <w:szCs w:val="16"/>
      </w:rPr>
      <w:tab/>
    </w:r>
    <w:r w:rsidR="00404AF4" w:rsidRPr="00932443">
      <w:rPr>
        <w:rStyle w:val="ZpatChar"/>
        <w:szCs w:val="16"/>
      </w:rPr>
      <w:fldChar w:fldCharType="begin"/>
    </w:r>
    <w:r w:rsidRPr="00932443">
      <w:rPr>
        <w:rStyle w:val="ZpatChar"/>
        <w:szCs w:val="16"/>
      </w:rPr>
      <w:instrText>PAGE   \* MERGEFORMAT</w:instrText>
    </w:r>
    <w:r w:rsidR="00404AF4" w:rsidRPr="00932443">
      <w:rPr>
        <w:rStyle w:val="ZpatChar"/>
        <w:szCs w:val="16"/>
      </w:rPr>
      <w:fldChar w:fldCharType="separate"/>
    </w:r>
    <w:r w:rsidR="001A4DBF">
      <w:rPr>
        <w:rStyle w:val="ZpatChar"/>
        <w:szCs w:val="16"/>
      </w:rPr>
      <w:t>9</w:t>
    </w:r>
    <w:r w:rsidR="00404AF4"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9CA" w:rsidRDefault="00A149CA" w:rsidP="00E71A58">
      <w:r>
        <w:separator/>
      </w:r>
    </w:p>
  </w:footnote>
  <w:footnote w:type="continuationSeparator" w:id="0">
    <w:p w:rsidR="00A149CA" w:rsidRDefault="00A149CA" w:rsidP="00E71A58">
      <w:r>
        <w:continuationSeparator/>
      </w:r>
    </w:p>
  </w:footnote>
  <w:footnote w:id="1">
    <w:p w:rsidR="00C805DC" w:rsidRPr="009034CA" w:rsidRDefault="00C805DC" w:rsidP="00F46502">
      <w:pPr>
        <w:pStyle w:val="Textpoznpodarou"/>
        <w:rPr>
          <w:sz w:val="16"/>
          <w:szCs w:val="16"/>
        </w:rPr>
      </w:pPr>
      <w:r w:rsidRPr="009034CA">
        <w:rPr>
          <w:rStyle w:val="Znakapoznpodarou"/>
          <w:sz w:val="16"/>
          <w:szCs w:val="16"/>
        </w:rPr>
        <w:footnoteRef/>
      </w:r>
      <w:r w:rsidRPr="009034CA">
        <w:rPr>
          <w:sz w:val="16"/>
          <w:szCs w:val="16"/>
        </w:rPr>
        <w:t xml:space="preserve"> Příčiny lze hledat v nepříznivých </w:t>
      </w:r>
      <w:r>
        <w:rPr>
          <w:sz w:val="16"/>
          <w:szCs w:val="16"/>
        </w:rPr>
        <w:t xml:space="preserve">povětrnostních </w:t>
      </w:r>
      <w:r w:rsidRPr="009034CA">
        <w:rPr>
          <w:sz w:val="16"/>
          <w:szCs w:val="16"/>
        </w:rPr>
        <w:t xml:space="preserve">podmínkách loňského jara, které ovlivnily úrodu ovoce v celém středoevropském prostoru. Výsledkem bylo zdražení jablek o 44,1 % (průmyslová o 71,7 %), broskví o 37,5 % a ostatního ovoce o 22,9 %.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DC" w:rsidRPr="00601A2E" w:rsidRDefault="00C805DC" w:rsidP="00601A2E">
    <w:pPr>
      <w:pStyle w:val="Zhlav"/>
    </w:pPr>
    <w:r>
      <w:t>Analýza ekonomického vývoje v roce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DC" w:rsidRDefault="00C805DC" w:rsidP="00937AE2">
    <w:pPr>
      <w:pStyle w:val="Zhlav"/>
    </w:pPr>
    <w:r>
      <w:t>Analýza ekonomického vývoje v roce 2017</w:t>
    </w:r>
  </w:p>
  <w:p w:rsidR="00C805DC" w:rsidRPr="006F5416" w:rsidRDefault="00C805DC" w:rsidP="00937AE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1">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20"/>
  </w:num>
  <w:num w:numId="14">
    <w:abstractNumId w:val="10"/>
  </w:num>
  <w:num w:numId="15">
    <w:abstractNumId w:val="16"/>
  </w:num>
  <w:num w:numId="16">
    <w:abstractNumId w:val="12"/>
  </w:num>
  <w:num w:numId="17">
    <w:abstractNumId w:val="21"/>
  </w:num>
  <w:num w:numId="18">
    <w:abstractNumId w:val="17"/>
  </w:num>
  <w:num w:numId="19">
    <w:abstractNumId w:val="22"/>
  </w:num>
  <w:num w:numId="20">
    <w:abstractNumId w:val="23"/>
  </w:num>
  <w:num w:numId="21">
    <w:abstractNumId w:val="19"/>
  </w:num>
  <w:num w:numId="22">
    <w:abstractNumId w:val="15"/>
  </w:num>
  <w:num w:numId="23">
    <w:abstractNumId w:val="1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7170">
      <o:colormru v:ext="edit" colors="#ecf4dd,#eaecee,#fcec0a,#fcecdb,#f1daf5"/>
    </o:shapedefaults>
  </w:hdrShapeDefaults>
  <w:footnotePr>
    <w:footnote w:id="-1"/>
    <w:footnote w:id="0"/>
  </w:footnotePr>
  <w:endnotePr>
    <w:endnote w:id="-1"/>
    <w:endnote w:id="0"/>
  </w:endnotePr>
  <w:compat/>
  <w:rsids>
    <w:rsidRoot w:val="00F46502"/>
    <w:rsid w:val="0000209D"/>
    <w:rsid w:val="0000437D"/>
    <w:rsid w:val="00004D5A"/>
    <w:rsid w:val="000056D5"/>
    <w:rsid w:val="00006ABD"/>
    <w:rsid w:val="0000767A"/>
    <w:rsid w:val="00007BEF"/>
    <w:rsid w:val="00010256"/>
    <w:rsid w:val="00010702"/>
    <w:rsid w:val="00011912"/>
    <w:rsid w:val="0002195D"/>
    <w:rsid w:val="000234D6"/>
    <w:rsid w:val="00023D29"/>
    <w:rsid w:val="00026389"/>
    <w:rsid w:val="00031AE0"/>
    <w:rsid w:val="000322EF"/>
    <w:rsid w:val="00033FCD"/>
    <w:rsid w:val="00041CEC"/>
    <w:rsid w:val="0004694F"/>
    <w:rsid w:val="000522E4"/>
    <w:rsid w:val="000610E1"/>
    <w:rsid w:val="00062EC5"/>
    <w:rsid w:val="00062F22"/>
    <w:rsid w:val="00067A82"/>
    <w:rsid w:val="000712B3"/>
    <w:rsid w:val="0008263E"/>
    <w:rsid w:val="00082A55"/>
    <w:rsid w:val="00082C19"/>
    <w:rsid w:val="00085395"/>
    <w:rsid w:val="00087634"/>
    <w:rsid w:val="00087F2B"/>
    <w:rsid w:val="00093E3F"/>
    <w:rsid w:val="00093E53"/>
    <w:rsid w:val="00095135"/>
    <w:rsid w:val="00096085"/>
    <w:rsid w:val="000974D1"/>
    <w:rsid w:val="0009799E"/>
    <w:rsid w:val="000A1183"/>
    <w:rsid w:val="000A256D"/>
    <w:rsid w:val="000A3A2C"/>
    <w:rsid w:val="000B525B"/>
    <w:rsid w:val="000C1D78"/>
    <w:rsid w:val="000C3408"/>
    <w:rsid w:val="000C6AFD"/>
    <w:rsid w:val="000D514E"/>
    <w:rsid w:val="000D5637"/>
    <w:rsid w:val="000E6FBD"/>
    <w:rsid w:val="000F030B"/>
    <w:rsid w:val="00100F5C"/>
    <w:rsid w:val="0010106F"/>
    <w:rsid w:val="00101CDA"/>
    <w:rsid w:val="00104C4C"/>
    <w:rsid w:val="00117623"/>
    <w:rsid w:val="0012192F"/>
    <w:rsid w:val="00125D69"/>
    <w:rsid w:val="001405FA"/>
    <w:rsid w:val="00141782"/>
    <w:rsid w:val="001425C3"/>
    <w:rsid w:val="001528B9"/>
    <w:rsid w:val="001612F4"/>
    <w:rsid w:val="00162312"/>
    <w:rsid w:val="0016256B"/>
    <w:rsid w:val="00162A7A"/>
    <w:rsid w:val="00163793"/>
    <w:rsid w:val="001706D6"/>
    <w:rsid w:val="001714F2"/>
    <w:rsid w:val="001730A6"/>
    <w:rsid w:val="00175B9F"/>
    <w:rsid w:val="00181BBC"/>
    <w:rsid w:val="00182799"/>
    <w:rsid w:val="00184B08"/>
    <w:rsid w:val="00185010"/>
    <w:rsid w:val="00186919"/>
    <w:rsid w:val="001916DB"/>
    <w:rsid w:val="00193818"/>
    <w:rsid w:val="001A0487"/>
    <w:rsid w:val="001A0D6B"/>
    <w:rsid w:val="001A4DBF"/>
    <w:rsid w:val="001A552F"/>
    <w:rsid w:val="001B2CA9"/>
    <w:rsid w:val="001B3110"/>
    <w:rsid w:val="001B4729"/>
    <w:rsid w:val="001B6310"/>
    <w:rsid w:val="001B6C09"/>
    <w:rsid w:val="001C05CD"/>
    <w:rsid w:val="001C1B66"/>
    <w:rsid w:val="001D198A"/>
    <w:rsid w:val="001D463E"/>
    <w:rsid w:val="001D68B2"/>
    <w:rsid w:val="001D70E9"/>
    <w:rsid w:val="001E504C"/>
    <w:rsid w:val="001F4597"/>
    <w:rsid w:val="00203DA4"/>
    <w:rsid w:val="002052C6"/>
    <w:rsid w:val="002118B9"/>
    <w:rsid w:val="00217C5B"/>
    <w:rsid w:val="0022139E"/>
    <w:rsid w:val="00222729"/>
    <w:rsid w:val="00222FFB"/>
    <w:rsid w:val="002252E0"/>
    <w:rsid w:val="002255F6"/>
    <w:rsid w:val="00227850"/>
    <w:rsid w:val="00227A53"/>
    <w:rsid w:val="00230C6E"/>
    <w:rsid w:val="00236443"/>
    <w:rsid w:val="00241B06"/>
    <w:rsid w:val="002436BA"/>
    <w:rsid w:val="00244A15"/>
    <w:rsid w:val="00247319"/>
    <w:rsid w:val="0024799E"/>
    <w:rsid w:val="00253C0F"/>
    <w:rsid w:val="002558C1"/>
    <w:rsid w:val="0026207F"/>
    <w:rsid w:val="0026743D"/>
    <w:rsid w:val="00271465"/>
    <w:rsid w:val="00274037"/>
    <w:rsid w:val="00285412"/>
    <w:rsid w:val="00291640"/>
    <w:rsid w:val="002A16D4"/>
    <w:rsid w:val="002A230C"/>
    <w:rsid w:val="002A5D97"/>
    <w:rsid w:val="002B2127"/>
    <w:rsid w:val="002B213A"/>
    <w:rsid w:val="002B38B8"/>
    <w:rsid w:val="002B4845"/>
    <w:rsid w:val="002B6B06"/>
    <w:rsid w:val="002C43BD"/>
    <w:rsid w:val="002D0E59"/>
    <w:rsid w:val="002E02A1"/>
    <w:rsid w:val="002E4E4C"/>
    <w:rsid w:val="00303533"/>
    <w:rsid w:val="00304771"/>
    <w:rsid w:val="003052D4"/>
    <w:rsid w:val="00306C5B"/>
    <w:rsid w:val="003209D6"/>
    <w:rsid w:val="00321924"/>
    <w:rsid w:val="0032656E"/>
    <w:rsid w:val="00330060"/>
    <w:rsid w:val="00332190"/>
    <w:rsid w:val="00336E03"/>
    <w:rsid w:val="0034335E"/>
    <w:rsid w:val="00344668"/>
    <w:rsid w:val="003462D9"/>
    <w:rsid w:val="00347378"/>
    <w:rsid w:val="00360C86"/>
    <w:rsid w:val="00360DE3"/>
    <w:rsid w:val="00360FBC"/>
    <w:rsid w:val="00362E90"/>
    <w:rsid w:val="00364FA0"/>
    <w:rsid w:val="003657F3"/>
    <w:rsid w:val="003818DC"/>
    <w:rsid w:val="00384327"/>
    <w:rsid w:val="00385D3E"/>
    <w:rsid w:val="00385D98"/>
    <w:rsid w:val="003870EE"/>
    <w:rsid w:val="00392244"/>
    <w:rsid w:val="003A2B4D"/>
    <w:rsid w:val="003A2D12"/>
    <w:rsid w:val="003A478C"/>
    <w:rsid w:val="003A5525"/>
    <w:rsid w:val="003A6B38"/>
    <w:rsid w:val="003B4331"/>
    <w:rsid w:val="003B461F"/>
    <w:rsid w:val="003B5A32"/>
    <w:rsid w:val="003C3490"/>
    <w:rsid w:val="003C4BE8"/>
    <w:rsid w:val="003C7E62"/>
    <w:rsid w:val="003D6920"/>
    <w:rsid w:val="003E38BA"/>
    <w:rsid w:val="003E4C91"/>
    <w:rsid w:val="003F313C"/>
    <w:rsid w:val="003F37FC"/>
    <w:rsid w:val="003F3890"/>
    <w:rsid w:val="003F4B2C"/>
    <w:rsid w:val="003F551C"/>
    <w:rsid w:val="003F72ED"/>
    <w:rsid w:val="003F7D23"/>
    <w:rsid w:val="00404AF4"/>
    <w:rsid w:val="00407C13"/>
    <w:rsid w:val="00410638"/>
    <w:rsid w:val="0041501E"/>
    <w:rsid w:val="004159C3"/>
    <w:rsid w:val="004225C6"/>
    <w:rsid w:val="00432A58"/>
    <w:rsid w:val="00433C0C"/>
    <w:rsid w:val="00434617"/>
    <w:rsid w:val="00436778"/>
    <w:rsid w:val="00440900"/>
    <w:rsid w:val="00441BF6"/>
    <w:rsid w:val="004441A0"/>
    <w:rsid w:val="0045078A"/>
    <w:rsid w:val="0045086D"/>
    <w:rsid w:val="00460FB3"/>
    <w:rsid w:val="00461976"/>
    <w:rsid w:val="00476240"/>
    <w:rsid w:val="00476439"/>
    <w:rsid w:val="0047735C"/>
    <w:rsid w:val="004776BC"/>
    <w:rsid w:val="0048139F"/>
    <w:rsid w:val="00481E40"/>
    <w:rsid w:val="00484ECE"/>
    <w:rsid w:val="004915CB"/>
    <w:rsid w:val="004924DC"/>
    <w:rsid w:val="00493F18"/>
    <w:rsid w:val="004A14E4"/>
    <w:rsid w:val="004A3212"/>
    <w:rsid w:val="004A5494"/>
    <w:rsid w:val="004A61C5"/>
    <w:rsid w:val="004A77DF"/>
    <w:rsid w:val="004B1417"/>
    <w:rsid w:val="004B48DF"/>
    <w:rsid w:val="004B55B7"/>
    <w:rsid w:val="004B6468"/>
    <w:rsid w:val="004B7125"/>
    <w:rsid w:val="004C26B0"/>
    <w:rsid w:val="004C384C"/>
    <w:rsid w:val="004C3867"/>
    <w:rsid w:val="004C4CD0"/>
    <w:rsid w:val="004C5FBF"/>
    <w:rsid w:val="004C70DC"/>
    <w:rsid w:val="004D0211"/>
    <w:rsid w:val="004D0794"/>
    <w:rsid w:val="004E02EB"/>
    <w:rsid w:val="004E326C"/>
    <w:rsid w:val="004F06F5"/>
    <w:rsid w:val="004F16F7"/>
    <w:rsid w:val="004F33A0"/>
    <w:rsid w:val="0050689D"/>
    <w:rsid w:val="005108C0"/>
    <w:rsid w:val="00511873"/>
    <w:rsid w:val="00512A2F"/>
    <w:rsid w:val="00513B7E"/>
    <w:rsid w:val="00515C74"/>
    <w:rsid w:val="00515FFA"/>
    <w:rsid w:val="005173AF"/>
    <w:rsid w:val="0052007E"/>
    <w:rsid w:val="0052337A"/>
    <w:rsid w:val="00525137"/>
    <w:rsid w:val="005251DD"/>
    <w:rsid w:val="00532CE7"/>
    <w:rsid w:val="0053324C"/>
    <w:rsid w:val="00534A28"/>
    <w:rsid w:val="00541508"/>
    <w:rsid w:val="00543498"/>
    <w:rsid w:val="00551238"/>
    <w:rsid w:val="0055599F"/>
    <w:rsid w:val="00556D68"/>
    <w:rsid w:val="00563EB8"/>
    <w:rsid w:val="005647BF"/>
    <w:rsid w:val="00564AF1"/>
    <w:rsid w:val="0057364B"/>
    <w:rsid w:val="00574773"/>
    <w:rsid w:val="00583FFD"/>
    <w:rsid w:val="005911BE"/>
    <w:rsid w:val="00593152"/>
    <w:rsid w:val="005A10F2"/>
    <w:rsid w:val="005A21E0"/>
    <w:rsid w:val="005A28FF"/>
    <w:rsid w:val="005A2C7B"/>
    <w:rsid w:val="005A3DF8"/>
    <w:rsid w:val="005A5549"/>
    <w:rsid w:val="005A7666"/>
    <w:rsid w:val="005B08EB"/>
    <w:rsid w:val="005B121D"/>
    <w:rsid w:val="005C06ED"/>
    <w:rsid w:val="005C2609"/>
    <w:rsid w:val="005D3386"/>
    <w:rsid w:val="005D5802"/>
    <w:rsid w:val="005D7119"/>
    <w:rsid w:val="005D7890"/>
    <w:rsid w:val="005E2A7C"/>
    <w:rsid w:val="005E7C78"/>
    <w:rsid w:val="005F18C5"/>
    <w:rsid w:val="005F3EB1"/>
    <w:rsid w:val="005F46D8"/>
    <w:rsid w:val="005F5469"/>
    <w:rsid w:val="005F5501"/>
    <w:rsid w:val="00600079"/>
    <w:rsid w:val="006003D1"/>
    <w:rsid w:val="00601A2E"/>
    <w:rsid w:val="0060404F"/>
    <w:rsid w:val="00604307"/>
    <w:rsid w:val="0060487F"/>
    <w:rsid w:val="00604EAD"/>
    <w:rsid w:val="006104FB"/>
    <w:rsid w:val="0061249B"/>
    <w:rsid w:val="00612A2F"/>
    <w:rsid w:val="00616E05"/>
    <w:rsid w:val="00624093"/>
    <w:rsid w:val="0063201A"/>
    <w:rsid w:val="006350D5"/>
    <w:rsid w:val="006404A7"/>
    <w:rsid w:val="006451E4"/>
    <w:rsid w:val="00645B33"/>
    <w:rsid w:val="00650330"/>
    <w:rsid w:val="006516CB"/>
    <w:rsid w:val="006558BD"/>
    <w:rsid w:val="00657E87"/>
    <w:rsid w:val="00664803"/>
    <w:rsid w:val="00665BA4"/>
    <w:rsid w:val="00666D91"/>
    <w:rsid w:val="00667AF2"/>
    <w:rsid w:val="006710C9"/>
    <w:rsid w:val="00674D89"/>
    <w:rsid w:val="00675E37"/>
    <w:rsid w:val="00680001"/>
    <w:rsid w:val="0068174E"/>
    <w:rsid w:val="00681DCE"/>
    <w:rsid w:val="0068260E"/>
    <w:rsid w:val="006836CB"/>
    <w:rsid w:val="00695BEF"/>
    <w:rsid w:val="006977F6"/>
    <w:rsid w:val="00697A13"/>
    <w:rsid w:val="006A109C"/>
    <w:rsid w:val="006A3E08"/>
    <w:rsid w:val="006A73A6"/>
    <w:rsid w:val="006B0F92"/>
    <w:rsid w:val="006B344A"/>
    <w:rsid w:val="006B4B7B"/>
    <w:rsid w:val="006B78D8"/>
    <w:rsid w:val="006C113F"/>
    <w:rsid w:val="006C123E"/>
    <w:rsid w:val="006C1752"/>
    <w:rsid w:val="006C33B2"/>
    <w:rsid w:val="006C56D4"/>
    <w:rsid w:val="006C6924"/>
    <w:rsid w:val="006C7CA6"/>
    <w:rsid w:val="006D3E8A"/>
    <w:rsid w:val="006D61F6"/>
    <w:rsid w:val="006D64C2"/>
    <w:rsid w:val="006E279A"/>
    <w:rsid w:val="006E313B"/>
    <w:rsid w:val="006E7227"/>
    <w:rsid w:val="006F2595"/>
    <w:rsid w:val="006F438E"/>
    <w:rsid w:val="006F5416"/>
    <w:rsid w:val="00705242"/>
    <w:rsid w:val="00706AD4"/>
    <w:rsid w:val="00707150"/>
    <w:rsid w:val="007140BE"/>
    <w:rsid w:val="00716E3F"/>
    <w:rsid w:val="007211F5"/>
    <w:rsid w:val="007240E2"/>
    <w:rsid w:val="00725BB5"/>
    <w:rsid w:val="00730AE8"/>
    <w:rsid w:val="00730F1B"/>
    <w:rsid w:val="00741493"/>
    <w:rsid w:val="0074369B"/>
    <w:rsid w:val="00750EF8"/>
    <w:rsid w:val="00752180"/>
    <w:rsid w:val="00753CAB"/>
    <w:rsid w:val="00755202"/>
    <w:rsid w:val="00755D3A"/>
    <w:rsid w:val="007578D3"/>
    <w:rsid w:val="007609C6"/>
    <w:rsid w:val="0076175D"/>
    <w:rsid w:val="00763B85"/>
    <w:rsid w:val="0076521E"/>
    <w:rsid w:val="007661E9"/>
    <w:rsid w:val="00775F45"/>
    <w:rsid w:val="00776169"/>
    <w:rsid w:val="00776527"/>
    <w:rsid w:val="00780EF1"/>
    <w:rsid w:val="00783C17"/>
    <w:rsid w:val="00785232"/>
    <w:rsid w:val="00790764"/>
    <w:rsid w:val="0079453C"/>
    <w:rsid w:val="00794677"/>
    <w:rsid w:val="007A516D"/>
    <w:rsid w:val="007B6689"/>
    <w:rsid w:val="007C13A4"/>
    <w:rsid w:val="007C6BBD"/>
    <w:rsid w:val="007C7BAE"/>
    <w:rsid w:val="007D0C24"/>
    <w:rsid w:val="007D40DF"/>
    <w:rsid w:val="007E29B4"/>
    <w:rsid w:val="007E435A"/>
    <w:rsid w:val="007E7E61"/>
    <w:rsid w:val="007F0845"/>
    <w:rsid w:val="007F708D"/>
    <w:rsid w:val="00801E13"/>
    <w:rsid w:val="00807C82"/>
    <w:rsid w:val="00816905"/>
    <w:rsid w:val="00821FF6"/>
    <w:rsid w:val="00822574"/>
    <w:rsid w:val="00825C4D"/>
    <w:rsid w:val="0083143E"/>
    <w:rsid w:val="00831CDE"/>
    <w:rsid w:val="00833BF2"/>
    <w:rsid w:val="00834304"/>
    <w:rsid w:val="00834FAA"/>
    <w:rsid w:val="00836086"/>
    <w:rsid w:val="00846121"/>
    <w:rsid w:val="0084708F"/>
    <w:rsid w:val="008477C8"/>
    <w:rsid w:val="00847931"/>
    <w:rsid w:val="0085114D"/>
    <w:rsid w:val="00852217"/>
    <w:rsid w:val="00855408"/>
    <w:rsid w:val="00856D65"/>
    <w:rsid w:val="00861B41"/>
    <w:rsid w:val="00861BE3"/>
    <w:rsid w:val="00863434"/>
    <w:rsid w:val="00865E4C"/>
    <w:rsid w:val="008701E4"/>
    <w:rsid w:val="00875A32"/>
    <w:rsid w:val="00876086"/>
    <w:rsid w:val="008873D4"/>
    <w:rsid w:val="0089296D"/>
    <w:rsid w:val="00893E85"/>
    <w:rsid w:val="00894031"/>
    <w:rsid w:val="00895508"/>
    <w:rsid w:val="008B7C02"/>
    <w:rsid w:val="008B7D2B"/>
    <w:rsid w:val="008C0049"/>
    <w:rsid w:val="008C0E88"/>
    <w:rsid w:val="008D0A60"/>
    <w:rsid w:val="008D0DBD"/>
    <w:rsid w:val="008D1E6A"/>
    <w:rsid w:val="008D2A16"/>
    <w:rsid w:val="008E0DC9"/>
    <w:rsid w:val="008E2C57"/>
    <w:rsid w:val="008E31FF"/>
    <w:rsid w:val="008E6F06"/>
    <w:rsid w:val="008E7FC9"/>
    <w:rsid w:val="008F029B"/>
    <w:rsid w:val="008F3FC9"/>
    <w:rsid w:val="008F585B"/>
    <w:rsid w:val="009003A8"/>
    <w:rsid w:val="00902500"/>
    <w:rsid w:val="00902EFF"/>
    <w:rsid w:val="00906401"/>
    <w:rsid w:val="0091155E"/>
    <w:rsid w:val="00912A92"/>
    <w:rsid w:val="0091728D"/>
    <w:rsid w:val="0092180B"/>
    <w:rsid w:val="00921F14"/>
    <w:rsid w:val="00924AC8"/>
    <w:rsid w:val="0092597A"/>
    <w:rsid w:val="00930FB1"/>
    <w:rsid w:val="0093139F"/>
    <w:rsid w:val="00932443"/>
    <w:rsid w:val="00937AE2"/>
    <w:rsid w:val="00942C19"/>
    <w:rsid w:val="0094427A"/>
    <w:rsid w:val="00945245"/>
    <w:rsid w:val="009540B7"/>
    <w:rsid w:val="0095759C"/>
    <w:rsid w:val="00974923"/>
    <w:rsid w:val="00980D3D"/>
    <w:rsid w:val="00987A30"/>
    <w:rsid w:val="00992CF3"/>
    <w:rsid w:val="009942B6"/>
    <w:rsid w:val="00994868"/>
    <w:rsid w:val="009968D6"/>
    <w:rsid w:val="009A1CAB"/>
    <w:rsid w:val="009A60D1"/>
    <w:rsid w:val="009A7B2E"/>
    <w:rsid w:val="009B6FD3"/>
    <w:rsid w:val="009C03C8"/>
    <w:rsid w:val="009C1750"/>
    <w:rsid w:val="009C2E29"/>
    <w:rsid w:val="009C3ED8"/>
    <w:rsid w:val="009C554B"/>
    <w:rsid w:val="009C719E"/>
    <w:rsid w:val="009D3ACD"/>
    <w:rsid w:val="009E5273"/>
    <w:rsid w:val="009E5DDB"/>
    <w:rsid w:val="009F46EA"/>
    <w:rsid w:val="009F4CA7"/>
    <w:rsid w:val="00A10D66"/>
    <w:rsid w:val="00A14114"/>
    <w:rsid w:val="00A149CA"/>
    <w:rsid w:val="00A16413"/>
    <w:rsid w:val="00A16E1D"/>
    <w:rsid w:val="00A17D5B"/>
    <w:rsid w:val="00A230A8"/>
    <w:rsid w:val="00A23E43"/>
    <w:rsid w:val="00A25216"/>
    <w:rsid w:val="00A27420"/>
    <w:rsid w:val="00A30F65"/>
    <w:rsid w:val="00A329DF"/>
    <w:rsid w:val="00A35142"/>
    <w:rsid w:val="00A35EA6"/>
    <w:rsid w:val="00A40EAC"/>
    <w:rsid w:val="00A418BC"/>
    <w:rsid w:val="00A46DE0"/>
    <w:rsid w:val="00A4750C"/>
    <w:rsid w:val="00A50D73"/>
    <w:rsid w:val="00A51F19"/>
    <w:rsid w:val="00A52CAD"/>
    <w:rsid w:val="00A537F0"/>
    <w:rsid w:val="00A53FC7"/>
    <w:rsid w:val="00A55161"/>
    <w:rsid w:val="00A62CE1"/>
    <w:rsid w:val="00A6741E"/>
    <w:rsid w:val="00A75E40"/>
    <w:rsid w:val="00A77D1D"/>
    <w:rsid w:val="00A84923"/>
    <w:rsid w:val="00A857C0"/>
    <w:rsid w:val="00A90FED"/>
    <w:rsid w:val="00AA2996"/>
    <w:rsid w:val="00AA52BF"/>
    <w:rsid w:val="00AA559A"/>
    <w:rsid w:val="00AB2AF1"/>
    <w:rsid w:val="00AB5421"/>
    <w:rsid w:val="00AC45BD"/>
    <w:rsid w:val="00AD168E"/>
    <w:rsid w:val="00AD306C"/>
    <w:rsid w:val="00AD68C4"/>
    <w:rsid w:val="00AE09B3"/>
    <w:rsid w:val="00AE1A83"/>
    <w:rsid w:val="00AE7FB2"/>
    <w:rsid w:val="00B00913"/>
    <w:rsid w:val="00B01593"/>
    <w:rsid w:val="00B023F2"/>
    <w:rsid w:val="00B10A4D"/>
    <w:rsid w:val="00B120A1"/>
    <w:rsid w:val="00B121D2"/>
    <w:rsid w:val="00B14BC1"/>
    <w:rsid w:val="00B17E71"/>
    <w:rsid w:val="00B17FDE"/>
    <w:rsid w:val="00B20632"/>
    <w:rsid w:val="00B2379C"/>
    <w:rsid w:val="00B2687D"/>
    <w:rsid w:val="00B30358"/>
    <w:rsid w:val="00B32DDB"/>
    <w:rsid w:val="00B34528"/>
    <w:rsid w:val="00B34CC9"/>
    <w:rsid w:val="00B402FC"/>
    <w:rsid w:val="00B40FF9"/>
    <w:rsid w:val="00B42470"/>
    <w:rsid w:val="00B439DA"/>
    <w:rsid w:val="00B46604"/>
    <w:rsid w:val="00B530CD"/>
    <w:rsid w:val="00B55F5E"/>
    <w:rsid w:val="00B57338"/>
    <w:rsid w:val="00B5752E"/>
    <w:rsid w:val="00B63A11"/>
    <w:rsid w:val="00B64C24"/>
    <w:rsid w:val="00B6608F"/>
    <w:rsid w:val="00B679FB"/>
    <w:rsid w:val="00B76D1E"/>
    <w:rsid w:val="00B80EC6"/>
    <w:rsid w:val="00B84CF6"/>
    <w:rsid w:val="00B86F03"/>
    <w:rsid w:val="00B92D1D"/>
    <w:rsid w:val="00B938C5"/>
    <w:rsid w:val="00B95940"/>
    <w:rsid w:val="00BA0DD3"/>
    <w:rsid w:val="00BA6C2B"/>
    <w:rsid w:val="00BB2F03"/>
    <w:rsid w:val="00BB46F3"/>
    <w:rsid w:val="00BB4CB1"/>
    <w:rsid w:val="00BB4F98"/>
    <w:rsid w:val="00BC0E31"/>
    <w:rsid w:val="00BC5C12"/>
    <w:rsid w:val="00BC7154"/>
    <w:rsid w:val="00BC731E"/>
    <w:rsid w:val="00BD163C"/>
    <w:rsid w:val="00BD2211"/>
    <w:rsid w:val="00BD366B"/>
    <w:rsid w:val="00BD6D50"/>
    <w:rsid w:val="00BE18B9"/>
    <w:rsid w:val="00BE2495"/>
    <w:rsid w:val="00BE468E"/>
    <w:rsid w:val="00BE6186"/>
    <w:rsid w:val="00BF1578"/>
    <w:rsid w:val="00C21405"/>
    <w:rsid w:val="00C21F94"/>
    <w:rsid w:val="00C27913"/>
    <w:rsid w:val="00C33B68"/>
    <w:rsid w:val="00C36A79"/>
    <w:rsid w:val="00C401D2"/>
    <w:rsid w:val="00C405D4"/>
    <w:rsid w:val="00C4513B"/>
    <w:rsid w:val="00C466D2"/>
    <w:rsid w:val="00C517C6"/>
    <w:rsid w:val="00C5390B"/>
    <w:rsid w:val="00C54697"/>
    <w:rsid w:val="00C60191"/>
    <w:rsid w:val="00C6152B"/>
    <w:rsid w:val="00C73885"/>
    <w:rsid w:val="00C747B1"/>
    <w:rsid w:val="00C805DC"/>
    <w:rsid w:val="00C82191"/>
    <w:rsid w:val="00C83134"/>
    <w:rsid w:val="00C85545"/>
    <w:rsid w:val="00C90CF4"/>
    <w:rsid w:val="00C92EB6"/>
    <w:rsid w:val="00C93389"/>
    <w:rsid w:val="00C96D08"/>
    <w:rsid w:val="00CA6AB4"/>
    <w:rsid w:val="00CB259D"/>
    <w:rsid w:val="00CB4930"/>
    <w:rsid w:val="00CC2E7D"/>
    <w:rsid w:val="00CC71EC"/>
    <w:rsid w:val="00CD10A5"/>
    <w:rsid w:val="00CD2076"/>
    <w:rsid w:val="00CD29B5"/>
    <w:rsid w:val="00CD6331"/>
    <w:rsid w:val="00CE153B"/>
    <w:rsid w:val="00CE670B"/>
    <w:rsid w:val="00CF1C4C"/>
    <w:rsid w:val="00CF4908"/>
    <w:rsid w:val="00CF51EC"/>
    <w:rsid w:val="00CF73AE"/>
    <w:rsid w:val="00D040DD"/>
    <w:rsid w:val="00D050F8"/>
    <w:rsid w:val="00D075BE"/>
    <w:rsid w:val="00D1005A"/>
    <w:rsid w:val="00D11854"/>
    <w:rsid w:val="00D13986"/>
    <w:rsid w:val="00D21D83"/>
    <w:rsid w:val="00D235B7"/>
    <w:rsid w:val="00D25F28"/>
    <w:rsid w:val="00D26071"/>
    <w:rsid w:val="00D27973"/>
    <w:rsid w:val="00D279B8"/>
    <w:rsid w:val="00D32F90"/>
    <w:rsid w:val="00D35E1A"/>
    <w:rsid w:val="00D50F46"/>
    <w:rsid w:val="00D52BE2"/>
    <w:rsid w:val="00D57677"/>
    <w:rsid w:val="00D66223"/>
    <w:rsid w:val="00D8084C"/>
    <w:rsid w:val="00D915EA"/>
    <w:rsid w:val="00D93CE2"/>
    <w:rsid w:val="00D943C6"/>
    <w:rsid w:val="00D965EC"/>
    <w:rsid w:val="00DA7C0C"/>
    <w:rsid w:val="00DB08A9"/>
    <w:rsid w:val="00DB2EC8"/>
    <w:rsid w:val="00DC37E3"/>
    <w:rsid w:val="00DC5B3B"/>
    <w:rsid w:val="00DD129F"/>
    <w:rsid w:val="00DE4C19"/>
    <w:rsid w:val="00DF42FF"/>
    <w:rsid w:val="00DF7AD4"/>
    <w:rsid w:val="00E01C0E"/>
    <w:rsid w:val="00E03F9A"/>
    <w:rsid w:val="00E04694"/>
    <w:rsid w:val="00E04F27"/>
    <w:rsid w:val="00E102BD"/>
    <w:rsid w:val="00E11DE1"/>
    <w:rsid w:val="00E12B1E"/>
    <w:rsid w:val="00E17262"/>
    <w:rsid w:val="00E212C9"/>
    <w:rsid w:val="00E253A2"/>
    <w:rsid w:val="00E3309D"/>
    <w:rsid w:val="00E453F9"/>
    <w:rsid w:val="00E47EBA"/>
    <w:rsid w:val="00E50156"/>
    <w:rsid w:val="00E53470"/>
    <w:rsid w:val="00E539F6"/>
    <w:rsid w:val="00E6519D"/>
    <w:rsid w:val="00E67696"/>
    <w:rsid w:val="00E711D1"/>
    <w:rsid w:val="00E71A58"/>
    <w:rsid w:val="00E72A7A"/>
    <w:rsid w:val="00E733C7"/>
    <w:rsid w:val="00E75C94"/>
    <w:rsid w:val="00E76E61"/>
    <w:rsid w:val="00E924B2"/>
    <w:rsid w:val="00E93820"/>
    <w:rsid w:val="00E94A86"/>
    <w:rsid w:val="00E96143"/>
    <w:rsid w:val="00E972A9"/>
    <w:rsid w:val="00EA0840"/>
    <w:rsid w:val="00EA0C68"/>
    <w:rsid w:val="00EA17B0"/>
    <w:rsid w:val="00EA32BC"/>
    <w:rsid w:val="00EA405F"/>
    <w:rsid w:val="00EB4511"/>
    <w:rsid w:val="00EC03D7"/>
    <w:rsid w:val="00EC25F0"/>
    <w:rsid w:val="00ED62C6"/>
    <w:rsid w:val="00ED64C1"/>
    <w:rsid w:val="00EE3446"/>
    <w:rsid w:val="00EE3E78"/>
    <w:rsid w:val="00EE4B1B"/>
    <w:rsid w:val="00EF150D"/>
    <w:rsid w:val="00EF1F5A"/>
    <w:rsid w:val="00EF47BF"/>
    <w:rsid w:val="00F04811"/>
    <w:rsid w:val="00F0488C"/>
    <w:rsid w:val="00F10F11"/>
    <w:rsid w:val="00F15AAA"/>
    <w:rsid w:val="00F15BEF"/>
    <w:rsid w:val="00F160CE"/>
    <w:rsid w:val="00F162B3"/>
    <w:rsid w:val="00F24407"/>
    <w:rsid w:val="00F24FAA"/>
    <w:rsid w:val="00F3364D"/>
    <w:rsid w:val="00F33E56"/>
    <w:rsid w:val="00F433FE"/>
    <w:rsid w:val="00F437CC"/>
    <w:rsid w:val="00F44537"/>
    <w:rsid w:val="00F46502"/>
    <w:rsid w:val="00F47067"/>
    <w:rsid w:val="00F525EB"/>
    <w:rsid w:val="00F55E08"/>
    <w:rsid w:val="00F63DDE"/>
    <w:rsid w:val="00F63FB7"/>
    <w:rsid w:val="00F6421B"/>
    <w:rsid w:val="00F649D2"/>
    <w:rsid w:val="00F6602B"/>
    <w:rsid w:val="00F73A0C"/>
    <w:rsid w:val="00F756DB"/>
    <w:rsid w:val="00F84E7D"/>
    <w:rsid w:val="00F85066"/>
    <w:rsid w:val="00F859D0"/>
    <w:rsid w:val="00F87A4D"/>
    <w:rsid w:val="00FA5D4D"/>
    <w:rsid w:val="00FB0EE2"/>
    <w:rsid w:val="00FB542E"/>
    <w:rsid w:val="00FC0359"/>
    <w:rsid w:val="00FC0E5F"/>
    <w:rsid w:val="00FC1A95"/>
    <w:rsid w:val="00FC56DE"/>
    <w:rsid w:val="00FC684B"/>
    <w:rsid w:val="00FD3265"/>
    <w:rsid w:val="00FD4916"/>
    <w:rsid w:val="00FE2F78"/>
    <w:rsid w:val="00FE6609"/>
    <w:rsid w:val="00FF3EEC"/>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qFormat/>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EA0840"/>
    <w:rPr>
      <w:noProof/>
      <w:lang w:eastAsia="en-US"/>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titul">
    <w:name w:val="Subtitle"/>
    <w:link w:val="Podtitul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titulChar">
    <w:name w:val="Podtitul Char"/>
    <w:link w:val="Podtitul"/>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F46502"/>
    <w:pPr>
      <w:keepNext/>
      <w:keepLines/>
      <w:spacing w:after="100"/>
      <w:contextualSpacing/>
      <w:jc w:val="left"/>
      <w:outlineLvl w:val="0"/>
    </w:pPr>
    <w:rPr>
      <w:rFonts w:eastAsia="MS Gothic"/>
      <w:b/>
      <w:bCs/>
      <w:color w:val="71818C"/>
      <w:sz w:val="32"/>
      <w:szCs w:val="28"/>
    </w:rPr>
  </w:style>
  <w:style w:type="paragraph" w:customStyle="1" w:styleId="Nadpis21">
    <w:name w:val="Nadpis 21"/>
    <w:basedOn w:val="Normln"/>
    <w:uiPriority w:val="9"/>
    <w:qFormat/>
    <w:rsid w:val="00F46502"/>
    <w:pPr>
      <w:keepNext/>
      <w:keepLines/>
      <w:spacing w:after="0"/>
      <w:jc w:val="left"/>
      <w:outlineLvl w:val="1"/>
    </w:pPr>
    <w:rPr>
      <w:rFonts w:eastAsia="MS Gothic"/>
      <w:b/>
      <w:bCs/>
      <w:color w:val="71818C"/>
      <w:sz w:val="28"/>
      <w:szCs w:val="26"/>
    </w:rPr>
  </w:style>
  <w:style w:type="paragraph" w:customStyle="1" w:styleId="Textpoznpodarou1">
    <w:name w:val="Text pozn. pod čarou1"/>
    <w:basedOn w:val="Normln"/>
    <w:rsid w:val="00F46502"/>
    <w:pPr>
      <w:spacing w:after="0" w:line="240" w:lineRule="auto"/>
      <w:jc w:val="left"/>
    </w:pPr>
    <w:rPr>
      <w:rFonts w:eastAsia="Calibri"/>
      <w:color w:val="00000A"/>
      <w:szCs w:val="20"/>
    </w:rPr>
  </w:style>
  <w:style w:type="character" w:customStyle="1" w:styleId="TextpoznpodarouChar1">
    <w:name w:val="Text pozn. pod čarou Char1"/>
    <w:aliases w:val="Text pozn. pod čarou_martin_ang Char1"/>
    <w:basedOn w:val="Standardnpsmoodstavce"/>
    <w:semiHidden/>
    <w:rsid w:val="00F46502"/>
    <w:rPr>
      <w:rFonts w:ascii="Arial" w:eastAsia="Times New Roman" w:hAnsi="Arial" w:cs="Times New Roman"/>
      <w:color w:val="00000A"/>
      <w:szCs w:val="20"/>
      <w:lang w:eastAsia="cs-CZ"/>
    </w:rPr>
  </w:style>
  <w:style w:type="character" w:styleId="Znakapoznpodarou">
    <w:name w:val="footnote reference"/>
    <w:basedOn w:val="Standardnpsmoodstavce"/>
    <w:rsid w:val="00F46502"/>
    <w:rPr>
      <w:rFonts w:cs="Times New Roman"/>
      <w:vertAlign w:val="superscript"/>
    </w:rPr>
  </w:style>
  <w:style w:type="character" w:customStyle="1" w:styleId="odkaz-style-wrapper">
    <w:name w:val="odkaz-style-wrapper"/>
    <w:basedOn w:val="Standardnpsmoodstavce"/>
    <w:rsid w:val="00BE6186"/>
  </w:style>
  <w:style w:type="paragraph" w:customStyle="1" w:styleId="Nadpis110">
    <w:name w:val="Nadpis 11"/>
    <w:basedOn w:val="Normln"/>
    <w:uiPriority w:val="9"/>
    <w:qFormat/>
    <w:rsid w:val="00BE6186"/>
    <w:pPr>
      <w:keepNext/>
      <w:keepLines/>
      <w:spacing w:after="100"/>
      <w:contextualSpacing/>
      <w:jc w:val="left"/>
      <w:outlineLvl w:val="0"/>
    </w:pPr>
    <w:rPr>
      <w:rFonts w:eastAsia="MS Gothic"/>
      <w:b/>
      <w:bCs/>
      <w:color w:val="71818C"/>
      <w:sz w:val="32"/>
      <w:szCs w:val="28"/>
    </w:rPr>
  </w:style>
  <w:style w:type="paragraph" w:customStyle="1" w:styleId="Nadpis210">
    <w:name w:val="Nadpis 21"/>
    <w:basedOn w:val="Normln"/>
    <w:uiPriority w:val="9"/>
    <w:qFormat/>
    <w:rsid w:val="00BE6186"/>
    <w:pPr>
      <w:keepNext/>
      <w:keepLines/>
      <w:spacing w:after="0"/>
      <w:jc w:val="left"/>
      <w:outlineLvl w:val="1"/>
    </w:pPr>
    <w:rPr>
      <w:rFonts w:eastAsia="MS Gothic"/>
      <w:b/>
      <w:bCs/>
      <w:color w:val="71818C"/>
      <w:sz w:val="28"/>
      <w:szCs w:val="26"/>
    </w:rPr>
  </w:style>
  <w:style w:type="paragraph" w:customStyle="1" w:styleId="Textpoznpodarou10">
    <w:name w:val="Text pozn. pod čarou1"/>
    <w:basedOn w:val="Normln"/>
    <w:rsid w:val="00BE6186"/>
    <w:pPr>
      <w:spacing w:after="0" w:line="240" w:lineRule="auto"/>
      <w:jc w:val="left"/>
    </w:pPr>
    <w:rPr>
      <w:rFonts w:eastAsia="Calibri"/>
      <w:color w:val="00000A"/>
      <w:szCs w:val="20"/>
    </w:rPr>
  </w:style>
  <w:style w:type="paragraph" w:styleId="Normlnweb">
    <w:name w:val="Normal (Web)"/>
    <w:basedOn w:val="Normln"/>
    <w:uiPriority w:val="99"/>
    <w:unhideWhenUsed/>
    <w:rsid w:val="00C96D08"/>
    <w:pPr>
      <w:spacing w:before="100" w:beforeAutospacing="1" w:after="100" w:afterAutospacing="1" w:line="240" w:lineRule="auto"/>
      <w:jc w:val="left"/>
    </w:pPr>
    <w:rPr>
      <w:rFonts w:ascii="Times New Roman" w:hAnsi="Times New Roman"/>
      <w:sz w:val="24"/>
    </w:rPr>
  </w:style>
  <w:style w:type="paragraph" w:styleId="Zkladntext">
    <w:name w:val="Body Text"/>
    <w:basedOn w:val="Normln"/>
    <w:link w:val="ZkladntextChar"/>
    <w:semiHidden/>
    <w:rsid w:val="004C5FBF"/>
    <w:pPr>
      <w:widowControl w:val="0"/>
      <w:suppressAutoHyphens/>
      <w:autoSpaceDE w:val="0"/>
      <w:autoSpaceDN w:val="0"/>
      <w:adjustRightInd w:val="0"/>
      <w:spacing w:before="120" w:after="0" w:line="215" w:lineRule="exact"/>
    </w:pPr>
    <w:rPr>
      <w:rFonts w:ascii="Times New Roman CE obyèejné" w:hAnsi="Times New Roman CE obyèejné"/>
      <w:szCs w:val="20"/>
    </w:rPr>
  </w:style>
  <w:style w:type="character" w:customStyle="1" w:styleId="ZkladntextChar">
    <w:name w:val="Základní text Char"/>
    <w:basedOn w:val="Standardnpsmoodstavce"/>
    <w:link w:val="Zkladntext"/>
    <w:semiHidden/>
    <w:rsid w:val="004C5FBF"/>
    <w:rPr>
      <w:rFonts w:ascii="Times New Roman CE obyèejné" w:eastAsia="Times New Roman" w:hAnsi="Times New Roman CE obyèejné"/>
      <w:lang w:eastAsia="cs-CZ"/>
    </w:rPr>
  </w:style>
  <w:style w:type="character" w:customStyle="1" w:styleId="content">
    <w:name w:val="content"/>
    <w:basedOn w:val="Standardnpsmoodstavce"/>
    <w:rsid w:val="003C4BE8"/>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615720">
      <w:bodyDiv w:val="1"/>
      <w:marLeft w:val="60"/>
      <w:marRight w:val="60"/>
      <w:marTop w:val="60"/>
      <w:marBottom w:val="15"/>
      <w:divBdr>
        <w:top w:val="none" w:sz="0" w:space="0" w:color="auto"/>
        <w:left w:val="none" w:sz="0" w:space="0" w:color="auto"/>
        <w:bottom w:val="none" w:sz="0" w:space="0" w:color="auto"/>
        <w:right w:val="none" w:sz="0" w:space="0" w:color="auto"/>
      </w:divBdr>
      <w:divsChild>
        <w:div w:id="658968227">
          <w:marLeft w:val="0"/>
          <w:marRight w:val="0"/>
          <w:marTop w:val="0"/>
          <w:marBottom w:val="0"/>
          <w:divBdr>
            <w:top w:val="none" w:sz="0" w:space="0" w:color="auto"/>
            <w:left w:val="none" w:sz="0" w:space="0" w:color="auto"/>
            <w:bottom w:val="none" w:sz="0" w:space="0" w:color="auto"/>
            <w:right w:val="none" w:sz="0" w:space="0" w:color="auto"/>
          </w:divBdr>
        </w:div>
      </w:divsChild>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04515303">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2266825">
      <w:bodyDiv w:val="1"/>
      <w:marLeft w:val="60"/>
      <w:marRight w:val="60"/>
      <w:marTop w:val="60"/>
      <w:marBottom w:val="15"/>
      <w:divBdr>
        <w:top w:val="none" w:sz="0" w:space="0" w:color="auto"/>
        <w:left w:val="none" w:sz="0" w:space="0" w:color="auto"/>
        <w:bottom w:val="none" w:sz="0" w:space="0" w:color="auto"/>
        <w:right w:val="none" w:sz="0" w:space="0" w:color="auto"/>
      </w:divBdr>
      <w:divsChild>
        <w:div w:id="1418138374">
          <w:marLeft w:val="0"/>
          <w:marRight w:val="0"/>
          <w:marTop w:val="0"/>
          <w:marBottom w:val="0"/>
          <w:divBdr>
            <w:top w:val="none" w:sz="0" w:space="0" w:color="auto"/>
            <w:left w:val="none" w:sz="0" w:space="0" w:color="auto"/>
            <w:bottom w:val="none" w:sz="0" w:space="0" w:color="auto"/>
            <w:right w:val="none" w:sz="0" w:space="0" w:color="auto"/>
          </w:divBdr>
        </w:div>
      </w:divsChild>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40479751">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Ro&#269;n&#237;%20anal&#253;za%202018\Ana&#253;za%20ekonomick&#233;ho%20v&#253;voje%20v%20roce%202017.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Anal&#253;za\Ro&#269;n&#237;%20anal&#253;za%202018\Ceny\grafy_cen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Anal&#253;za\Ro&#269;n&#237;%20anal&#253;za%202018\Ceny\grafy_cen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y\Anal&#253;za\Ro&#269;n&#237;%20anal&#253;za%202018\Ceny\grafy_cen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kumenty\Anal&#253;za\Ro&#269;n&#237;%20anal&#253;za%202018\Ceny\pr&#367;mys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4942586963863733E-2"/>
          <c:y val="3.9316672295395698E-2"/>
          <c:w val="0.92160144376900277"/>
          <c:h val="0.75508696386355967"/>
        </c:manualLayout>
      </c:layout>
      <c:barChart>
        <c:barDir val="col"/>
        <c:grouping val="clustered"/>
        <c:ser>
          <c:idx val="1"/>
          <c:order val="1"/>
          <c:tx>
            <c:strRef>
              <c:f>List3!$D$4</c:f>
              <c:strCache>
                <c:ptCount val="1"/>
                <c:pt idx="0">
                  <c:v>Výdaje na konečnou spotř. domácností</c:v>
                </c:pt>
              </c:strCache>
            </c:strRef>
          </c:tx>
          <c:spPr>
            <a:solidFill>
              <a:srgbClr val="0071BC"/>
            </a:solidFill>
          </c:spPr>
          <c:cat>
            <c:strRef>
              <c:f>List3!$A$5:$B$14</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List3!$D$5:$D$14</c:f>
              <c:numCache>
                <c:formatCode>0.0</c:formatCode>
                <c:ptCount val="10"/>
                <c:pt idx="0">
                  <c:v>4.7772296404384074</c:v>
                </c:pt>
                <c:pt idx="1">
                  <c:v>0.85447570400949435</c:v>
                </c:pt>
                <c:pt idx="2">
                  <c:v>0.45749728868125317</c:v>
                </c:pt>
                <c:pt idx="3">
                  <c:v>1.7691059216456801</c:v>
                </c:pt>
                <c:pt idx="4">
                  <c:v>2.2265952501515209</c:v>
                </c:pt>
                <c:pt idx="5">
                  <c:v>0.86327308254011104</c:v>
                </c:pt>
                <c:pt idx="6">
                  <c:v>0.60977620376665698</c:v>
                </c:pt>
                <c:pt idx="7">
                  <c:v>0.15340943635344526</c:v>
                </c:pt>
                <c:pt idx="8">
                  <c:v>0.53416634765631799</c:v>
                </c:pt>
                <c:pt idx="9">
                  <c:v>2.4183115564093489</c:v>
                </c:pt>
              </c:numCache>
            </c:numRef>
          </c:val>
          <c:extLst xmlns:c16r2="http://schemas.microsoft.com/office/drawing/2015/06/chart">
            <c:ext xmlns:c16="http://schemas.microsoft.com/office/drawing/2014/chart" uri="{C3380CC4-5D6E-409C-BE32-E72D297353CC}">
              <c16:uniqueId val="{00000000-009D-4D9C-83C9-70CA1DBBAF13}"/>
            </c:ext>
          </c:extLst>
        </c:ser>
        <c:ser>
          <c:idx val="2"/>
          <c:order val="2"/>
          <c:tx>
            <c:strRef>
              <c:f>List3!$E$4</c:f>
              <c:strCache>
                <c:ptCount val="1"/>
                <c:pt idx="0">
                  <c:v>Výdaje na konečnou spotř. vládních inst.</c:v>
                </c:pt>
              </c:strCache>
            </c:strRef>
          </c:tx>
          <c:spPr>
            <a:solidFill>
              <a:srgbClr val="BD1B21"/>
            </a:solidFill>
          </c:spPr>
          <c:cat>
            <c:strRef>
              <c:f>List3!$A$5:$B$14</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List3!$E$5:$E$14</c:f>
              <c:numCache>
                <c:formatCode>0.0</c:formatCode>
                <c:ptCount val="10"/>
                <c:pt idx="0">
                  <c:v>3.5232619338964071</c:v>
                </c:pt>
                <c:pt idx="1">
                  <c:v>2.8037185269889742</c:v>
                </c:pt>
                <c:pt idx="2">
                  <c:v>-0.44991634933289976</c:v>
                </c:pt>
                <c:pt idx="3">
                  <c:v>1.7695382605235053</c:v>
                </c:pt>
                <c:pt idx="4">
                  <c:v>0.86530018314556401</c:v>
                </c:pt>
                <c:pt idx="5">
                  <c:v>0.18958300230096523</c:v>
                </c:pt>
                <c:pt idx="6">
                  <c:v>1.717745847882485</c:v>
                </c:pt>
                <c:pt idx="7">
                  <c:v>2.0408634875737377</c:v>
                </c:pt>
                <c:pt idx="8">
                  <c:v>1.8182565031700921</c:v>
                </c:pt>
                <c:pt idx="9">
                  <c:v>4.0298209326451664</c:v>
                </c:pt>
              </c:numCache>
            </c:numRef>
          </c:val>
          <c:extLst xmlns:c16r2="http://schemas.microsoft.com/office/drawing/2015/06/chart">
            <c:ext xmlns:c16="http://schemas.microsoft.com/office/drawing/2014/chart" uri="{C3380CC4-5D6E-409C-BE32-E72D297353CC}">
              <c16:uniqueId val="{00000001-009D-4D9C-83C9-70CA1DBBAF13}"/>
            </c:ext>
          </c:extLst>
        </c:ser>
        <c:ser>
          <c:idx val="3"/>
          <c:order val="3"/>
          <c:tx>
            <c:strRef>
              <c:f>List3!$F$4</c:f>
              <c:strCache>
                <c:ptCount val="1"/>
                <c:pt idx="0">
                  <c:v>Tvorba hrubého kapitálu</c:v>
                </c:pt>
              </c:strCache>
            </c:strRef>
          </c:tx>
          <c:spPr>
            <a:solidFill>
              <a:srgbClr val="7DBB2D"/>
            </a:solidFill>
          </c:spPr>
          <c:cat>
            <c:strRef>
              <c:f>List3!$A$5:$B$14</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List3!$F$5:$F$14</c:f>
              <c:numCache>
                <c:formatCode>0.0</c:formatCode>
                <c:ptCount val="10"/>
                <c:pt idx="0">
                  <c:v>0.29205888677421887</c:v>
                </c:pt>
                <c:pt idx="1">
                  <c:v>1.577256931752272</c:v>
                </c:pt>
                <c:pt idx="2">
                  <c:v>-1.0563422423658011</c:v>
                </c:pt>
                <c:pt idx="3">
                  <c:v>-0.59165917798500878</c:v>
                </c:pt>
                <c:pt idx="4">
                  <c:v>1.7850201537622039</c:v>
                </c:pt>
                <c:pt idx="5">
                  <c:v>0.19237897766579687</c:v>
                </c:pt>
                <c:pt idx="6">
                  <c:v>1.7311402034030439</c:v>
                </c:pt>
                <c:pt idx="7">
                  <c:v>1.8731916492951532</c:v>
                </c:pt>
                <c:pt idx="8">
                  <c:v>0.13308495056902844</c:v>
                </c:pt>
                <c:pt idx="9">
                  <c:v>1.3227035121237101</c:v>
                </c:pt>
              </c:numCache>
            </c:numRef>
          </c:val>
          <c:extLst xmlns:c16r2="http://schemas.microsoft.com/office/drawing/2015/06/chart">
            <c:ext xmlns:c16="http://schemas.microsoft.com/office/drawing/2014/chart" uri="{C3380CC4-5D6E-409C-BE32-E72D297353CC}">
              <c16:uniqueId val="{00000002-009D-4D9C-83C9-70CA1DBBAF13}"/>
            </c:ext>
          </c:extLst>
        </c:ser>
        <c:ser>
          <c:idx val="4"/>
          <c:order val="4"/>
          <c:tx>
            <c:strRef>
              <c:f>List3!$G$4</c:f>
              <c:strCache>
                <c:ptCount val="1"/>
                <c:pt idx="0">
                  <c:v>Směnné relace</c:v>
                </c:pt>
              </c:strCache>
            </c:strRef>
          </c:tx>
          <c:spPr>
            <a:solidFill>
              <a:srgbClr val="F8A124"/>
            </a:solidFill>
          </c:spPr>
          <c:cat>
            <c:strRef>
              <c:f>List3!$A$5:$B$14</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List3!$G$5:$G$14</c:f>
              <c:numCache>
                <c:formatCode>0.0</c:formatCode>
                <c:ptCount val="10"/>
                <c:pt idx="0">
                  <c:v>-1.2335958432668264</c:v>
                </c:pt>
                <c:pt idx="1">
                  <c:v>2.0369199416225152</c:v>
                </c:pt>
                <c:pt idx="2">
                  <c:v>-1.9789679497150154</c:v>
                </c:pt>
                <c:pt idx="3">
                  <c:v>-1.5472331014206304</c:v>
                </c:pt>
                <c:pt idx="4">
                  <c:v>-0.56885817816633732</c:v>
                </c:pt>
                <c:pt idx="5">
                  <c:v>1.1660929489003815</c:v>
                </c:pt>
                <c:pt idx="6">
                  <c:v>1.52524999305372</c:v>
                </c:pt>
                <c:pt idx="7">
                  <c:v>0.38584697502423027</c:v>
                </c:pt>
                <c:pt idx="8">
                  <c:v>1.0605672680557063</c:v>
                </c:pt>
                <c:pt idx="9">
                  <c:v>-1.004648488800612</c:v>
                </c:pt>
              </c:numCache>
            </c:numRef>
          </c:val>
          <c:extLst xmlns:c16r2="http://schemas.microsoft.com/office/drawing/2015/06/chart">
            <c:ext xmlns:c16="http://schemas.microsoft.com/office/drawing/2014/chart" uri="{C3380CC4-5D6E-409C-BE32-E72D297353CC}">
              <c16:uniqueId val="{00000003-009D-4D9C-83C9-70CA1DBBAF13}"/>
            </c:ext>
          </c:extLst>
        </c:ser>
        <c:gapWidth val="99"/>
        <c:axId val="150293888"/>
        <c:axId val="164113792"/>
      </c:barChart>
      <c:lineChart>
        <c:grouping val="standard"/>
        <c:ser>
          <c:idx val="0"/>
          <c:order val="0"/>
          <c:tx>
            <c:strRef>
              <c:f>List3!$C$4</c:f>
              <c:strCache>
                <c:ptCount val="1"/>
                <c:pt idx="0">
                  <c:v>Hrubý domácí produkt</c:v>
                </c:pt>
              </c:strCache>
            </c:strRef>
          </c:tx>
          <c:spPr>
            <a:ln>
              <a:solidFill>
                <a:schemeClr val="tx1"/>
              </a:solidFill>
            </a:ln>
          </c:spPr>
          <c:marker>
            <c:symbol val="none"/>
          </c:marker>
          <c:cat>
            <c:strRef>
              <c:f>List3!$A$5:$B$14</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List3!$C$5:$C$14</c:f>
              <c:numCache>
                <c:formatCode>0.0</c:formatCode>
                <c:ptCount val="10"/>
                <c:pt idx="0">
                  <c:v>2.0541606783868382</c:v>
                </c:pt>
                <c:pt idx="1">
                  <c:v>2.598714229926685</c:v>
                </c:pt>
                <c:pt idx="2">
                  <c:v>-1.4254568178629372</c:v>
                </c:pt>
                <c:pt idx="3">
                  <c:v>2.0952612381620456E-2</c:v>
                </c:pt>
                <c:pt idx="4">
                  <c:v>1.4599807921596735</c:v>
                </c:pt>
                <c:pt idx="5">
                  <c:v>1.4318823763525046</c:v>
                </c:pt>
                <c:pt idx="6">
                  <c:v>2.479975160337716</c:v>
                </c:pt>
                <c:pt idx="7">
                  <c:v>1.1659062722741373</c:v>
                </c:pt>
                <c:pt idx="8">
                  <c:v>1.2359153309026418</c:v>
                </c:pt>
                <c:pt idx="9">
                  <c:v>1.442746383551736</c:v>
                </c:pt>
              </c:numCache>
            </c:numRef>
          </c:val>
          <c:extLst xmlns:c16r2="http://schemas.microsoft.com/office/drawing/2015/06/chart">
            <c:ext xmlns:c16="http://schemas.microsoft.com/office/drawing/2014/chart" uri="{C3380CC4-5D6E-409C-BE32-E72D297353CC}">
              <c16:uniqueId val="{00000004-009D-4D9C-83C9-70CA1DBBAF13}"/>
            </c:ext>
          </c:extLst>
        </c:ser>
        <c:marker val="1"/>
        <c:axId val="150293888"/>
        <c:axId val="164113792"/>
      </c:lineChart>
      <c:catAx>
        <c:axId val="150293888"/>
        <c:scaling>
          <c:orientation val="minMax"/>
        </c:scaling>
        <c:axPos val="b"/>
        <c:numFmt formatCode="General" sourceLinked="0"/>
        <c:tickLblPos val="low"/>
        <c:crossAx val="164113792"/>
        <c:crosses val="autoZero"/>
        <c:auto val="1"/>
        <c:lblAlgn val="ctr"/>
        <c:lblOffset val="100"/>
      </c:catAx>
      <c:valAx>
        <c:axId val="164113792"/>
        <c:scaling>
          <c:orientation val="minMax"/>
          <c:max val="5"/>
        </c:scaling>
        <c:axPos val="l"/>
        <c:majorGridlines/>
        <c:numFmt formatCode="0" sourceLinked="0"/>
        <c:tickLblPos val="nextTo"/>
        <c:crossAx val="150293888"/>
        <c:crosses val="autoZero"/>
        <c:crossBetween val="between"/>
      </c:valAx>
      <c:spPr>
        <a:ln>
          <a:solidFill>
            <a:schemeClr val="tx1"/>
          </a:solidFill>
        </a:ln>
      </c:spPr>
    </c:plotArea>
    <c:legend>
      <c:legendPos val="r"/>
      <c:layout>
        <c:manualLayout>
          <c:xMode val="edge"/>
          <c:yMode val="edge"/>
          <c:x val="5.1708671057076099E-2"/>
          <c:y val="0.8673322638748171"/>
          <c:w val="0.9214845069233365"/>
          <c:h val="0.11957953394123717"/>
        </c:manualLayout>
      </c:layout>
      <c:spPr>
        <a:ln>
          <a:solidFill>
            <a:sysClr val="windowText" lastClr="000000"/>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4942586963863733E-2"/>
          <c:y val="3.9316672295395698E-2"/>
          <c:w val="0.93343042890915229"/>
          <c:h val="0.73367015416571024"/>
        </c:manualLayout>
      </c:layout>
      <c:barChart>
        <c:barDir val="col"/>
        <c:grouping val="stacked"/>
        <c:ser>
          <c:idx val="13"/>
          <c:order val="0"/>
          <c:tx>
            <c:strRef>
              <c:f>List2!$O$4</c:f>
              <c:strCache>
                <c:ptCount val="1"/>
                <c:pt idx="0">
                  <c:v>Ostatní</c:v>
                </c:pt>
              </c:strCache>
            </c:strRef>
          </c:tx>
          <c:spPr>
            <a:solidFill>
              <a:srgbClr val="7030A0"/>
            </a:solidFill>
          </c:spPr>
          <c:cat>
            <c:strRef>
              <c:f>List2!$A$5:$A$19</c:f>
              <c:strCache>
                <c:ptCount val="15"/>
                <c:pt idx="0">
                  <c:v>2008</c:v>
                </c:pt>
                <c:pt idx="1">
                  <c:v>2009</c:v>
                </c:pt>
                <c:pt idx="2">
                  <c:v>2010</c:v>
                </c:pt>
                <c:pt idx="3">
                  <c:v>2011</c:v>
                </c:pt>
                <c:pt idx="4">
                  <c:v>2012</c:v>
                </c:pt>
                <c:pt idx="5">
                  <c:v>2013</c:v>
                </c:pt>
                <c:pt idx="6">
                  <c:v>2014</c:v>
                </c:pt>
                <c:pt idx="7">
                  <c:v>2015</c:v>
                </c:pt>
                <c:pt idx="8">
                  <c:v>2016</c:v>
                </c:pt>
                <c:pt idx="9">
                  <c:v>2017</c:v>
                </c:pt>
                <c:pt idx="11">
                  <c:v>1Q 2017</c:v>
                </c:pt>
                <c:pt idx="12">
                  <c:v>2Q 2017</c:v>
                </c:pt>
                <c:pt idx="13">
                  <c:v>3Q 2017</c:v>
                </c:pt>
                <c:pt idx="14">
                  <c:v>4Q 2017</c:v>
                </c:pt>
              </c:strCache>
            </c:strRef>
          </c:cat>
          <c:val>
            <c:numRef>
              <c:f>List2!$O$5:$O$19</c:f>
              <c:numCache>
                <c:formatCode>General</c:formatCode>
                <c:ptCount val="15"/>
                <c:pt idx="0">
                  <c:v>1.0343480973999857</c:v>
                </c:pt>
                <c:pt idx="1">
                  <c:v>-0.2935791963000034</c:v>
                </c:pt>
                <c:pt idx="2">
                  <c:v>-8.7078242600000022E-2</c:v>
                </c:pt>
                <c:pt idx="3">
                  <c:v>-0.22402802630000027</c:v>
                </c:pt>
                <c:pt idx="4">
                  <c:v>8.1498359800000392E-2</c:v>
                </c:pt>
                <c:pt idx="5">
                  <c:v>-0.20757454410000095</c:v>
                </c:pt>
                <c:pt idx="6">
                  <c:v>-1.555517899999974E-2</c:v>
                </c:pt>
                <c:pt idx="7">
                  <c:v>0.15402221130000054</c:v>
                </c:pt>
                <c:pt idx="8">
                  <c:v>0.30618782800000038</c:v>
                </c:pt>
                <c:pt idx="9">
                  <c:v>0.24521601400000212</c:v>
                </c:pt>
                <c:pt idx="10">
                  <c:v>0</c:v>
                </c:pt>
                <c:pt idx="11">
                  <c:v>0.24325648720000198</c:v>
                </c:pt>
                <c:pt idx="12">
                  <c:v>0.29117217449999938</c:v>
                </c:pt>
                <c:pt idx="13">
                  <c:v>0.22914268719999994</c:v>
                </c:pt>
                <c:pt idx="14">
                  <c:v>0.21210461820000037</c:v>
                </c:pt>
              </c:numCache>
            </c:numRef>
          </c:val>
          <c:extLst xmlns:c16r2="http://schemas.microsoft.com/office/drawing/2015/06/chart">
            <c:ext xmlns:c16="http://schemas.microsoft.com/office/drawing/2014/chart" uri="{C3380CC4-5D6E-409C-BE32-E72D297353CC}">
              <c16:uniqueId val="{00000000-1FC8-42FF-BC74-EB6E1316A63A}"/>
            </c:ext>
          </c:extLst>
        </c:ser>
        <c:ser>
          <c:idx val="2"/>
          <c:order val="1"/>
          <c:tx>
            <c:strRef>
              <c:f>List2!$L$4</c:f>
              <c:strCache>
                <c:ptCount val="1"/>
                <c:pt idx="0">
                  <c:v>Stravování a ubytování</c:v>
                </c:pt>
              </c:strCache>
            </c:strRef>
          </c:tx>
          <c:spPr>
            <a:solidFill>
              <a:srgbClr val="A6CDE8"/>
            </a:solidFill>
          </c:spPr>
          <c:val>
            <c:numRef>
              <c:f>List2!$L$5:$L$19</c:f>
              <c:numCache>
                <c:formatCode>General</c:formatCode>
                <c:ptCount val="15"/>
                <c:pt idx="0">
                  <c:v>0.33992882700000976</c:v>
                </c:pt>
                <c:pt idx="1">
                  <c:v>0.11169090030000002</c:v>
                </c:pt>
                <c:pt idx="2">
                  <c:v>0.12140315250000012</c:v>
                </c:pt>
                <c:pt idx="3">
                  <c:v>7.2841891500000033E-2</c:v>
                </c:pt>
                <c:pt idx="4">
                  <c:v>0.18453279180000212</c:v>
                </c:pt>
                <c:pt idx="5">
                  <c:v>9.7122522000000225E-2</c:v>
                </c:pt>
                <c:pt idx="6">
                  <c:v>9.4474249600000212E-2</c:v>
                </c:pt>
                <c:pt idx="7">
                  <c:v>8.3359632000000225E-2</c:v>
                </c:pt>
                <c:pt idx="8">
                  <c:v>8.7167136000000006E-2</c:v>
                </c:pt>
                <c:pt idx="9">
                  <c:v>0.33123511680000017</c:v>
                </c:pt>
                <c:pt idx="11">
                  <c:v>0.30217940480000038</c:v>
                </c:pt>
                <c:pt idx="12">
                  <c:v>0.33704625920000475</c:v>
                </c:pt>
                <c:pt idx="13">
                  <c:v>0.36610197120000565</c:v>
                </c:pt>
                <c:pt idx="14">
                  <c:v>0.32542397440000503</c:v>
                </c:pt>
              </c:numCache>
            </c:numRef>
          </c:val>
          <c:extLst xmlns:c16r2="http://schemas.microsoft.com/office/drawing/2015/06/chart">
            <c:ext xmlns:c16="http://schemas.microsoft.com/office/drawing/2014/chart" uri="{C3380CC4-5D6E-409C-BE32-E72D297353CC}">
              <c16:uniqueId val="{00000001-1FC8-42FF-BC74-EB6E1316A63A}"/>
            </c:ext>
          </c:extLst>
        </c:ser>
        <c:ser>
          <c:idx val="6"/>
          <c:order val="2"/>
          <c:tx>
            <c:strRef>
              <c:f>List2!$H$4</c:f>
              <c:strCache>
                <c:ptCount val="1"/>
                <c:pt idx="0">
                  <c:v>Doprava</c:v>
                </c:pt>
              </c:strCache>
            </c:strRef>
          </c:tx>
          <c:spPr>
            <a:solidFill>
              <a:srgbClr val="F8A124"/>
            </a:solidFill>
          </c:spPr>
          <c:cat>
            <c:strRef>
              <c:f>List2!$A$5:$A$19</c:f>
              <c:strCache>
                <c:ptCount val="15"/>
                <c:pt idx="0">
                  <c:v>2008</c:v>
                </c:pt>
                <c:pt idx="1">
                  <c:v>2009</c:v>
                </c:pt>
                <c:pt idx="2">
                  <c:v>2010</c:v>
                </c:pt>
                <c:pt idx="3">
                  <c:v>2011</c:v>
                </c:pt>
                <c:pt idx="4">
                  <c:v>2012</c:v>
                </c:pt>
                <c:pt idx="5">
                  <c:v>2013</c:v>
                </c:pt>
                <c:pt idx="6">
                  <c:v>2014</c:v>
                </c:pt>
                <c:pt idx="7">
                  <c:v>2015</c:v>
                </c:pt>
                <c:pt idx="8">
                  <c:v>2016</c:v>
                </c:pt>
                <c:pt idx="9">
                  <c:v>2017</c:v>
                </c:pt>
                <c:pt idx="11">
                  <c:v>1Q 2017</c:v>
                </c:pt>
                <c:pt idx="12">
                  <c:v>2Q 2017</c:v>
                </c:pt>
                <c:pt idx="13">
                  <c:v>3Q 2017</c:v>
                </c:pt>
                <c:pt idx="14">
                  <c:v>4Q 2017</c:v>
                </c:pt>
              </c:strCache>
            </c:strRef>
          </c:cat>
          <c:val>
            <c:numRef>
              <c:f>List2!$H$5:$H$19</c:f>
              <c:numCache>
                <c:formatCode>General</c:formatCode>
                <c:ptCount val="15"/>
                <c:pt idx="0">
                  <c:v>0.24151518230000238</c:v>
                </c:pt>
                <c:pt idx="1">
                  <c:v>-0.60903828579999952</c:v>
                </c:pt>
                <c:pt idx="2">
                  <c:v>0.27301716259999942</c:v>
                </c:pt>
                <c:pt idx="3">
                  <c:v>0.29401848280000475</c:v>
                </c:pt>
                <c:pt idx="4">
                  <c:v>0.29401848280000475</c:v>
                </c:pt>
                <c:pt idx="5">
                  <c:v>-7.3504620700000411E-2</c:v>
                </c:pt>
                <c:pt idx="6">
                  <c:v>2.0265798800000286E-2</c:v>
                </c:pt>
                <c:pt idx="7">
                  <c:v>-0.42558177480000514</c:v>
                </c:pt>
                <c:pt idx="8">
                  <c:v>-0.17143030350000296</c:v>
                </c:pt>
                <c:pt idx="9">
                  <c:v>0.37311301350000031</c:v>
                </c:pt>
                <c:pt idx="11">
                  <c:v>0.60504812999999991</c:v>
                </c:pt>
                <c:pt idx="12">
                  <c:v>0.39328128450000088</c:v>
                </c:pt>
                <c:pt idx="13">
                  <c:v>0.2521033875</c:v>
                </c:pt>
                <c:pt idx="14">
                  <c:v>0.2521033875</c:v>
                </c:pt>
              </c:numCache>
            </c:numRef>
          </c:val>
          <c:extLst xmlns:c16r2="http://schemas.microsoft.com/office/drawing/2015/06/chart">
            <c:ext xmlns:c16="http://schemas.microsoft.com/office/drawing/2014/chart" uri="{C3380CC4-5D6E-409C-BE32-E72D297353CC}">
              <c16:uniqueId val="{00000002-1FC8-42FF-BC74-EB6E1316A63A}"/>
            </c:ext>
          </c:extLst>
        </c:ser>
        <c:ser>
          <c:idx val="3"/>
          <c:order val="4"/>
          <c:tx>
            <c:strRef>
              <c:f>List2!$E$4</c:f>
              <c:strCache>
                <c:ptCount val="1"/>
                <c:pt idx="0">
                  <c:v>Bydlení, voda, energie, paliva</c:v>
                </c:pt>
              </c:strCache>
            </c:strRef>
          </c:tx>
          <c:spPr>
            <a:solidFill>
              <a:srgbClr val="7DBB2D"/>
            </a:solidFill>
          </c:spPr>
          <c:cat>
            <c:strRef>
              <c:f>List2!$A$5:$A$19</c:f>
              <c:strCache>
                <c:ptCount val="15"/>
                <c:pt idx="0">
                  <c:v>2008</c:v>
                </c:pt>
                <c:pt idx="1">
                  <c:v>2009</c:v>
                </c:pt>
                <c:pt idx="2">
                  <c:v>2010</c:v>
                </c:pt>
                <c:pt idx="3">
                  <c:v>2011</c:v>
                </c:pt>
                <c:pt idx="4">
                  <c:v>2012</c:v>
                </c:pt>
                <c:pt idx="5">
                  <c:v>2013</c:v>
                </c:pt>
                <c:pt idx="6">
                  <c:v>2014</c:v>
                </c:pt>
                <c:pt idx="7">
                  <c:v>2015</c:v>
                </c:pt>
                <c:pt idx="8">
                  <c:v>2016</c:v>
                </c:pt>
                <c:pt idx="9">
                  <c:v>2017</c:v>
                </c:pt>
                <c:pt idx="11">
                  <c:v>1Q 2017</c:v>
                </c:pt>
                <c:pt idx="12">
                  <c:v>2Q 2017</c:v>
                </c:pt>
                <c:pt idx="13">
                  <c:v>3Q 2017</c:v>
                </c:pt>
                <c:pt idx="14">
                  <c:v>4Q 2017</c:v>
                </c:pt>
              </c:strCache>
            </c:strRef>
          </c:cat>
          <c:val>
            <c:numRef>
              <c:f>List2!$E$5:$E$19</c:f>
              <c:numCache>
                <c:formatCode>General</c:formatCode>
                <c:ptCount val="15"/>
                <c:pt idx="0">
                  <c:v>2.8876560055999994</c:v>
                </c:pt>
                <c:pt idx="1">
                  <c:v>2.0185556543999987</c:v>
                </c:pt>
                <c:pt idx="2">
                  <c:v>0.47660341840000076</c:v>
                </c:pt>
                <c:pt idx="3">
                  <c:v>0.78499386559999962</c:v>
                </c:pt>
                <c:pt idx="4">
                  <c:v>1.401774759999971</c:v>
                </c:pt>
                <c:pt idx="5">
                  <c:v>0.50463891360000668</c:v>
                </c:pt>
                <c:pt idx="6">
                  <c:v>-0.37187623480000653</c:v>
                </c:pt>
                <c:pt idx="7">
                  <c:v>0.26562588200000031</c:v>
                </c:pt>
                <c:pt idx="8">
                  <c:v>0.15074644260000236</c:v>
                </c:pt>
                <c:pt idx="9">
                  <c:v>0.42711492070000445</c:v>
                </c:pt>
                <c:pt idx="11">
                  <c:v>0.20099525680000213</c:v>
                </c:pt>
                <c:pt idx="12">
                  <c:v>0.37686610650000424</c:v>
                </c:pt>
                <c:pt idx="13">
                  <c:v>0.52761254909999356</c:v>
                </c:pt>
                <c:pt idx="14">
                  <c:v>0.55273695620000074</c:v>
                </c:pt>
              </c:numCache>
            </c:numRef>
          </c:val>
          <c:extLst xmlns:c16r2="http://schemas.microsoft.com/office/drawing/2015/06/chart">
            <c:ext xmlns:c16="http://schemas.microsoft.com/office/drawing/2014/chart" uri="{C3380CC4-5D6E-409C-BE32-E72D297353CC}">
              <c16:uniqueId val="{00000003-1FC8-42FF-BC74-EB6E1316A63A}"/>
            </c:ext>
          </c:extLst>
        </c:ser>
        <c:ser>
          <c:idx val="1"/>
          <c:order val="5"/>
          <c:tx>
            <c:strRef>
              <c:f>List2!$C$4</c:f>
              <c:strCache>
                <c:ptCount val="1"/>
                <c:pt idx="0">
                  <c:v>Alkoholické nápoje, tabák</c:v>
                </c:pt>
              </c:strCache>
            </c:strRef>
          </c:tx>
          <c:spPr>
            <a:solidFill>
              <a:srgbClr val="BD1B21"/>
            </a:solidFill>
          </c:spPr>
          <c:cat>
            <c:strRef>
              <c:f>List2!$A$5:$A$19</c:f>
              <c:strCache>
                <c:ptCount val="15"/>
                <c:pt idx="0">
                  <c:v>2008</c:v>
                </c:pt>
                <c:pt idx="1">
                  <c:v>2009</c:v>
                </c:pt>
                <c:pt idx="2">
                  <c:v>2010</c:v>
                </c:pt>
                <c:pt idx="3">
                  <c:v>2011</c:v>
                </c:pt>
                <c:pt idx="4">
                  <c:v>2012</c:v>
                </c:pt>
                <c:pt idx="5">
                  <c:v>2013</c:v>
                </c:pt>
                <c:pt idx="6">
                  <c:v>2014</c:v>
                </c:pt>
                <c:pt idx="7">
                  <c:v>2015</c:v>
                </c:pt>
                <c:pt idx="8">
                  <c:v>2016</c:v>
                </c:pt>
                <c:pt idx="9">
                  <c:v>2017</c:v>
                </c:pt>
                <c:pt idx="11">
                  <c:v>1Q 2017</c:v>
                </c:pt>
                <c:pt idx="12">
                  <c:v>2Q 2017</c:v>
                </c:pt>
                <c:pt idx="13">
                  <c:v>3Q 2017</c:v>
                </c:pt>
                <c:pt idx="14">
                  <c:v>4Q 2017</c:v>
                </c:pt>
              </c:strCache>
            </c:strRef>
          </c:cat>
          <c:val>
            <c:numRef>
              <c:f>List2!$C$5:$C$19</c:f>
              <c:numCache>
                <c:formatCode>General</c:formatCode>
                <c:ptCount val="15"/>
                <c:pt idx="0">
                  <c:v>0.95047600230000062</c:v>
                </c:pt>
                <c:pt idx="1">
                  <c:v>0.62404990050001186</c:v>
                </c:pt>
                <c:pt idx="2">
                  <c:v>0.44163531419999924</c:v>
                </c:pt>
                <c:pt idx="3">
                  <c:v>0.29762379870000188</c:v>
                </c:pt>
                <c:pt idx="4">
                  <c:v>0.24961996020000021</c:v>
                </c:pt>
                <c:pt idx="5">
                  <c:v>0.34562763720000306</c:v>
                </c:pt>
                <c:pt idx="6">
                  <c:v>0.26594328319999982</c:v>
                </c:pt>
                <c:pt idx="7">
                  <c:v>0.44640479680000372</c:v>
                </c:pt>
                <c:pt idx="8">
                  <c:v>0.41090227200000423</c:v>
                </c:pt>
                <c:pt idx="9">
                  <c:v>0.16809638400000218</c:v>
                </c:pt>
                <c:pt idx="11">
                  <c:v>0.31751539200000417</c:v>
                </c:pt>
                <c:pt idx="12">
                  <c:v>7.4709503999999829E-2</c:v>
                </c:pt>
                <c:pt idx="13">
                  <c:v>0.12140294399999976</c:v>
                </c:pt>
                <c:pt idx="14">
                  <c:v>0.14008032000000001</c:v>
                </c:pt>
              </c:numCache>
            </c:numRef>
          </c:val>
          <c:extLst xmlns:c16r2="http://schemas.microsoft.com/office/drawing/2015/06/chart">
            <c:ext xmlns:c16="http://schemas.microsoft.com/office/drawing/2014/chart" uri="{C3380CC4-5D6E-409C-BE32-E72D297353CC}">
              <c16:uniqueId val="{00000004-1FC8-42FF-BC74-EB6E1316A63A}"/>
            </c:ext>
          </c:extLst>
        </c:ser>
        <c:ser>
          <c:idx val="0"/>
          <c:order val="6"/>
          <c:tx>
            <c:strRef>
              <c:f>List2!$B$4</c:f>
              <c:strCache>
                <c:ptCount val="1"/>
                <c:pt idx="0">
                  <c:v>Potraviny a nealkoholické nápoje</c:v>
                </c:pt>
              </c:strCache>
            </c:strRef>
          </c:tx>
          <c:spPr>
            <a:solidFill>
              <a:srgbClr val="0071BC"/>
            </a:solidFill>
          </c:spPr>
          <c:cat>
            <c:strRef>
              <c:f>List2!$A$5:$A$19</c:f>
              <c:strCache>
                <c:ptCount val="15"/>
                <c:pt idx="0">
                  <c:v>2008</c:v>
                </c:pt>
                <c:pt idx="1">
                  <c:v>2009</c:v>
                </c:pt>
                <c:pt idx="2">
                  <c:v>2010</c:v>
                </c:pt>
                <c:pt idx="3">
                  <c:v>2011</c:v>
                </c:pt>
                <c:pt idx="4">
                  <c:v>2012</c:v>
                </c:pt>
                <c:pt idx="5">
                  <c:v>2013</c:v>
                </c:pt>
                <c:pt idx="6">
                  <c:v>2014</c:v>
                </c:pt>
                <c:pt idx="7">
                  <c:v>2015</c:v>
                </c:pt>
                <c:pt idx="8">
                  <c:v>2016</c:v>
                </c:pt>
                <c:pt idx="9">
                  <c:v>2017</c:v>
                </c:pt>
                <c:pt idx="11">
                  <c:v>1Q 2017</c:v>
                </c:pt>
                <c:pt idx="12">
                  <c:v>2Q 2017</c:v>
                </c:pt>
                <c:pt idx="13">
                  <c:v>3Q 2017</c:v>
                </c:pt>
                <c:pt idx="14">
                  <c:v>4Q 2017</c:v>
                </c:pt>
              </c:strCache>
            </c:strRef>
          </c:cat>
          <c:val>
            <c:numRef>
              <c:f>List2!$B$5:$B$19</c:f>
              <c:numCache>
                <c:formatCode>General</c:formatCode>
                <c:ptCount val="15"/>
                <c:pt idx="0">
                  <c:v>1.2135643721999656</c:v>
                </c:pt>
                <c:pt idx="1">
                  <c:v>-0.58430877179999285</c:v>
                </c:pt>
                <c:pt idx="2">
                  <c:v>0.22473414300000041</c:v>
                </c:pt>
                <c:pt idx="3">
                  <c:v>0.68918470519999953</c:v>
                </c:pt>
                <c:pt idx="4">
                  <c:v>1.033777057800001</c:v>
                </c:pt>
                <c:pt idx="5">
                  <c:v>0.73413153380000085</c:v>
                </c:pt>
                <c:pt idx="6">
                  <c:v>0.34164883400000018</c:v>
                </c:pt>
                <c:pt idx="7">
                  <c:v>-0.18790685870000132</c:v>
                </c:pt>
                <c:pt idx="8">
                  <c:v>-0.16254718020000244</c:v>
                </c:pt>
                <c:pt idx="9">
                  <c:v>0.93916148560000068</c:v>
                </c:pt>
                <c:pt idx="11">
                  <c:v>0.75855350760000062</c:v>
                </c:pt>
                <c:pt idx="12">
                  <c:v>0.81273590100000004</c:v>
                </c:pt>
                <c:pt idx="13">
                  <c:v>1.0294654746000005</c:v>
                </c:pt>
                <c:pt idx="14">
                  <c:v>1.1378302613999978</c:v>
                </c:pt>
              </c:numCache>
            </c:numRef>
          </c:val>
          <c:extLst xmlns:c16r2="http://schemas.microsoft.com/office/drawing/2015/06/chart">
            <c:ext xmlns:c16="http://schemas.microsoft.com/office/drawing/2014/chart" uri="{C3380CC4-5D6E-409C-BE32-E72D297353CC}">
              <c16:uniqueId val="{00000005-1FC8-42FF-BC74-EB6E1316A63A}"/>
            </c:ext>
          </c:extLst>
        </c:ser>
        <c:gapWidth val="96"/>
        <c:overlap val="100"/>
        <c:axId val="185140736"/>
        <c:axId val="185142272"/>
      </c:barChart>
      <c:lineChart>
        <c:grouping val="standard"/>
        <c:ser>
          <c:idx val="12"/>
          <c:order val="3"/>
          <c:tx>
            <c:strRef>
              <c:f>List2!$N$4</c:f>
              <c:strCache>
                <c:ptCount val="1"/>
                <c:pt idx="0">
                  <c:v>Index spotřebitelských cen</c:v>
                </c:pt>
              </c:strCache>
            </c:strRef>
          </c:tx>
          <c:spPr>
            <a:ln>
              <a:solidFill>
                <a:schemeClr val="tx1"/>
              </a:solidFill>
            </a:ln>
          </c:spPr>
          <c:marker>
            <c:symbol val="none"/>
          </c:marker>
          <c:cat>
            <c:strRef>
              <c:f>List2!$A$5:$A$19</c:f>
              <c:strCache>
                <c:ptCount val="15"/>
                <c:pt idx="0">
                  <c:v>2008</c:v>
                </c:pt>
                <c:pt idx="1">
                  <c:v>2009</c:v>
                </c:pt>
                <c:pt idx="2">
                  <c:v>2010</c:v>
                </c:pt>
                <c:pt idx="3">
                  <c:v>2011</c:v>
                </c:pt>
                <c:pt idx="4">
                  <c:v>2012</c:v>
                </c:pt>
                <c:pt idx="5">
                  <c:v>2013</c:v>
                </c:pt>
                <c:pt idx="6">
                  <c:v>2014</c:v>
                </c:pt>
                <c:pt idx="7">
                  <c:v>2015</c:v>
                </c:pt>
                <c:pt idx="8">
                  <c:v>2016</c:v>
                </c:pt>
                <c:pt idx="9">
                  <c:v>2017</c:v>
                </c:pt>
                <c:pt idx="11">
                  <c:v>1Q 2017</c:v>
                </c:pt>
                <c:pt idx="12">
                  <c:v>2Q 2017</c:v>
                </c:pt>
                <c:pt idx="13">
                  <c:v>3Q 2017</c:v>
                </c:pt>
                <c:pt idx="14">
                  <c:v>4Q 2017</c:v>
                </c:pt>
              </c:strCache>
            </c:strRef>
          </c:cat>
          <c:val>
            <c:numRef>
              <c:f>List2!$N$5:$N$19</c:f>
              <c:numCache>
                <c:formatCode>General</c:formatCode>
                <c:ptCount val="15"/>
                <c:pt idx="0">
                  <c:v>6.2999999999999972</c:v>
                </c:pt>
                <c:pt idx="1">
                  <c:v>1</c:v>
                </c:pt>
                <c:pt idx="2">
                  <c:v>1.5</c:v>
                </c:pt>
                <c:pt idx="3">
                  <c:v>1.9000000000000061</c:v>
                </c:pt>
                <c:pt idx="4">
                  <c:v>3.2999999999999972</c:v>
                </c:pt>
                <c:pt idx="5">
                  <c:v>1.4000000000000057</c:v>
                </c:pt>
                <c:pt idx="6">
                  <c:v>0.40000000000000568</c:v>
                </c:pt>
                <c:pt idx="7">
                  <c:v>0.30000000000000032</c:v>
                </c:pt>
                <c:pt idx="8">
                  <c:v>0.70000000000000284</c:v>
                </c:pt>
                <c:pt idx="9">
                  <c:v>2.5</c:v>
                </c:pt>
                <c:pt idx="11" formatCode="###,###,##0.0">
                  <c:v>2.4</c:v>
                </c:pt>
                <c:pt idx="12" formatCode="###,###,##0.0">
                  <c:v>2.2000000000000002</c:v>
                </c:pt>
                <c:pt idx="13" formatCode="###,###,##0.0">
                  <c:v>2.5</c:v>
                </c:pt>
                <c:pt idx="14" formatCode="###,###,##0.0">
                  <c:v>2.6</c:v>
                </c:pt>
              </c:numCache>
            </c:numRef>
          </c:val>
          <c:extLst xmlns:c16r2="http://schemas.microsoft.com/office/drawing/2015/06/chart">
            <c:ext xmlns:c16="http://schemas.microsoft.com/office/drawing/2014/chart" uri="{C3380CC4-5D6E-409C-BE32-E72D297353CC}">
              <c16:uniqueId val="{00000006-1FC8-42FF-BC74-EB6E1316A63A}"/>
            </c:ext>
          </c:extLst>
        </c:ser>
        <c:marker val="1"/>
        <c:axId val="185140736"/>
        <c:axId val="185142272"/>
      </c:lineChart>
      <c:catAx>
        <c:axId val="185140736"/>
        <c:scaling>
          <c:orientation val="minMax"/>
        </c:scaling>
        <c:axPos val="b"/>
        <c:numFmt formatCode="General" sourceLinked="0"/>
        <c:tickLblPos val="low"/>
        <c:crossAx val="185142272"/>
        <c:crosses val="autoZero"/>
        <c:auto val="1"/>
        <c:lblAlgn val="ctr"/>
        <c:lblOffset val="100"/>
      </c:catAx>
      <c:valAx>
        <c:axId val="185142272"/>
        <c:scaling>
          <c:orientation val="minMax"/>
          <c:max val="7"/>
        </c:scaling>
        <c:axPos val="l"/>
        <c:majorGridlines/>
        <c:numFmt formatCode="General" sourceLinked="1"/>
        <c:tickLblPos val="nextTo"/>
        <c:crossAx val="185140736"/>
        <c:crosses val="autoZero"/>
        <c:crossBetween val="between"/>
      </c:valAx>
      <c:spPr>
        <a:ln>
          <a:solidFill>
            <a:prstClr val="black"/>
          </a:solidFill>
        </a:ln>
      </c:spPr>
    </c:plotArea>
    <c:legend>
      <c:legendPos val="r"/>
      <c:layout>
        <c:manualLayout>
          <c:xMode val="edge"/>
          <c:yMode val="edge"/>
          <c:x val="5.5622467071935432E-2"/>
          <c:y val="0.86783627700706623"/>
          <c:w val="0.93097412191827089"/>
          <c:h val="0.12924629321656891"/>
        </c:manualLayout>
      </c:layout>
      <c:spPr>
        <a:ln>
          <a:solidFill>
            <a:prstClr val="black"/>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4219858156028392E-2"/>
          <c:y val="2.1445457615670811E-2"/>
          <c:w val="0.94012094731509765"/>
          <c:h val="0.69016098165034256"/>
        </c:manualLayout>
      </c:layout>
      <c:barChart>
        <c:barDir val="col"/>
        <c:grouping val="clustered"/>
        <c:ser>
          <c:idx val="0"/>
          <c:order val="0"/>
          <c:tx>
            <c:strRef>
              <c:f>List4!$B$3</c:f>
              <c:strCache>
                <c:ptCount val="1"/>
                <c:pt idx="0">
                  <c:v>2016</c:v>
                </c:pt>
              </c:strCache>
            </c:strRef>
          </c:tx>
          <c:spPr>
            <a:solidFill>
              <a:srgbClr val="BFE3F7"/>
            </a:solidFill>
          </c:spPr>
          <c:dPt>
            <c:idx val="4"/>
            <c:spPr>
              <a:solidFill>
                <a:srgbClr val="0071BC"/>
              </a:solidFill>
            </c:spPr>
            <c:extLst xmlns:c16r2="http://schemas.microsoft.com/office/drawing/2015/06/chart">
              <c:ext xmlns:c16="http://schemas.microsoft.com/office/drawing/2014/chart" uri="{C3380CC4-5D6E-409C-BE32-E72D297353CC}">
                <c16:uniqueId val="{00000000-A851-49D6-8BF3-57D64CCCF603}"/>
              </c:ext>
            </c:extLst>
          </c:dPt>
          <c:dPt>
            <c:idx val="11"/>
            <c:spPr>
              <a:solidFill>
                <a:srgbClr val="0071BC"/>
              </a:solidFill>
            </c:spPr>
            <c:extLst xmlns:c16r2="http://schemas.microsoft.com/office/drawing/2015/06/chart">
              <c:ext xmlns:c16="http://schemas.microsoft.com/office/drawing/2014/chart" uri="{C3380CC4-5D6E-409C-BE32-E72D297353CC}">
                <c16:uniqueId val="{00000001-A851-49D6-8BF3-57D64CCCF603}"/>
              </c:ext>
            </c:extLst>
          </c:dPt>
          <c:cat>
            <c:strRef>
              <c:f>List4!$A$4:$A$33</c:f>
              <c:strCache>
                <c:ptCount val="30"/>
                <c:pt idx="0">
                  <c:v>Estonsko</c:v>
                </c:pt>
                <c:pt idx="1">
                  <c:v>Litva</c:v>
                </c:pt>
                <c:pt idx="2">
                  <c:v>Lotyšsko</c:v>
                </c:pt>
                <c:pt idx="3">
                  <c:v>Velká Británie</c:v>
                </c:pt>
                <c:pt idx="4">
                  <c:v>ČR</c:v>
                </c:pt>
                <c:pt idx="5">
                  <c:v>Maďarsko</c:v>
                </c:pt>
                <c:pt idx="6">
                  <c:v>Belgie</c:v>
                </c:pt>
                <c:pt idx="7">
                  <c:v>Rakousko</c:v>
                </c:pt>
                <c:pt idx="8">
                  <c:v>Lucembursko</c:v>
                </c:pt>
                <c:pt idx="9">
                  <c:v>Španělsko</c:v>
                </c:pt>
                <c:pt idx="10">
                  <c:v>Švédsko</c:v>
                </c:pt>
                <c:pt idx="11">
                  <c:v>EU 28</c:v>
                </c:pt>
                <c:pt idx="12">
                  <c:v>Německo</c:v>
                </c:pt>
                <c:pt idx="13">
                  <c:v>Polsko</c:v>
                </c:pt>
                <c:pt idx="14">
                  <c:v>Portugalsko</c:v>
                </c:pt>
                <c:pt idx="15">
                  <c:v>Slovinsko</c:v>
                </c:pt>
                <c:pt idx="16">
                  <c:v>Eurozóna</c:v>
                </c:pt>
                <c:pt idx="17">
                  <c:v>Slovensko</c:v>
                </c:pt>
                <c:pt idx="18">
                  <c:v>Chorvatsko</c:v>
                </c:pt>
                <c:pt idx="19">
                  <c:v>Itálie</c:v>
                </c:pt>
                <c:pt idx="20">
                  <c:v>Malta</c:v>
                </c:pt>
                <c:pt idx="21">
                  <c:v>Nizozemí</c:v>
                </c:pt>
                <c:pt idx="22">
                  <c:v>Bulharsko</c:v>
                </c:pt>
                <c:pt idx="23">
                  <c:v>Francie</c:v>
                </c:pt>
                <c:pt idx="24">
                  <c:v>Dánsko</c:v>
                </c:pt>
                <c:pt idx="25">
                  <c:v>Řecko</c:v>
                </c:pt>
                <c:pt idx="26">
                  <c:v>Rumunsko</c:v>
                </c:pt>
                <c:pt idx="27">
                  <c:v>Finsko</c:v>
                </c:pt>
                <c:pt idx="28">
                  <c:v>Kypr</c:v>
                </c:pt>
                <c:pt idx="29">
                  <c:v>Irsko</c:v>
                </c:pt>
              </c:strCache>
            </c:strRef>
          </c:cat>
          <c:val>
            <c:numRef>
              <c:f>List4!$B$4:$B$33</c:f>
              <c:numCache>
                <c:formatCode>#,##0.0</c:formatCode>
                <c:ptCount val="30"/>
                <c:pt idx="0">
                  <c:v>0.8</c:v>
                </c:pt>
                <c:pt idx="1">
                  <c:v>0.70000000000000062</c:v>
                </c:pt>
                <c:pt idx="2">
                  <c:v>0.1</c:v>
                </c:pt>
                <c:pt idx="3">
                  <c:v>0.70000000000000062</c:v>
                </c:pt>
                <c:pt idx="4">
                  <c:v>0.60000000000000064</c:v>
                </c:pt>
                <c:pt idx="5">
                  <c:v>0.4</c:v>
                </c:pt>
                <c:pt idx="6">
                  <c:v>1.8</c:v>
                </c:pt>
                <c:pt idx="7">
                  <c:v>1</c:v>
                </c:pt>
                <c:pt idx="8">
                  <c:v>0</c:v>
                </c:pt>
                <c:pt idx="9">
                  <c:v>-0.30000000000000032</c:v>
                </c:pt>
                <c:pt idx="10">
                  <c:v>1.1000000000000001</c:v>
                </c:pt>
                <c:pt idx="11">
                  <c:v>0.30000000000000032</c:v>
                </c:pt>
                <c:pt idx="12">
                  <c:v>0.4</c:v>
                </c:pt>
                <c:pt idx="13">
                  <c:v>-0.2</c:v>
                </c:pt>
                <c:pt idx="14">
                  <c:v>0.60000000000000064</c:v>
                </c:pt>
                <c:pt idx="15">
                  <c:v>-0.2</c:v>
                </c:pt>
                <c:pt idx="16">
                  <c:v>0.2</c:v>
                </c:pt>
                <c:pt idx="17">
                  <c:v>-0.5</c:v>
                </c:pt>
                <c:pt idx="18">
                  <c:v>-0.60000000000000064</c:v>
                </c:pt>
                <c:pt idx="19">
                  <c:v>-0.1</c:v>
                </c:pt>
                <c:pt idx="20">
                  <c:v>0.9</c:v>
                </c:pt>
                <c:pt idx="21">
                  <c:v>0.1</c:v>
                </c:pt>
                <c:pt idx="22">
                  <c:v>-1.3</c:v>
                </c:pt>
                <c:pt idx="23">
                  <c:v>0.30000000000000032</c:v>
                </c:pt>
                <c:pt idx="24">
                  <c:v>0</c:v>
                </c:pt>
                <c:pt idx="25">
                  <c:v>0</c:v>
                </c:pt>
                <c:pt idx="26">
                  <c:v>-1.1000000000000001</c:v>
                </c:pt>
                <c:pt idx="27">
                  <c:v>0.4</c:v>
                </c:pt>
                <c:pt idx="28">
                  <c:v>-1.2</c:v>
                </c:pt>
                <c:pt idx="29">
                  <c:v>-0.2</c:v>
                </c:pt>
              </c:numCache>
            </c:numRef>
          </c:val>
          <c:extLst xmlns:c16r2="http://schemas.microsoft.com/office/drawing/2015/06/chart">
            <c:ext xmlns:c16="http://schemas.microsoft.com/office/drawing/2014/chart" uri="{C3380CC4-5D6E-409C-BE32-E72D297353CC}">
              <c16:uniqueId val="{00000002-A851-49D6-8BF3-57D64CCCF603}"/>
            </c:ext>
          </c:extLst>
        </c:ser>
        <c:ser>
          <c:idx val="1"/>
          <c:order val="1"/>
          <c:tx>
            <c:strRef>
              <c:f>List4!$C$3</c:f>
              <c:strCache>
                <c:ptCount val="1"/>
                <c:pt idx="0">
                  <c:v>2017</c:v>
                </c:pt>
              </c:strCache>
            </c:strRef>
          </c:tx>
          <c:spPr>
            <a:solidFill>
              <a:srgbClr val="E8AFB2"/>
            </a:solidFill>
          </c:spPr>
          <c:dPt>
            <c:idx val="4"/>
            <c:spPr>
              <a:solidFill>
                <a:srgbClr val="BD1B21"/>
              </a:solidFill>
            </c:spPr>
            <c:extLst xmlns:c16r2="http://schemas.microsoft.com/office/drawing/2015/06/chart">
              <c:ext xmlns:c16="http://schemas.microsoft.com/office/drawing/2014/chart" uri="{C3380CC4-5D6E-409C-BE32-E72D297353CC}">
                <c16:uniqueId val="{00000003-A851-49D6-8BF3-57D64CCCF603}"/>
              </c:ext>
            </c:extLst>
          </c:dPt>
          <c:dPt>
            <c:idx val="11"/>
            <c:spPr>
              <a:solidFill>
                <a:srgbClr val="BD1B21"/>
              </a:solidFill>
            </c:spPr>
            <c:extLst xmlns:c16r2="http://schemas.microsoft.com/office/drawing/2015/06/chart">
              <c:ext xmlns:c16="http://schemas.microsoft.com/office/drawing/2014/chart" uri="{C3380CC4-5D6E-409C-BE32-E72D297353CC}">
                <c16:uniqueId val="{00000004-A851-49D6-8BF3-57D64CCCF603}"/>
              </c:ext>
            </c:extLst>
          </c:dPt>
          <c:cat>
            <c:strRef>
              <c:f>List4!$A$4:$A$33</c:f>
              <c:strCache>
                <c:ptCount val="30"/>
                <c:pt idx="0">
                  <c:v>Estonsko</c:v>
                </c:pt>
                <c:pt idx="1">
                  <c:v>Litva</c:v>
                </c:pt>
                <c:pt idx="2">
                  <c:v>Lotyšsko</c:v>
                </c:pt>
                <c:pt idx="3">
                  <c:v>Velká Británie</c:v>
                </c:pt>
                <c:pt idx="4">
                  <c:v>ČR</c:v>
                </c:pt>
                <c:pt idx="5">
                  <c:v>Maďarsko</c:v>
                </c:pt>
                <c:pt idx="6">
                  <c:v>Belgie</c:v>
                </c:pt>
                <c:pt idx="7">
                  <c:v>Rakousko</c:v>
                </c:pt>
                <c:pt idx="8">
                  <c:v>Lucembursko</c:v>
                </c:pt>
                <c:pt idx="9">
                  <c:v>Španělsko</c:v>
                </c:pt>
                <c:pt idx="10">
                  <c:v>Švédsko</c:v>
                </c:pt>
                <c:pt idx="11">
                  <c:v>EU 28</c:v>
                </c:pt>
                <c:pt idx="12">
                  <c:v>Německo</c:v>
                </c:pt>
                <c:pt idx="13">
                  <c:v>Polsko</c:v>
                </c:pt>
                <c:pt idx="14">
                  <c:v>Portugalsko</c:v>
                </c:pt>
                <c:pt idx="15">
                  <c:v>Slovinsko</c:v>
                </c:pt>
                <c:pt idx="16">
                  <c:v>Eurozóna</c:v>
                </c:pt>
                <c:pt idx="17">
                  <c:v>Slovensko</c:v>
                </c:pt>
                <c:pt idx="18">
                  <c:v>Chorvatsko</c:v>
                </c:pt>
                <c:pt idx="19">
                  <c:v>Itálie</c:v>
                </c:pt>
                <c:pt idx="20">
                  <c:v>Malta</c:v>
                </c:pt>
                <c:pt idx="21">
                  <c:v>Nizozemí</c:v>
                </c:pt>
                <c:pt idx="22">
                  <c:v>Bulharsko</c:v>
                </c:pt>
                <c:pt idx="23">
                  <c:v>Francie</c:v>
                </c:pt>
                <c:pt idx="24">
                  <c:v>Dánsko</c:v>
                </c:pt>
                <c:pt idx="25">
                  <c:v>Řecko</c:v>
                </c:pt>
                <c:pt idx="26">
                  <c:v>Rumunsko</c:v>
                </c:pt>
                <c:pt idx="27">
                  <c:v>Finsko</c:v>
                </c:pt>
                <c:pt idx="28">
                  <c:v>Kypr</c:v>
                </c:pt>
                <c:pt idx="29">
                  <c:v>Irsko</c:v>
                </c:pt>
              </c:strCache>
            </c:strRef>
          </c:cat>
          <c:val>
            <c:numRef>
              <c:f>List4!$C$4:$C$33</c:f>
              <c:numCache>
                <c:formatCode>#,##0.0</c:formatCode>
                <c:ptCount val="30"/>
                <c:pt idx="0">
                  <c:v>3.7</c:v>
                </c:pt>
                <c:pt idx="1">
                  <c:v>3.7</c:v>
                </c:pt>
                <c:pt idx="2">
                  <c:v>2.9</c:v>
                </c:pt>
                <c:pt idx="3">
                  <c:v>2.7</c:v>
                </c:pt>
                <c:pt idx="4">
                  <c:v>2.4</c:v>
                </c:pt>
                <c:pt idx="5">
                  <c:v>2.4</c:v>
                </c:pt>
                <c:pt idx="6">
                  <c:v>2.2000000000000002</c:v>
                </c:pt>
                <c:pt idx="7">
                  <c:v>2.2000000000000002</c:v>
                </c:pt>
                <c:pt idx="8">
                  <c:v>2.1</c:v>
                </c:pt>
                <c:pt idx="9">
                  <c:v>2</c:v>
                </c:pt>
                <c:pt idx="10">
                  <c:v>1.9000000000000001</c:v>
                </c:pt>
                <c:pt idx="11">
                  <c:v>1.7</c:v>
                </c:pt>
                <c:pt idx="12">
                  <c:v>1.7</c:v>
                </c:pt>
                <c:pt idx="13">
                  <c:v>1.6</c:v>
                </c:pt>
                <c:pt idx="14">
                  <c:v>1.6</c:v>
                </c:pt>
                <c:pt idx="15">
                  <c:v>1.6</c:v>
                </c:pt>
                <c:pt idx="16">
                  <c:v>1.5</c:v>
                </c:pt>
                <c:pt idx="17">
                  <c:v>1.4</c:v>
                </c:pt>
                <c:pt idx="18">
                  <c:v>1.3</c:v>
                </c:pt>
                <c:pt idx="19">
                  <c:v>1.3</c:v>
                </c:pt>
                <c:pt idx="20">
                  <c:v>1.3</c:v>
                </c:pt>
                <c:pt idx="21">
                  <c:v>1.3</c:v>
                </c:pt>
                <c:pt idx="22">
                  <c:v>1.2</c:v>
                </c:pt>
                <c:pt idx="23">
                  <c:v>1.2</c:v>
                </c:pt>
                <c:pt idx="24">
                  <c:v>1.1000000000000001</c:v>
                </c:pt>
                <c:pt idx="25">
                  <c:v>1.1000000000000001</c:v>
                </c:pt>
                <c:pt idx="26">
                  <c:v>1.1000000000000001</c:v>
                </c:pt>
                <c:pt idx="27">
                  <c:v>0.8</c:v>
                </c:pt>
                <c:pt idx="28">
                  <c:v>0.70000000000000062</c:v>
                </c:pt>
                <c:pt idx="29">
                  <c:v>0.30000000000000032</c:v>
                </c:pt>
              </c:numCache>
            </c:numRef>
          </c:val>
          <c:extLst xmlns:c16r2="http://schemas.microsoft.com/office/drawing/2015/06/chart">
            <c:ext xmlns:c16="http://schemas.microsoft.com/office/drawing/2014/chart" uri="{C3380CC4-5D6E-409C-BE32-E72D297353CC}">
              <c16:uniqueId val="{00000005-A851-49D6-8BF3-57D64CCCF603}"/>
            </c:ext>
          </c:extLst>
        </c:ser>
        <c:gapWidth val="95"/>
        <c:axId val="192527744"/>
        <c:axId val="108897408"/>
      </c:barChart>
      <c:catAx>
        <c:axId val="192527744"/>
        <c:scaling>
          <c:orientation val="minMax"/>
        </c:scaling>
        <c:axPos val="b"/>
        <c:numFmt formatCode="General" sourceLinked="0"/>
        <c:tickLblPos val="low"/>
        <c:txPr>
          <a:bodyPr rot="-5400000" vert="horz"/>
          <a:lstStyle/>
          <a:p>
            <a:pPr>
              <a:defRPr/>
            </a:pPr>
            <a:endParaRPr lang="cs-CZ"/>
          </a:p>
        </c:txPr>
        <c:crossAx val="108897408"/>
        <c:crosses val="autoZero"/>
        <c:auto val="1"/>
        <c:lblAlgn val="ctr"/>
        <c:lblOffset val="100"/>
      </c:catAx>
      <c:valAx>
        <c:axId val="108897408"/>
        <c:scaling>
          <c:orientation val="minMax"/>
        </c:scaling>
        <c:axPos val="l"/>
        <c:majorGridlines/>
        <c:numFmt formatCode="#,##0" sourceLinked="0"/>
        <c:tickLblPos val="nextTo"/>
        <c:crossAx val="192527744"/>
        <c:crosses val="autoZero"/>
        <c:crossBetween val="between"/>
      </c:valAx>
      <c:spPr>
        <a:ln>
          <a:solidFill>
            <a:sysClr val="windowText" lastClr="000000"/>
          </a:solidFill>
        </a:ln>
      </c:spPr>
    </c:plotArea>
    <c:legend>
      <c:legendPos val="r"/>
      <c:layout>
        <c:manualLayout>
          <c:xMode val="edge"/>
          <c:yMode val="edge"/>
          <c:x val="4.0740670381627833E-2"/>
          <c:y val="0.92588680625914765"/>
          <c:w val="0.94049455420466055"/>
          <c:h val="5.2509850275807686E-2"/>
        </c:manualLayout>
      </c:layout>
      <c:spPr>
        <a:ln>
          <a:solidFill>
            <a:sysClr val="windowText" lastClr="000000"/>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6871833839918973E-2"/>
          <c:y val="3.9316672295395698E-2"/>
          <c:w val="0.92227984633570392"/>
          <c:h val="0.73006726331194416"/>
        </c:manualLayout>
      </c:layout>
      <c:barChart>
        <c:barDir val="col"/>
        <c:grouping val="clustered"/>
        <c:ser>
          <c:idx val="0"/>
          <c:order val="0"/>
          <c:tx>
            <c:strRef>
              <c:f>Grafy!$A$11</c:f>
              <c:strCache>
                <c:ptCount val="1"/>
                <c:pt idx="0">
                  <c:v>Celkem</c:v>
                </c:pt>
              </c:strCache>
            </c:strRef>
          </c:tx>
          <c:spPr>
            <a:solidFill>
              <a:srgbClr val="808080"/>
            </a:solidFill>
          </c:spPr>
          <c:cat>
            <c:strRef>
              <c:f>Grafy!$B$10:$K$10</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Grafy!$B$11:$K$11</c:f>
              <c:numCache>
                <c:formatCode>0.0</c:formatCode>
                <c:ptCount val="10"/>
                <c:pt idx="0">
                  <c:v>4.5</c:v>
                </c:pt>
                <c:pt idx="1">
                  <c:v>-3.0999999999999943</c:v>
                </c:pt>
                <c:pt idx="2">
                  <c:v>1.2000000000000028</c:v>
                </c:pt>
                <c:pt idx="3">
                  <c:v>5.5999999999999943</c:v>
                </c:pt>
                <c:pt idx="4">
                  <c:v>2.0999999999999943</c:v>
                </c:pt>
                <c:pt idx="5">
                  <c:v>0.7999999999999976</c:v>
                </c:pt>
                <c:pt idx="6">
                  <c:v>-0.7999999999999976</c:v>
                </c:pt>
                <c:pt idx="7">
                  <c:v>-3.2000000000000042</c:v>
                </c:pt>
                <c:pt idx="8">
                  <c:v>-3.2999999999999972</c:v>
                </c:pt>
                <c:pt idx="9">
                  <c:v>1.7999999999999829</c:v>
                </c:pt>
              </c:numCache>
            </c:numRef>
          </c:val>
          <c:extLst xmlns:c16r2="http://schemas.microsoft.com/office/drawing/2015/06/chart">
            <c:ext xmlns:c16="http://schemas.microsoft.com/office/drawing/2014/chart" uri="{C3380CC4-5D6E-409C-BE32-E72D297353CC}">
              <c16:uniqueId val="{00000000-28CE-4608-9290-217EE756ECA2}"/>
            </c:ext>
          </c:extLst>
        </c:ser>
        <c:gapWidth val="99"/>
        <c:axId val="134521984"/>
        <c:axId val="134523520"/>
      </c:barChart>
      <c:lineChart>
        <c:grouping val="standard"/>
        <c:ser>
          <c:idx val="1"/>
          <c:order val="1"/>
          <c:tx>
            <c:strRef>
              <c:f>Grafy!$A$12</c:f>
              <c:strCache>
                <c:ptCount val="1"/>
                <c:pt idx="0">
                  <c:v>Těžba a dobývání</c:v>
                </c:pt>
              </c:strCache>
            </c:strRef>
          </c:tx>
          <c:spPr>
            <a:ln>
              <a:solidFill>
                <a:srgbClr val="BD1B21"/>
              </a:solidFill>
            </a:ln>
          </c:spPr>
          <c:marker>
            <c:symbol val="none"/>
          </c:marker>
          <c:cat>
            <c:strRef>
              <c:f>Grafy!$B$10:$K$10</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Grafy!$B$12:$K$12</c:f>
              <c:numCache>
                <c:formatCode>0.0</c:formatCode>
                <c:ptCount val="10"/>
                <c:pt idx="0">
                  <c:v>14.5</c:v>
                </c:pt>
                <c:pt idx="1">
                  <c:v>-3.9000000000000057</c:v>
                </c:pt>
                <c:pt idx="2">
                  <c:v>5.7000000000000028</c:v>
                </c:pt>
                <c:pt idx="3">
                  <c:v>6.9000000000000083</c:v>
                </c:pt>
                <c:pt idx="4">
                  <c:v>-1.9000000000000061</c:v>
                </c:pt>
                <c:pt idx="5">
                  <c:v>-1.2999999999999829</c:v>
                </c:pt>
                <c:pt idx="6">
                  <c:v>-3.2999999999999972</c:v>
                </c:pt>
                <c:pt idx="7">
                  <c:v>-0.59999999999999432</c:v>
                </c:pt>
                <c:pt idx="8">
                  <c:v>-6.0999999999999943</c:v>
                </c:pt>
                <c:pt idx="9">
                  <c:v>3.7999999999999972</c:v>
                </c:pt>
              </c:numCache>
            </c:numRef>
          </c:val>
          <c:extLst xmlns:c16r2="http://schemas.microsoft.com/office/drawing/2015/06/chart">
            <c:ext xmlns:c16="http://schemas.microsoft.com/office/drawing/2014/chart" uri="{C3380CC4-5D6E-409C-BE32-E72D297353CC}">
              <c16:uniqueId val="{00000001-28CE-4608-9290-217EE756ECA2}"/>
            </c:ext>
          </c:extLst>
        </c:ser>
        <c:ser>
          <c:idx val="2"/>
          <c:order val="2"/>
          <c:tx>
            <c:strRef>
              <c:f>Grafy!$A$13</c:f>
              <c:strCache>
                <c:ptCount val="1"/>
                <c:pt idx="0">
                  <c:v>Zpracovatelský průmysl</c:v>
                </c:pt>
              </c:strCache>
            </c:strRef>
          </c:tx>
          <c:spPr>
            <a:ln>
              <a:solidFill>
                <a:srgbClr val="7DBB2D"/>
              </a:solidFill>
            </a:ln>
          </c:spPr>
          <c:marker>
            <c:symbol val="none"/>
          </c:marker>
          <c:cat>
            <c:strRef>
              <c:f>Grafy!$B$10:$K$10</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Grafy!$B$13:$K$13</c:f>
              <c:numCache>
                <c:formatCode>0.0</c:formatCode>
                <c:ptCount val="10"/>
                <c:pt idx="0">
                  <c:v>3.2000000000000042</c:v>
                </c:pt>
                <c:pt idx="1">
                  <c:v>-5.5999999999999943</c:v>
                </c:pt>
                <c:pt idx="2">
                  <c:v>1.5</c:v>
                </c:pt>
                <c:pt idx="3">
                  <c:v>5.7999999999999972</c:v>
                </c:pt>
                <c:pt idx="4">
                  <c:v>2.2999999999999972</c:v>
                </c:pt>
                <c:pt idx="5">
                  <c:v>0.20000000000000284</c:v>
                </c:pt>
                <c:pt idx="6">
                  <c:v>1</c:v>
                </c:pt>
                <c:pt idx="7">
                  <c:v>-3.9000000000000057</c:v>
                </c:pt>
                <c:pt idx="8">
                  <c:v>-3.0999999999999943</c:v>
                </c:pt>
                <c:pt idx="9">
                  <c:v>2.2999999999999972</c:v>
                </c:pt>
              </c:numCache>
            </c:numRef>
          </c:val>
          <c:extLst xmlns:c16r2="http://schemas.microsoft.com/office/drawing/2015/06/chart">
            <c:ext xmlns:c16="http://schemas.microsoft.com/office/drawing/2014/chart" uri="{C3380CC4-5D6E-409C-BE32-E72D297353CC}">
              <c16:uniqueId val="{00000002-28CE-4608-9290-217EE756ECA2}"/>
            </c:ext>
          </c:extLst>
        </c:ser>
        <c:ser>
          <c:idx val="3"/>
          <c:order val="3"/>
          <c:tx>
            <c:strRef>
              <c:f>Grafy!$A$14</c:f>
              <c:strCache>
                <c:ptCount val="1"/>
                <c:pt idx="0">
                  <c:v>Elektřina, plyn, pára a klimatizovaný vzduch</c:v>
                </c:pt>
              </c:strCache>
            </c:strRef>
          </c:tx>
          <c:spPr>
            <a:ln>
              <a:solidFill>
                <a:srgbClr val="F8A124"/>
              </a:solidFill>
            </a:ln>
          </c:spPr>
          <c:marker>
            <c:symbol val="none"/>
          </c:marker>
          <c:cat>
            <c:strRef>
              <c:f>Grafy!$B$10:$K$10</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Grafy!$B$14:$K$14</c:f>
              <c:numCache>
                <c:formatCode>0.0</c:formatCode>
                <c:ptCount val="10"/>
                <c:pt idx="0">
                  <c:v>9.9000000000000057</c:v>
                </c:pt>
                <c:pt idx="1">
                  <c:v>10.900000000000006</c:v>
                </c:pt>
                <c:pt idx="2">
                  <c:v>-1.2999999999999829</c:v>
                </c:pt>
                <c:pt idx="3">
                  <c:v>4</c:v>
                </c:pt>
                <c:pt idx="4">
                  <c:v>1.7000000000000028</c:v>
                </c:pt>
                <c:pt idx="5">
                  <c:v>3.5999999999999943</c:v>
                </c:pt>
                <c:pt idx="6">
                  <c:v>-8.7000000000000011</c:v>
                </c:pt>
                <c:pt idx="7">
                  <c:v>-0.7999999999999976</c:v>
                </c:pt>
                <c:pt idx="8">
                  <c:v>-4.0999999999999943</c:v>
                </c:pt>
                <c:pt idx="9">
                  <c:v>-1.2000000000000028</c:v>
                </c:pt>
              </c:numCache>
            </c:numRef>
          </c:val>
          <c:extLst xmlns:c16r2="http://schemas.microsoft.com/office/drawing/2015/06/chart">
            <c:ext xmlns:c16="http://schemas.microsoft.com/office/drawing/2014/chart" uri="{C3380CC4-5D6E-409C-BE32-E72D297353CC}">
              <c16:uniqueId val="{00000003-28CE-4608-9290-217EE756ECA2}"/>
            </c:ext>
          </c:extLst>
        </c:ser>
        <c:ser>
          <c:idx val="4"/>
          <c:order val="4"/>
          <c:tx>
            <c:strRef>
              <c:f>Grafy!$A$15</c:f>
              <c:strCache>
                <c:ptCount val="1"/>
                <c:pt idx="0">
                  <c:v>Zásobování vodou, odpadní vody</c:v>
                </c:pt>
              </c:strCache>
            </c:strRef>
          </c:tx>
          <c:spPr>
            <a:ln>
              <a:solidFill>
                <a:srgbClr val="0071BC"/>
              </a:solidFill>
            </a:ln>
          </c:spPr>
          <c:marker>
            <c:symbol val="none"/>
          </c:marker>
          <c:cat>
            <c:strRef>
              <c:f>Grafy!$B$10:$K$10</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Grafy!$B$15:$K$15</c:f>
              <c:numCache>
                <c:formatCode>0.0</c:formatCode>
                <c:ptCount val="10"/>
                <c:pt idx="0">
                  <c:v>4.2000000000000028</c:v>
                </c:pt>
                <c:pt idx="1">
                  <c:v>6.9000000000000083</c:v>
                </c:pt>
                <c:pt idx="2">
                  <c:v>3.7999999999999972</c:v>
                </c:pt>
                <c:pt idx="3">
                  <c:v>6.2000000000000028</c:v>
                </c:pt>
                <c:pt idx="4">
                  <c:v>8.1000000000000014</c:v>
                </c:pt>
                <c:pt idx="5">
                  <c:v>5.7000000000000028</c:v>
                </c:pt>
                <c:pt idx="6">
                  <c:v>3.4000000000000057</c:v>
                </c:pt>
                <c:pt idx="7">
                  <c:v>3.4000000000000057</c:v>
                </c:pt>
                <c:pt idx="8">
                  <c:v>1.2999999999999829</c:v>
                </c:pt>
                <c:pt idx="9">
                  <c:v>1.2999999999999829</c:v>
                </c:pt>
              </c:numCache>
            </c:numRef>
          </c:val>
          <c:extLst xmlns:c16r2="http://schemas.microsoft.com/office/drawing/2015/06/chart">
            <c:ext xmlns:c16="http://schemas.microsoft.com/office/drawing/2014/chart" uri="{C3380CC4-5D6E-409C-BE32-E72D297353CC}">
              <c16:uniqueId val="{00000004-28CE-4608-9290-217EE756ECA2}"/>
            </c:ext>
          </c:extLst>
        </c:ser>
        <c:marker val="1"/>
        <c:axId val="134521984"/>
        <c:axId val="134523520"/>
      </c:lineChart>
      <c:catAx>
        <c:axId val="134521984"/>
        <c:scaling>
          <c:orientation val="minMax"/>
        </c:scaling>
        <c:axPos val="b"/>
        <c:numFmt formatCode="General" sourceLinked="0"/>
        <c:tickLblPos val="low"/>
        <c:crossAx val="134523520"/>
        <c:crosses val="autoZero"/>
        <c:auto val="1"/>
        <c:lblAlgn val="ctr"/>
        <c:lblOffset val="100"/>
      </c:catAx>
      <c:valAx>
        <c:axId val="134523520"/>
        <c:scaling>
          <c:orientation val="minMax"/>
          <c:max val="15"/>
        </c:scaling>
        <c:axPos val="l"/>
        <c:majorGridlines/>
        <c:numFmt formatCode="0" sourceLinked="0"/>
        <c:tickLblPos val="nextTo"/>
        <c:crossAx val="134521984"/>
        <c:crosses val="autoZero"/>
        <c:crossBetween val="between"/>
      </c:valAx>
      <c:spPr>
        <a:ln>
          <a:solidFill>
            <a:sysClr val="windowText" lastClr="000000"/>
          </a:solidFill>
        </a:ln>
      </c:spPr>
    </c:plotArea>
    <c:legend>
      <c:legendPos val="r"/>
      <c:layout>
        <c:manualLayout>
          <c:xMode val="edge"/>
          <c:yMode val="edge"/>
          <c:x val="6.704217325227961E-2"/>
          <c:y val="0.82444134864348395"/>
          <c:w val="0.91687373353596768"/>
          <c:h val="0.15532196330068668"/>
        </c:manualLayout>
      </c:layout>
      <c:spPr>
        <a:ln>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968D-B013-4D60-B75D-D14118E3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Anaýza ekonomického vývoje v roce 2017.dotx</Template>
  <TotalTime>2</TotalTime>
  <Pages>6</Pages>
  <Words>2464</Words>
  <Characters>14541</Characters>
  <Application>Microsoft Office Word</Application>
  <DocSecurity>0</DocSecurity>
  <Lines>121</Lines>
  <Paragraphs>33</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16972</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kamenicky3604</cp:lastModifiedBy>
  <cp:revision>3</cp:revision>
  <cp:lastPrinted>2014-07-17T14:07:00Z</cp:lastPrinted>
  <dcterms:created xsi:type="dcterms:W3CDTF">2018-10-29T15:23:00Z</dcterms:created>
  <dcterms:modified xsi:type="dcterms:W3CDTF">2018-10-29T15:25:00Z</dcterms:modified>
</cp:coreProperties>
</file>