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2" w:rsidRPr="00360DE3" w:rsidRDefault="00E212C9" w:rsidP="00141782">
      <w:pPr>
        <w:pStyle w:val="Nadpis1"/>
        <w:rPr>
          <w:lang w:eastAsia="en-US"/>
        </w:rPr>
      </w:pPr>
      <w:bookmarkStart w:id="0" w:name="_Toc527639489"/>
      <w:r w:rsidRPr="00360DE3">
        <w:rPr>
          <w:lang w:eastAsia="en-US"/>
        </w:rPr>
        <w:t>17</w:t>
      </w:r>
      <w:r w:rsidR="00141782" w:rsidRPr="00360DE3">
        <w:rPr>
          <w:lang w:eastAsia="en-US"/>
        </w:rPr>
        <w:t>. Veřejn</w:t>
      </w:r>
      <w:r w:rsidR="00082A55" w:rsidRPr="00360DE3">
        <w:rPr>
          <w:lang w:eastAsia="en-US"/>
        </w:rPr>
        <w:t>é služby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082A55" w:rsidRPr="00360DE3" w:rsidTr="00DC37E3">
        <w:trPr>
          <w:trHeight w:val="145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Váha odvětví veřejných služeb v tuzemské ekonomice se dlouhodobě výrazně nemění.</w:t>
            </w: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60404F">
            <w:pPr>
              <w:spacing w:after="220"/>
            </w:pPr>
            <w:r w:rsidRPr="00360DE3">
              <w:t>Odvětví tzv. veřejných služeb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 představují významnou součást ekonomiky. Jejich klíčové poslání tkví v poskytování netržních služeb a rozdělování důchodu pomocí dotací či sociálních dávek. Odvětví spadající do veřejných služeb tvoří zároveň jádro sektoru vládních institucí. Veřejné služby se v Česku loni ve vztahu k celému národnímu hospodářství podílely 8,7 % na jeho produkci, 15,4 % na hrubé přidané hodnotě (HPH) a 18,7 % na zaměstnanosti. V kontextu historie samostatné ČR role veřejných služeb v ekonomice s menšími výkyvy spíše stagnuje.</w:t>
            </w:r>
          </w:p>
        </w:tc>
      </w:tr>
      <w:tr w:rsidR="00082A55" w:rsidRPr="00360DE3" w:rsidTr="00DC37E3">
        <w:tc>
          <w:tcPr>
            <w:tcW w:w="1976" w:type="dxa"/>
            <w:vMerge w:val="restart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 xml:space="preserve">17.1  </w:t>
            </w:r>
            <w:r w:rsidRPr="00360DE3">
              <w:rPr>
                <w:b/>
                <w:bCs/>
              </w:rPr>
              <w:t>Základní</w:t>
            </w:r>
            <w:proofErr w:type="gramEnd"/>
            <w:r w:rsidRPr="00360DE3">
              <w:rPr>
                <w:b/>
                <w:bCs/>
              </w:rPr>
              <w:t xml:space="preserve"> ukazatele odvětví veřejných služeb</w:t>
            </w:r>
          </w:p>
          <w:p w:rsidR="00082A55" w:rsidRPr="00360DE3" w:rsidRDefault="00082A55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92650" cy="3473450"/>
                  <wp:effectExtent l="19050" t="0" r="0" b="0"/>
                  <wp:docPr id="10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82A55" w:rsidRPr="00360DE3" w:rsidTr="00DC37E3">
        <w:trPr>
          <w:trHeight w:val="284"/>
        </w:trPr>
        <w:tc>
          <w:tcPr>
            <w:tcW w:w="1976" w:type="dxa"/>
            <w:vMerge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60404F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*Do reálného vyjádření převedeno deflátorem výdajů na konečnou spotřebu domácností.      Zdroj: ČSÚ (národní účty) </w:t>
            </w:r>
          </w:p>
        </w:tc>
      </w:tr>
      <w:tr w:rsidR="0060404F" w:rsidRPr="00360DE3" w:rsidTr="00DC37E3">
        <w:trPr>
          <w:trHeight w:val="145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I přes svou nezanedbatelnou váhu přispívají veřejné služby k růstu HPH v celé ekonomice spíše okrajově</w:t>
            </w: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DE4C19" w:rsidP="0060404F">
            <w:pPr>
              <w:spacing w:after="0"/>
            </w:pPr>
            <w:r>
              <w:t>HPH v odvětví veřejných služeb</w:t>
            </w:r>
            <w:r w:rsidR="0060404F" w:rsidRPr="00360DE3">
              <w:t xml:space="preserve"> </w:t>
            </w:r>
            <w:r w:rsidR="0060404F">
              <w:t xml:space="preserve">se </w:t>
            </w:r>
            <w:r w:rsidR="0060404F" w:rsidRPr="00360DE3">
              <w:t xml:space="preserve">navyšovala již šestým rokem v řadě, </w:t>
            </w:r>
            <w:r w:rsidR="0060404F">
              <w:t xml:space="preserve">růst však </w:t>
            </w:r>
            <w:r w:rsidR="0060404F" w:rsidRPr="00360DE3">
              <w:t xml:space="preserve">vyjma posledních dvou let </w:t>
            </w:r>
            <w:r w:rsidR="0060404F">
              <w:t xml:space="preserve">nepřekročil </w:t>
            </w:r>
            <w:r w:rsidR="0060404F" w:rsidRPr="00360DE3">
              <w:t>1 %. Za celé šestileté období činil průměrný roční příspěvek odvětví k růstu celé ekonomiky je</w:t>
            </w:r>
            <w:r w:rsidR="00274037">
              <w:t xml:space="preserve">n 0,1 p. </w:t>
            </w:r>
            <w:proofErr w:type="spellStart"/>
            <w:r w:rsidR="00274037">
              <w:t>b</w:t>
            </w:r>
            <w:proofErr w:type="spellEnd"/>
            <w:r w:rsidR="00274037">
              <w:t>. HPH v letech 2016 i</w:t>
            </w:r>
            <w:r w:rsidR="00274037" w:rsidRPr="00360DE3">
              <w:t> </w:t>
            </w:r>
            <w:r w:rsidR="0060404F" w:rsidRPr="00360DE3">
              <w:t>2017 ve všech dílčích odvětvích veřejných služeb posílila. K růstu celého odvětví loni z poloviny přispělo vzdělávání, ve dvou předešlých letech ho ale táhl nejvíce váhově dominantní oddíl veřejná správa, obrana a povinné sociální zabezpečení. Vzhledem k nižší materiálové i energetické náročnosti produkce</w:t>
            </w:r>
            <w:r w:rsidR="0060404F" w:rsidRPr="00360DE3">
              <w:rPr>
                <w:rStyle w:val="Znakapoznpodarou"/>
              </w:rPr>
              <w:footnoteReference w:id="2"/>
            </w:r>
            <w:r w:rsidR="0060404F" w:rsidRPr="00360DE3">
              <w:t xml:space="preserve"> i „neziskového“ charakteru</w:t>
            </w:r>
            <w:r w:rsidR="0060404F" w:rsidRPr="00360DE3">
              <w:rPr>
                <w:rStyle w:val="Znakapoznpodarou"/>
              </w:rPr>
              <w:footnoteReference w:id="3"/>
            </w:r>
            <w:r w:rsidR="0060404F" w:rsidRPr="00360DE3">
              <w:t xml:space="preserve"> většiny odvětví veřejných služeb je zde vývoj přidané hodnoty silněji provázaný s objemem výdajů na mzdy a platy.</w:t>
            </w:r>
          </w:p>
        </w:tc>
      </w:tr>
      <w:tr w:rsidR="00082A55" w:rsidRPr="00360DE3" w:rsidTr="00DC37E3">
        <w:trPr>
          <w:trHeight w:val="145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Výdaje na mzdy a platy ve veřejných službách rostly již druhým rokem v řadě rychleji než v celé ekonomice.</w:t>
            </w: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r w:rsidRPr="00360DE3">
              <w:t>Tempo růstu výdajů na mzdy a platy (po zohlednění cenových vlivů) po roce 2012 zrychlovalo. Za loňský rok činilo již 7,4 % a druhým rokem převýšilo hodnotu v celé ekonomice. V úhrnu za celé období po roce 2010 však byl růst těchto výdajů s národním hospodářstvím srovnatelný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>, neboť v období fiskální konsolidace (2011 a 2012) výdaje na mzdy a platy ve veřejných službách na rozdíl od ostatních částí ekonomiky klesaly. Růst počtu pracovníků veřejných služeb</w:t>
            </w:r>
            <w:r w:rsidRPr="00360DE3">
              <w:rPr>
                <w:rStyle w:val="Znakapoznpodarou"/>
              </w:rPr>
              <w:footnoteReference w:id="5"/>
            </w:r>
            <w:r w:rsidRPr="00360DE3">
              <w:t xml:space="preserve"> dosáhl po roce 2015 nejvyšších meziročních temp v historii v samostatné ČR. Přestože se zaměstnanost navyšovala plošně, mezi dílčími odvětvími loni vyčnívaly dosud relativně málo rozvinuté pobytové služby sociální péče (+6,3 %) i ambulantní nebo terénní sociální služby (+5,3 %). Růst zaměstnanosti výrazně zrychlil ve vzdělávání. 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Hodinová produktivita práce ve veřejných službách klesala, její dosažená úroveň je ve srovnání s celou ekonomikou dlouhodobě nižší.</w:t>
            </w: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r w:rsidRPr="00360DE3">
              <w:t>Oživení zaměstnanosti při slabší dynamice HPH vyústilo v pokles hodinové produktivity práce. Ta byla vloni ve veřejných službách oproti roku 2010 p 5 % nižší (v celé ekonomice vzrostla o 11 %). Na této disproporci se nejvíce podílelo odvětví zdravotní péče. V roce 2017 dosahovala úroveň nominální hodinové produktivity práce ve veřejných službách 84 % výše národního hospodářství. Nad touto hladinou se udržovala jen v odvětví veřejné správy, obrany a sociálního zabezpečení.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spacing w:after="0"/>
              <w:rPr>
                <w:bCs/>
              </w:rPr>
            </w:pPr>
            <w:r w:rsidRPr="00360DE3">
              <w:rPr>
                <w:b/>
              </w:rPr>
              <w:t xml:space="preserve">Graf 17.2  </w:t>
            </w:r>
            <w:r w:rsidRPr="00360DE3">
              <w:rPr>
                <w:b/>
                <w:bCs/>
              </w:rPr>
              <w:t xml:space="preserve">Investice* dle věcného členění </w:t>
            </w:r>
            <w:r w:rsidRPr="00360DE3">
              <w:rPr>
                <w:bCs/>
              </w:rPr>
              <w:t xml:space="preserve">(v mld. korun, běžné ceny) </w:t>
            </w:r>
            <w:r w:rsidRPr="00360DE3">
              <w:rPr>
                <w:b/>
                <w:bCs/>
              </w:rPr>
              <w:t xml:space="preserve">a celková výše investic* </w:t>
            </w:r>
            <w:r w:rsidRPr="00360DE3">
              <w:rPr>
                <w:bCs/>
              </w:rPr>
              <w:t xml:space="preserve">(stále ceny, rok 2010=100) </w:t>
            </w:r>
            <w:r w:rsidRPr="00360DE3">
              <w:rPr>
                <w:b/>
                <w:bCs/>
              </w:rPr>
              <w:t>v hlavních odvětvích veřejných služeb</w:t>
            </w:r>
          </w:p>
          <w:p w:rsidR="00082A55" w:rsidRPr="00360DE3" w:rsidRDefault="00082A55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92650" cy="3600450"/>
                  <wp:effectExtent l="19050" t="0" r="0" b="0"/>
                  <wp:docPr id="10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* Investicemi se rozumí </w:t>
            </w:r>
            <w:r w:rsidRPr="00360DE3">
              <w:rPr>
                <w:rFonts w:cs="Arial"/>
                <w:bCs/>
                <w:sz w:val="14"/>
                <w:szCs w:val="14"/>
              </w:rPr>
              <w:t>tvorba hrubého fixního kapitálu (THFK).</w:t>
            </w:r>
          </w:p>
          <w:p w:rsidR="00082A55" w:rsidRPr="00360DE3" w:rsidRDefault="00082A55" w:rsidP="00DC37E3">
            <w:pPr>
              <w:pStyle w:val="Zhlav"/>
              <w:spacing w:after="22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Zdroj: ČSÚ (národní účty) 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Výše průměrných výdělků se mezi dílčími odvětvími služeb výrazně odlišovala. </w:t>
            </w:r>
            <w:r w:rsidRPr="00360DE3">
              <w:rPr>
                <w:spacing w:val="0"/>
              </w:rPr>
              <w:lastRenderedPageBreak/>
              <w:t>Výrazně nepříznivé postavení sociálních služeb i péče či kultury nadále přetrvávalo.</w:t>
            </w: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r w:rsidRPr="00360DE3">
              <w:t>Objem mezd a platů v relaci na jednoho zaměstnance</w:t>
            </w:r>
            <w:r w:rsidRPr="00360DE3">
              <w:rPr>
                <w:vertAlign w:val="superscript"/>
              </w:rPr>
              <w:t>6</w:t>
            </w:r>
            <w:r w:rsidRPr="00360DE3">
              <w:t xml:space="preserve"> vzrostl ve veřejných službách během loňska o 6,7 %, podobným tempem jako v celé ekonomice. </w:t>
            </w:r>
            <w:r w:rsidRPr="00360DE3">
              <w:lastRenderedPageBreak/>
              <w:t>Růstová tempa se mezi dílčími odvětvími veřejných služeb zásadně nelišila, což však neplatilo o průměrné dosa</w:t>
            </w:r>
            <w:r w:rsidR="00DE4C19">
              <w:t>žené výši</w:t>
            </w:r>
            <w:r w:rsidRPr="00360DE3">
              <w:t xml:space="preserve"> výdělků. Ta </w:t>
            </w:r>
            <w:proofErr w:type="gramStart"/>
            <w:r w:rsidRPr="00360DE3">
              <w:t>se</w:t>
            </w:r>
            <w:proofErr w:type="gramEnd"/>
            <w:r w:rsidRPr="00360DE3">
              <w:t xml:space="preserve"> v tomto odvětví pohybovala </w:t>
            </w:r>
            <w:proofErr w:type="gramStart"/>
            <w:r w:rsidRPr="00360DE3">
              <w:t>desetinu</w:t>
            </w:r>
            <w:proofErr w:type="gramEnd"/>
            <w:r w:rsidRPr="00360DE3">
              <w:t xml:space="preserve"> nad úrovní národního hospodářství. Tuto hladinu ale dlouhodobě převyšuje jen ve veřejné správě, obraně a sociálním zabezpečení (loni o 31 %)</w:t>
            </w:r>
            <w:r w:rsidRPr="00360DE3">
              <w:rPr>
                <w:rStyle w:val="Znakapoznpodarou"/>
              </w:rPr>
              <w:footnoteReference w:id="6"/>
            </w:r>
            <w:r w:rsidRPr="00360DE3">
              <w:t xml:space="preserve"> a ve zdravotní péči (o 11 %). Naopak i přes dílčí zlepšení v roce 2017 setrvávaly průměrné výdělky v oblasti sociálních služeb i péče, podobně jako v oblasti kultury o pětinu až čtvrtinu pod úrovní celé ekonomiky. Těsně pod touto hladinou se nacházely (navzdory vysoké kvalifikační úrovni zaměstnanců)</w:t>
            </w:r>
            <w:r w:rsidRPr="00360DE3">
              <w:rPr>
                <w:rStyle w:val="Znakapoznpodarou"/>
              </w:rPr>
              <w:footnoteReference w:id="7"/>
            </w:r>
            <w:r w:rsidRPr="00360DE3">
              <w:t xml:space="preserve"> rovněž výdělky ve vzdělávání.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Míra investic ve veřejných službách za úrovní v celé ekonomice dlouhodobě zaostává. Výjimkou byl jen mimořádný rok 2015 ovlivněný silnými finančními toky z rozpočtu EU.</w:t>
            </w: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r w:rsidRPr="00360DE3">
              <w:t xml:space="preserve">Odvětví veřejných služeb plní funkci významného zaměstnavatele, nezanedbatelnou roli mají ale i v oblasti investic. Vloni vytvářely 11 % hrubého fixního kapitálu (THFK) v národním hospodářství, resp. více než šestinu v rámci celého terciárního sektoru. Míru investic (podíl THFK na HPH) ve veřejných službách ovlivňují vedle hospodářského cyklu i výrazné nepravidelnosti v čerpání prostředků z rozpočtu EU, což je dobře patrné na lokálních extrémech v letech 2013, 2015 i 2016. Relativní investiční aktivita ve veřejných službách za hodnotami v celé ekonomice (i zbývající části služeb) dlouhodobě zaostává (těsně se k nim přiblížila jen v mimořádném roce 2015). Po prudkém propadu v roce 2016, kdy zde míra investic sestoupila nejníže od měnové krize z konce 90. let, došlo loni k dílčímu oživení (nárůst o 2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na</w:t>
            </w:r>
            <w:proofErr w:type="gramEnd"/>
            <w:r w:rsidRPr="00360DE3">
              <w:t xml:space="preserve"> 19 %).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Investiční náročnost i věcná skladba investic se v rámci veřejných služeb výrazně odlišují.</w:t>
            </w: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Navzdory dílčímu oživení setrvala loňská výše investic (v nominálním i reálním vyjádření) ve všech odvětvích veřejných služeb pod úrovní roku 2015. </w:t>
            </w: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spacing w:after="230"/>
            </w:pPr>
            <w:r w:rsidRPr="00360DE3">
              <w:t>Z pohledu investiční náročnosti se dílčí odvětví veřejných služeb výrazně odlišují. Vyšší je tradičně ve veřejné správě, obraně a sociálním zabezpečení a také v malém odvětví činnosti knihoven, archivů, muzeí a jiných kulturních zařízení (v obou odvětvích činila loni míra investic shodn</w:t>
            </w:r>
            <w:r w:rsidR="00274037">
              <w:t>ě 29 %). Naopak ve vzdělávání i</w:t>
            </w:r>
            <w:r w:rsidR="00274037" w:rsidRPr="00360DE3">
              <w:t> </w:t>
            </w:r>
            <w:r w:rsidRPr="00360DE3">
              <w:t xml:space="preserve">celé oblasti zdravotnictví nedosahovalo ani poloviny úrovně národního hospodářství. Jednotlivé segmenty sevřených služeb jsou také dlouhodobě „specializované“ na různé oblasti investic. Ve váhově dominantním segmentu veřejné správy, obrany a sociálního zabezpečení tvořily loni budovy a stavby 73 % všech investic (THFK). Jednalo se z velké části i výstavbu či údržbu dopravní infrastruktury. Tato oblast byla také v roce 2016 nejvíce poznamenána pomalým náběhem čerpání evropských fondů na počátku nového programového období. Ve vzdělávání dlouhodobě převládají investice do duševního vlastnictví (zejména vědy a výzkumu). I v tomto odvětví došlo po roce 2015 investičnímu útlumu, týkal se však převážně váhově okrajových oblastí investic do budov, strojů a zařízení. Ty naopak mají typicky nejvýznamnější roli ve zdravotnictví. Celková výše investic – jak v nominálním, tak i reálném vyjádření – ve všech třech hlavních odvětvích veřejných služeb loni za úrovní z roku 2015 stále zaostávala. 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I přes silný pokles v roce 2016 zůstává investiční aktivita veřejných služeb v Česku vyšší než v EU.</w:t>
            </w: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spacing w:after="230"/>
            </w:pPr>
            <w:r w:rsidRPr="00360DE3">
              <w:t>Navzdory silnému propadu v roce 2016 zůstává míra investic ve veřejných službách</w:t>
            </w:r>
            <w:r w:rsidRPr="00360DE3">
              <w:rPr>
                <w:rStyle w:val="Znakapoznpodarou"/>
              </w:rPr>
              <w:footnoteReference w:id="8"/>
            </w:r>
            <w:r w:rsidRPr="00360DE3">
              <w:t xml:space="preserve">  stále nad úrovní EU (v tomto roce či</w:t>
            </w:r>
            <w:r w:rsidR="00274037">
              <w:t>nila v Česku 17 %, v celé EU 14</w:t>
            </w:r>
            <w:r w:rsidR="00274037" w:rsidRPr="00360DE3">
              <w:t> </w:t>
            </w:r>
            <w:r w:rsidRPr="00360DE3">
              <w:t xml:space="preserve">%). Česku tak v roce 2016 mezi unijními členy patřilo dvanácté místo, lépe si z našich sousedů vedlo jen Německo. Nejvyšší investiční aktivitou v Unii se dlouhodobě vyznačuje Rumunsko (2 až 2,5 vyšší než ČR). Relativně více než v Česku investují veřejné služby také v pobaltských státech, naopak nejnižší hodnoty mezi novějšími </w:t>
            </w:r>
            <w:r w:rsidRPr="00360DE3">
              <w:lastRenderedPageBreak/>
              <w:t>členy EU zaznamenává dlouhodobě Polsko. V drtivé většině států EU investiční aktivita ve veřejných službách za úrovní v ostatních částech ekonomiky tradičně zaostává. Opačně je tomu dlouho</w:t>
            </w:r>
            <w:r w:rsidR="00DE4C19">
              <w:t>době v Rumunsku, Litvě, Lotyšsku</w:t>
            </w:r>
            <w:r w:rsidRPr="00360DE3">
              <w:t>, Lucembursku a v posledních třech letech také v Řecku.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Odvětví veřejných služeb hrají významnou roli v ekonomikách severských států i většiny zemí Beneluxu.</w:t>
            </w: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60404F">
            <w:pPr>
              <w:spacing w:after="220"/>
            </w:pPr>
            <w:r w:rsidRPr="00360DE3">
              <w:t>Význam veřejných služeb v celé ekonomice lze dobře ilustrovat jejich podílem na zaměstnanosti a přidané hodnotě. V roce 2016 zřetelně převyšovala v obou těchto kritériích průměr celé EU šestice zemí – Švédsko, Dánsko, Finsko, Belgie, Nizozemsko a Francie. Silná role státu v těchto ekonomikách souvisí s robustními příjmy veřejných rozpočtů podpořenými i vyšším zdaněním práce. V opačné pozici byla většina států střední a východní Evropy</w:t>
            </w:r>
            <w:r w:rsidRPr="00360DE3">
              <w:rPr>
                <w:rStyle w:val="Znakapoznpodarou"/>
              </w:rPr>
              <w:footnoteReference w:id="9"/>
            </w:r>
            <w:r w:rsidRPr="00360DE3">
              <w:t xml:space="preserve"> a též Lucembursko a země z jižního křídla </w:t>
            </w:r>
            <w:proofErr w:type="spellStart"/>
            <w:r w:rsidRPr="00360DE3">
              <w:t>Eurozóny</w:t>
            </w:r>
            <w:proofErr w:type="spellEnd"/>
            <w:r w:rsidRPr="00360DE3">
              <w:t xml:space="preserve">. Zatímco v Rumunsku tvořila odvětví veřejných služeb méně než sedminu všech obsazených pracovních míst, ve Švédsku to bylo 2,5krát více. </w:t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17.3  Podíl</w:t>
            </w:r>
            <w:proofErr w:type="gramEnd"/>
            <w:r w:rsidRPr="00360DE3">
              <w:rPr>
                <w:b/>
              </w:rPr>
              <w:t xml:space="preserve"> veřejných služeb* na celkové zaměstnanosti (ve </w:t>
            </w:r>
            <w:proofErr w:type="spellStart"/>
            <w:r w:rsidRPr="00360DE3">
              <w:rPr>
                <w:b/>
              </w:rPr>
              <w:t>fyz</w:t>
            </w:r>
            <w:proofErr w:type="spellEnd"/>
            <w:r w:rsidRPr="00360DE3">
              <w:rPr>
                <w:b/>
              </w:rPr>
              <w:t>. osobách)</w:t>
            </w:r>
            <w:r w:rsidRPr="00360DE3">
              <w:t xml:space="preserve"> </w:t>
            </w:r>
            <w:r w:rsidRPr="00360DE3">
              <w:rPr>
                <w:b/>
              </w:rPr>
              <w:t>a hrubé přidané hodnotě</w:t>
            </w:r>
            <w:r w:rsidRPr="00360DE3">
              <w:t xml:space="preserve"> (vybrané evropské státy, v %)</w:t>
            </w:r>
          </w:p>
          <w:p w:rsidR="00082A55" w:rsidRPr="00360DE3" w:rsidRDefault="00082A55" w:rsidP="00DC37E3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631564" cy="3678288"/>
                  <wp:effectExtent l="19050" t="0" r="0" b="0"/>
                  <wp:docPr id="10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82A55" w:rsidRPr="00360DE3" w:rsidTr="00DC37E3">
        <w:trPr>
          <w:trHeight w:val="170"/>
        </w:trPr>
        <w:tc>
          <w:tcPr>
            <w:tcW w:w="1976" w:type="dxa"/>
          </w:tcPr>
          <w:p w:rsidR="00082A55" w:rsidRPr="00360DE3" w:rsidRDefault="00082A55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82A55" w:rsidRPr="00360DE3" w:rsidRDefault="00082A55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82A55" w:rsidRPr="00360DE3" w:rsidRDefault="00082A55" w:rsidP="00DC37E3">
            <w:pPr>
              <w:spacing w:after="0" w:line="240" w:lineRule="auto"/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 xml:space="preserve">*Pro účely mezinárodního srovnání zahrnuje odvětví: O - Veřejná správa a obrana, povinné sociální zabezpečení, </w:t>
            </w:r>
          </w:p>
          <w:p w:rsidR="00082A55" w:rsidRPr="00360DE3" w:rsidRDefault="00082A55" w:rsidP="00DC37E3">
            <w:pPr>
              <w:spacing w:after="0" w:line="240" w:lineRule="auto"/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P – Vzdělávání, Q 86 – Zdravotní péče, Q 87 až 89 – Pobytové služby sociální péče, Ambulantní nebo terénní sociální služby. R90 až 92 – Tvůrčí, umělecké a zábavní činnosti, činnosti knihoven, archivů, muzeí a jiných kulturních zařízení, činnosti heren, kasin a sázkových kanceláří.</w:t>
            </w:r>
          </w:p>
          <w:p w:rsidR="003B4331" w:rsidRDefault="00082A55" w:rsidP="003B4331">
            <w:pPr>
              <w:spacing w:after="0" w:line="240" w:lineRule="auto"/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Pozn.: Za Norsko odpovídají nejaktuálnější údaje stavu z roku 2015. Za Švýcarsko a Maltu není v údajích o HPH zahrnuto odvětví R90 až 92. U Lichtenštejnska nebyly údaje o HPH dostupné.</w:t>
            </w:r>
          </w:p>
          <w:p w:rsidR="00082A55" w:rsidRPr="00360DE3" w:rsidRDefault="00082A55" w:rsidP="00DC37E3">
            <w:pPr>
              <w:spacing w:after="200" w:line="240" w:lineRule="auto"/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 xml:space="preserve">Zdroj: </w:t>
            </w:r>
            <w:proofErr w:type="spellStart"/>
            <w:r w:rsidRPr="00360DE3"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Výrazné rozdíly v podílu zdravotní a hlavně sociální péče a služeb mezi státy EU souvisí s jejich ekonomickou vyspělostí i demografickým stárnutím.</w:t>
            </w: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Zaměstnanost ve veřejných službách zůstává v Česku podprůměrná, a to i ve srovnání se státy střední a východní Evropy.</w:t>
            </w:r>
          </w:p>
        </w:tc>
        <w:tc>
          <w:tcPr>
            <w:tcW w:w="277" w:type="dxa"/>
          </w:tcPr>
          <w:p w:rsidR="0060404F" w:rsidRPr="00360DE3" w:rsidRDefault="0060404F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F162B3">
            <w:pPr>
              <w:spacing w:after="220"/>
            </w:pPr>
            <w:r w:rsidRPr="00360DE3">
              <w:t>V pozadí obrovských rozdílů mezi státy stojí především odvětví zdravotní a sociální péče, jenž v ekonomicky nejvyspělejších státech EU obvykle tvoří převažující část zaměstnanosti ve veřejných službách. To souvisí nejen s celkovou ekono</w:t>
            </w:r>
            <w:r w:rsidR="00DE4C19">
              <w:t xml:space="preserve">mickou vyspělostí států, ale i s </w:t>
            </w:r>
            <w:r w:rsidRPr="00360DE3">
              <w:t xml:space="preserve">úrovní a dynamikou demografického stárnutí. I ve vzdělávání vévodí z pohledu zaměstnanosti Evropě většina severských států či Velká Británie, silné postavení má rovněž Pobaltí. Naopak relativní velikost </w:t>
            </w:r>
            <w:r w:rsidRPr="00360DE3">
              <w:lastRenderedPageBreak/>
              <w:t>odvětví veřejné správy, obrany a sociálního zabezpečení s celkovou ekonomickou vyspělostí nesouvisí. Roli hraje složitost organizace veřejné správy (např. územně-správní uspořádání), ale i různá velikost silových složek státu (armáda, policie). Ve všech pěti dílčích odvětvích veřejných služeb byl v roce 2016 jejich podíl na celkové zaměstnanosti v ČR nižší než v EU a vyjma zdravotní péče i slabší než v zemích, jež vstoupily do EU po roce 2000.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 xml:space="preserve">Význam odvětví veřejných služeb za posledních deset let ve výrazné většině evropských států vzrostl. </w:t>
            </w: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r w:rsidRPr="00360DE3">
              <w:t xml:space="preserve">Produktivita práce ve veřejných službách byla v rámci všech sledovaných států pod úrovní ostatních odvětví ekonomiky, byť v Řecku, Kypru a Rumunsku šlo o minimální rozdíl. Mezi roky 2006 a 2016 klesl podíl veřejných služeb na národním HPH jen v šesti státech EU (významněji jen v Irsku a Portugalsku). V ČR podobně jako v Maďarsku stagnoval, nejvíce vzrostl v Estonsku (o </w:t>
            </w:r>
            <w:proofErr w:type="gramStart"/>
            <w:r w:rsidRPr="00360DE3">
              <w:t>3,4 p .</w:t>
            </w:r>
            <w:proofErr w:type="spellStart"/>
            <w:r w:rsidRPr="00360DE3">
              <w:t>b</w:t>
            </w:r>
            <w:proofErr w:type="spellEnd"/>
            <w:r w:rsidRPr="00360DE3">
              <w:t>.) a Španělsku</w:t>
            </w:r>
            <w:proofErr w:type="gramEnd"/>
            <w:r w:rsidRPr="00360DE3">
              <w:t xml:space="preserve"> (2,5 p. b).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pPr>
              <w:spacing w:after="0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17.4</w:t>
            </w:r>
            <w:r w:rsidRPr="00360DE3">
              <w:t xml:space="preserve">  </w:t>
            </w:r>
            <w:r w:rsidRPr="00360DE3">
              <w:rPr>
                <w:b/>
              </w:rPr>
              <w:t>Výdaje</w:t>
            </w:r>
            <w:proofErr w:type="gramEnd"/>
            <w:r w:rsidRPr="00360DE3">
              <w:rPr>
                <w:b/>
              </w:rPr>
              <w:t xml:space="preserve"> na zdravotnictví v ČR podle druhu péče</w:t>
            </w:r>
            <w:r w:rsidRPr="00360DE3">
              <w:t xml:space="preserve"> (v mld. korun, </w:t>
            </w:r>
            <w:proofErr w:type="spellStart"/>
            <w:r w:rsidRPr="00360DE3">
              <w:t>b.c</w:t>
            </w:r>
            <w:proofErr w:type="spellEnd"/>
            <w:r w:rsidRPr="00360DE3">
              <w:t>.)</w:t>
            </w:r>
          </w:p>
          <w:p w:rsidR="0060404F" w:rsidRPr="00360DE3" w:rsidRDefault="0060404F" w:rsidP="00DC37E3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690753" cy="3669476"/>
                  <wp:effectExtent l="0" t="0" r="0" b="0"/>
                  <wp:docPr id="6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pPr>
              <w:spacing w:after="220"/>
              <w:rPr>
                <w:sz w:val="16"/>
                <w:szCs w:val="16"/>
              </w:rPr>
            </w:pPr>
            <w:r w:rsidRPr="00360DE3">
              <w:rPr>
                <w:sz w:val="16"/>
                <w:szCs w:val="16"/>
              </w:rPr>
              <w:t>*Zahrnují laboratorní služby, zobrazovací metody a dopravu pacientů.                                    Zdroj: ČSÚ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Tempo růstu celkových výdajů na zdravotní péči v roce 2016 zrychlilo. Na růstu se podílely všechny hlavní zdroje financování.</w:t>
            </w: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r w:rsidRPr="00360DE3">
              <w:rPr>
                <w:szCs w:val="20"/>
              </w:rPr>
              <w:t>Z mezinárodního srovnání plyne, že zdravotní péče, vč. navazující sociální péče a</w:t>
            </w:r>
            <w:r w:rsidRPr="00360DE3">
              <w:t> </w:t>
            </w:r>
            <w:r w:rsidRPr="00360DE3">
              <w:rPr>
                <w:szCs w:val="20"/>
              </w:rPr>
              <w:t xml:space="preserve">služeb představují v rámci veřejných služeb v Česku odvětví s největší růstovým potenciálem. </w:t>
            </w:r>
            <w:r w:rsidRPr="00360DE3">
              <w:t>Celkové výdaje na zdravotní péči dosáhly v roce 2016 v ČR 362 mld. korun</w:t>
            </w:r>
            <w:r w:rsidRPr="00360DE3">
              <w:rPr>
                <w:rStyle w:val="Znakapoznpodarou"/>
              </w:rPr>
              <w:footnoteReference w:id="10"/>
            </w:r>
            <w:r w:rsidRPr="00360DE3">
              <w:t xml:space="preserve"> a meziročně posílily o 2,7 % (nejvyšším tempem ve srovnatelné řadě od roku 2010). Na růstu se podílely všechny hlavní zdroje financování, nejvíce váhově dominantní výdaje ze státního rozpočtu, které meziročně posílily o 3,3 mld. korun. 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3B4331" w:rsidRDefault="003B4331" w:rsidP="00DC37E3">
            <w:pPr>
              <w:pStyle w:val="Marginlie"/>
              <w:rPr>
                <w:spacing w:val="0"/>
              </w:rPr>
            </w:pPr>
          </w:p>
          <w:p w:rsidR="003B4331" w:rsidRDefault="003B4331" w:rsidP="00DC37E3">
            <w:pPr>
              <w:pStyle w:val="Marginlie"/>
              <w:rPr>
                <w:spacing w:val="0"/>
              </w:rPr>
            </w:pPr>
          </w:p>
          <w:p w:rsidR="003B4331" w:rsidRDefault="003B4331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Nejrychleji se v posledních letech zvyšují výdaje na dlouhodobou péči pro chronicky nemocné.</w:t>
            </w: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Sedmina všech výdajů na zdravotní péči šla přímo z kapes domácností. Míra jejich spoluúčastí mírně rostla již třetím rokem v řadě.</w:t>
            </w: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pPr>
              <w:rPr>
                <w:szCs w:val="20"/>
              </w:rPr>
            </w:pPr>
            <w:r w:rsidRPr="00360DE3">
              <w:t>Z hlediska druhu táhla celkové výdaje hlavně dlouhodobá péče</w:t>
            </w:r>
            <w:r w:rsidRPr="00360DE3">
              <w:rPr>
                <w:rStyle w:val="Znakapoznpodarou"/>
              </w:rPr>
              <w:footnoteReference w:id="11"/>
            </w:r>
            <w:r w:rsidRPr="00360DE3">
              <w:t xml:space="preserve">, jež v roce 2016 tvořila již 18,1 % všech nákladů na zdravotní péči. Podobného podílu dosáhla </w:t>
            </w:r>
            <w:r w:rsidRPr="00360DE3">
              <w:lastRenderedPageBreak/>
              <w:t>i ambulantní léčebná péče. Naopak u v minulosti dominantní lůžkové léčebné péče pokračovala redukce a objem výdajů se přiblížil 50 mld. korun</w:t>
            </w:r>
            <w:r w:rsidRPr="00360DE3">
              <w:rPr>
                <w:rStyle w:val="Znakapoznpodarou"/>
              </w:rPr>
              <w:footnoteReference w:id="12"/>
            </w:r>
            <w:r w:rsidRPr="00360DE3">
              <w:t>. Přestože stomatologická péče tvoří v posledních letech stabilně jen 5 % výdajů na zdravotní péči, zaujímá zvláštní postavení, neboť od roku 2015 hradí většinu nákladů na tuto péči přímo domácnosti (v roce 2016 činil podíl nákladů domácností již 53 %). Domácnosti hradily také necelou čtvrtinu celkových nákladů rehabilitační péče (především lázeňská péče) i výdajů na léky na předpis. Více než ze tří pětin si pak přispívaly na terapeutické pomůcky (z toho u dioptrických brýlí a jiných výrobků oční optiky přesáhla spoluúčast 90 %). Celkově se domácnosti na financování veškeré zdravotní péče v roce 2016 podílely 14,2 %, spoluúčast po roce 2013 mírně rostla. Téměř polovina všech výdajů domácností na zdravotní péči (51 mld. korun v roce 2016) směřovala na léky i zdravotnický materiál, pětina na stomatologickou péči, sedmina na ostatní ambulantní péči, osmina na terapeutické pomůcky. Dle statistky rodinných účtů se výdaje na zdraví na celkových spotřebních vydáních domácností v roce 2016 podílely 2,6 %.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pPr>
              <w:spacing w:after="0"/>
              <w:rPr>
                <w:szCs w:val="20"/>
              </w:rPr>
            </w:pPr>
            <w:r w:rsidRPr="00360DE3">
              <w:rPr>
                <w:b/>
                <w:szCs w:val="20"/>
              </w:rPr>
              <w:t xml:space="preserve">Graf </w:t>
            </w:r>
            <w:proofErr w:type="gramStart"/>
            <w:r w:rsidRPr="00360DE3">
              <w:rPr>
                <w:b/>
                <w:szCs w:val="20"/>
              </w:rPr>
              <w:t>17.5</w:t>
            </w:r>
            <w:r w:rsidRPr="00360DE3">
              <w:rPr>
                <w:szCs w:val="20"/>
              </w:rPr>
              <w:t xml:space="preserve">  </w:t>
            </w:r>
            <w:r w:rsidRPr="00360DE3">
              <w:rPr>
                <w:b/>
                <w:szCs w:val="20"/>
              </w:rPr>
              <w:t>Dočasná</w:t>
            </w:r>
            <w:proofErr w:type="gramEnd"/>
            <w:r w:rsidRPr="00360DE3">
              <w:rPr>
                <w:b/>
                <w:szCs w:val="20"/>
              </w:rPr>
              <w:t xml:space="preserve"> pracovní neschopnost*</w:t>
            </w:r>
            <w:r w:rsidRPr="00360DE3">
              <w:rPr>
                <w:szCs w:val="20"/>
              </w:rPr>
              <w:t xml:space="preserve"> (v %), </w:t>
            </w:r>
            <w:r w:rsidRPr="00360DE3">
              <w:rPr>
                <w:b/>
                <w:szCs w:val="20"/>
              </w:rPr>
              <w:t xml:space="preserve">její doba </w:t>
            </w:r>
            <w:r w:rsidR="00DE4C19">
              <w:rPr>
                <w:b/>
                <w:szCs w:val="20"/>
              </w:rPr>
              <w:t xml:space="preserve">průměrná </w:t>
            </w:r>
            <w:r w:rsidRPr="00360DE3">
              <w:rPr>
                <w:b/>
                <w:szCs w:val="20"/>
              </w:rPr>
              <w:t>trvání</w:t>
            </w:r>
            <w:r w:rsidRPr="00360DE3">
              <w:rPr>
                <w:szCs w:val="20"/>
              </w:rPr>
              <w:t xml:space="preserve"> (ve dnech) </w:t>
            </w:r>
            <w:r w:rsidRPr="00360DE3">
              <w:rPr>
                <w:b/>
                <w:szCs w:val="20"/>
              </w:rPr>
              <w:t>a</w:t>
            </w:r>
            <w:r w:rsidRPr="00360DE3">
              <w:rPr>
                <w:szCs w:val="20"/>
              </w:rPr>
              <w:t xml:space="preserve"> </w:t>
            </w:r>
            <w:r w:rsidRPr="00360DE3">
              <w:rPr>
                <w:b/>
                <w:szCs w:val="20"/>
              </w:rPr>
              <w:t>vyplacené dávky nemocenského pojištění ze státního rozpočtu ČR</w:t>
            </w:r>
            <w:r w:rsidRPr="00360DE3">
              <w:rPr>
                <w:szCs w:val="20"/>
              </w:rPr>
              <w:t xml:space="preserve"> (mld. korun)</w:t>
            </w:r>
          </w:p>
          <w:p w:rsidR="0060404F" w:rsidRPr="00360DE3" w:rsidRDefault="0060404F" w:rsidP="00DC37E3">
            <w:pPr>
              <w:spacing w:after="0"/>
              <w:rPr>
                <w:szCs w:val="20"/>
              </w:rPr>
            </w:pPr>
            <w:r w:rsidRPr="00360DE3">
              <w:rPr>
                <w:noProof/>
                <w:szCs w:val="20"/>
              </w:rPr>
              <w:drawing>
                <wp:inline distT="0" distB="0" distL="0" distR="0">
                  <wp:extent cx="4722001" cy="3690544"/>
                  <wp:effectExtent l="19050" t="0" r="2399" b="0"/>
                  <wp:docPr id="6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0DE3">
              <w:rPr>
                <w:rFonts w:cs="Arial"/>
                <w:sz w:val="16"/>
                <w:szCs w:val="16"/>
              </w:rPr>
              <w:t>*Udává, kolik ze 100 pojištěnců je průměrně každý den v pracovní neschopnosti pro nemoc či úraz.</w:t>
            </w:r>
          </w:p>
          <w:p w:rsidR="0060404F" w:rsidRPr="00360DE3" w:rsidRDefault="0060404F" w:rsidP="00DC37E3">
            <w:pPr>
              <w:spacing w:after="200"/>
              <w:rPr>
                <w:rFonts w:cs="Arial"/>
                <w:sz w:val="16"/>
                <w:szCs w:val="16"/>
              </w:rPr>
            </w:pPr>
            <w:r w:rsidRPr="00360DE3">
              <w:rPr>
                <w:rFonts w:cs="Arial"/>
                <w:sz w:val="16"/>
                <w:szCs w:val="16"/>
              </w:rPr>
              <w:t>Zdroj: ČSÚ, ČSSZ, MF ČR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Podíl běžných výdajů na zdravotní péči vztažený k HDP řadil Česko v EU až na konec druhé desítky. </w:t>
            </w: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 xml:space="preserve">ČR mezi nejvyspělejšími státy vyniká vysokým podílem veřejných zdrojů na celkovém financování </w:t>
            </w:r>
            <w:r w:rsidR="00DE4C19">
              <w:rPr>
                <w:spacing w:val="0"/>
              </w:rPr>
              <w:t xml:space="preserve">zdravotní </w:t>
            </w:r>
            <w:r w:rsidRPr="00360DE3">
              <w:rPr>
                <w:spacing w:val="0"/>
              </w:rPr>
              <w:t xml:space="preserve">péče i nízkou přímou spoluúčastí domácností </w:t>
            </w:r>
          </w:p>
        </w:tc>
        <w:tc>
          <w:tcPr>
            <w:tcW w:w="277" w:type="dxa"/>
          </w:tcPr>
          <w:p w:rsidR="0060404F" w:rsidRPr="00360DE3" w:rsidRDefault="0060404F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F162B3">
            <w:pPr>
              <w:spacing w:after="220"/>
              <w:rPr>
                <w:szCs w:val="20"/>
              </w:rPr>
            </w:pPr>
            <w:r w:rsidRPr="00360DE3">
              <w:rPr>
                <w:szCs w:val="20"/>
              </w:rPr>
              <w:t xml:space="preserve">Podíl celkových běžných výdajů na zdravotní péči mezi lety 2010 a 2013 stagnoval (na 8,4 %). V dalším období ale již tyto výdaje nestačily držet tempo se svižným růstem ekonomiky a v roce 2016 činil jejich podíl jen 7,6 %. Ten řadil Česko mezi státy EU až na konec druhé desítky. Podobnou pozici měly i Chorvatsko a Maďarsko, lépe na tom z novějších členů Unie byly jen Slovinsko a Bulharsko. Celé EU v roce 2015 vévodily Francie, Německo a Švédsko (s podílem mírně přes </w:t>
            </w:r>
            <w:r w:rsidRPr="00360DE3">
              <w:rPr>
                <w:szCs w:val="20"/>
              </w:rPr>
              <w:lastRenderedPageBreak/>
              <w:t>11 %)</w:t>
            </w:r>
            <w:r w:rsidRPr="00360DE3">
              <w:rPr>
                <w:rStyle w:val="Znakapoznpodarou"/>
                <w:szCs w:val="20"/>
              </w:rPr>
              <w:footnoteReference w:id="13"/>
            </w:r>
            <w:r w:rsidRPr="00360DE3">
              <w:rPr>
                <w:szCs w:val="20"/>
              </w:rPr>
              <w:t>. Z pohledu celkových výdajů (vyjádřených v paritě kupní síly) na obyvatele patřilo Česku v rámci EU 15. místo (těsně z</w:t>
            </w:r>
            <w:r w:rsidR="00274037">
              <w:rPr>
                <w:szCs w:val="20"/>
              </w:rPr>
              <w:t>a Slovinskem, ale před Řeckem i</w:t>
            </w:r>
            <w:r w:rsidR="00274037" w:rsidRPr="00360DE3">
              <w:t> </w:t>
            </w:r>
            <w:r w:rsidRPr="00360DE3">
              <w:rPr>
                <w:szCs w:val="20"/>
              </w:rPr>
              <w:t>Portugalskem). Česko naopak vyniká strukturou financování zdravotní péče – vysokým podílem veřejných zdrojů (83 %, po Německu, Dánsku a Švédsku čtvrtým nejvyšším v EU) a relativně nízkou spoluúčastí domácností, vč. soukromého pojištění (po Německu druhou nejnižší v EU).</w:t>
            </w:r>
          </w:p>
        </w:tc>
      </w:tr>
      <w:tr w:rsidR="0060404F" w:rsidRPr="00360DE3" w:rsidTr="00DC37E3">
        <w:trPr>
          <w:trHeight w:val="170"/>
        </w:trPr>
        <w:tc>
          <w:tcPr>
            <w:tcW w:w="1976" w:type="dxa"/>
          </w:tcPr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Průměrné procento dočasné pracovní neschopnosti se navyšovalo již pátým rokem v řadě, růstové tempo ale sláblo.</w:t>
            </w: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C37E3">
            <w:pPr>
              <w:pStyle w:val="Marginlie"/>
              <w:rPr>
                <w:spacing w:val="0"/>
              </w:rPr>
            </w:pPr>
          </w:p>
          <w:p w:rsidR="0060404F" w:rsidRPr="00360DE3" w:rsidRDefault="0060404F" w:rsidP="00DE4C19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Navzdory plynulému růstu státem </w:t>
            </w:r>
            <w:r w:rsidR="00DE4C19" w:rsidRPr="00360DE3">
              <w:rPr>
                <w:spacing w:val="0"/>
              </w:rPr>
              <w:t xml:space="preserve">vyplacených </w:t>
            </w:r>
            <w:r w:rsidRPr="00360DE3">
              <w:rPr>
                <w:spacing w:val="0"/>
              </w:rPr>
              <w:t>dávek nemocenského pojištění zůstal tento účet v přebytku.</w:t>
            </w:r>
          </w:p>
        </w:tc>
        <w:tc>
          <w:tcPr>
            <w:tcW w:w="277" w:type="dxa"/>
          </w:tcPr>
          <w:p w:rsidR="0060404F" w:rsidRPr="00360DE3" w:rsidRDefault="0060404F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60404F" w:rsidRPr="00360DE3" w:rsidRDefault="0060404F" w:rsidP="00DC37E3">
            <w:pPr>
              <w:spacing w:after="0"/>
              <w:rPr>
                <w:szCs w:val="20"/>
              </w:rPr>
            </w:pPr>
            <w:r w:rsidRPr="00360DE3">
              <w:rPr>
                <w:szCs w:val="20"/>
              </w:rPr>
              <w:t xml:space="preserve">Výdaje na zdravotní péči souvisí také se zdravotním stavem obyvatelstva. Přestože významná část výdajů je spojena se seniorskou populací, v roce 2016 směřovalo 51 % všech výdajů zdravotních pojišťoven na péči na osoby v produktivním věku (20 až 64 let). Vyšší nemocnost není jen zátěží pro veřejné finance, ale ovlivňuje i výrobní kapacity a konkurenceschopnost podniků. Průměrné procento </w:t>
            </w:r>
            <w:r w:rsidR="00A537F0">
              <w:rPr>
                <w:szCs w:val="20"/>
              </w:rPr>
              <w:t xml:space="preserve">celkové dočasné </w:t>
            </w:r>
            <w:r w:rsidRPr="00360DE3">
              <w:rPr>
                <w:szCs w:val="20"/>
              </w:rPr>
              <w:t>pracovní neschopnosti, jehož vývoj nebyl na rozdíl od předchozí dekády výrazněji ovlivněn změ</w:t>
            </w:r>
            <w:r w:rsidR="00DE4C19">
              <w:rPr>
                <w:szCs w:val="20"/>
              </w:rPr>
              <w:t>nami legislativy, činilo vloni 4,26</w:t>
            </w:r>
            <w:r w:rsidRPr="00360DE3">
              <w:rPr>
                <w:szCs w:val="20"/>
              </w:rPr>
              <w:t xml:space="preserve"> % a rostlo již pátým rokem v řadě (tempo růstu však ochabovalo)</w:t>
            </w:r>
            <w:r w:rsidR="00A537F0">
              <w:rPr>
                <w:rStyle w:val="Znakapoznpodarou"/>
                <w:szCs w:val="20"/>
              </w:rPr>
              <w:footnoteReference w:id="14"/>
            </w:r>
            <w:r w:rsidRPr="00360DE3">
              <w:rPr>
                <w:szCs w:val="20"/>
              </w:rPr>
              <w:t xml:space="preserve">. Plynule se naopak zvyšovaly vyplacené dávky nemocenského pojištění, </w:t>
            </w:r>
            <w:proofErr w:type="spellStart"/>
            <w:r w:rsidRPr="00360DE3">
              <w:rPr>
                <w:szCs w:val="20"/>
              </w:rPr>
              <w:t>mj</w:t>
            </w:r>
            <w:proofErr w:type="spellEnd"/>
            <w:r w:rsidRPr="00360DE3">
              <w:rPr>
                <w:szCs w:val="20"/>
              </w:rPr>
              <w:t xml:space="preserve"> i vlivem vyššího počtu pojištěnců a růstu mezd (s dopadem na vyměřovací základy). Účet nemocenského pojištění zůstal nadále v mírném přebytku (vloni +3,1 mld. korun). Pracovní neschopnost tradičně vykazuje významné rozdíly mezi regiony i odvětvími</w:t>
            </w:r>
            <w:r w:rsidRPr="00360DE3">
              <w:rPr>
                <w:rStyle w:val="Znakapoznpodarou"/>
                <w:szCs w:val="20"/>
              </w:rPr>
              <w:footnoteReference w:id="15"/>
            </w:r>
            <w:r w:rsidRPr="00360DE3">
              <w:rPr>
                <w:szCs w:val="20"/>
              </w:rPr>
              <w:t xml:space="preserve">. </w:t>
            </w:r>
          </w:p>
        </w:tc>
      </w:tr>
    </w:tbl>
    <w:p w:rsidR="00F46502" w:rsidRPr="00360DE3" w:rsidRDefault="00F46502" w:rsidP="00BE6186"/>
    <w:sectPr w:rsidR="00F46502" w:rsidRPr="00360DE3" w:rsidSect="003D4E39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90" w:rsidRDefault="00D75190" w:rsidP="00E71A58">
      <w:r>
        <w:separator/>
      </w:r>
    </w:p>
  </w:endnote>
  <w:endnote w:type="continuationSeparator" w:id="0">
    <w:p w:rsidR="00D75190" w:rsidRDefault="00D7519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19C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57319C" w:rsidRPr="00932443">
      <w:rPr>
        <w:szCs w:val="16"/>
      </w:rPr>
      <w:fldChar w:fldCharType="separate"/>
    </w:r>
    <w:r w:rsidR="003D4E39">
      <w:rPr>
        <w:szCs w:val="16"/>
      </w:rPr>
      <w:t>86</w:t>
    </w:r>
    <w:r w:rsidR="0057319C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57319C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57319C" w:rsidRPr="00932443">
      <w:rPr>
        <w:rStyle w:val="ZpatChar"/>
        <w:szCs w:val="16"/>
      </w:rPr>
      <w:fldChar w:fldCharType="separate"/>
    </w:r>
    <w:r w:rsidR="003D4E39">
      <w:rPr>
        <w:rStyle w:val="ZpatChar"/>
        <w:szCs w:val="16"/>
      </w:rPr>
      <w:t>87</w:t>
    </w:r>
    <w:r w:rsidR="0057319C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90" w:rsidRDefault="00D75190" w:rsidP="00E71A58">
      <w:r>
        <w:separator/>
      </w:r>
    </w:p>
  </w:footnote>
  <w:footnote w:type="continuationSeparator" w:id="0">
    <w:p w:rsidR="00D75190" w:rsidRDefault="00D75190" w:rsidP="00E71A58">
      <w:r>
        <w:continuationSeparator/>
      </w:r>
    </w:p>
  </w:footnote>
  <w:footnote w:id="1">
    <w:p w:rsidR="00C805DC" w:rsidRPr="00CA0F97" w:rsidRDefault="00C805DC" w:rsidP="00082A55">
      <w:pPr>
        <w:spacing w:after="0" w:line="240" w:lineRule="auto"/>
        <w:rPr>
          <w:spacing w:val="-2"/>
          <w:sz w:val="16"/>
          <w:szCs w:val="16"/>
        </w:rPr>
      </w:pPr>
      <w:r w:rsidRPr="00CA0F97">
        <w:rPr>
          <w:rStyle w:val="Znakapoznpodarou"/>
          <w:sz w:val="16"/>
          <w:szCs w:val="16"/>
        </w:rPr>
        <w:footnoteRef/>
      </w:r>
      <w:r w:rsidRPr="00CA0F97">
        <w:rPr>
          <w:sz w:val="16"/>
          <w:szCs w:val="16"/>
        </w:rPr>
        <w:t xml:space="preserve"> </w:t>
      </w:r>
      <w:r w:rsidRPr="003B7579">
        <w:rPr>
          <w:spacing w:val="-2"/>
          <w:sz w:val="16"/>
          <w:szCs w:val="16"/>
        </w:rPr>
        <w:t>Pokud</w:t>
      </w:r>
      <w:r w:rsidRPr="00A918BF">
        <w:rPr>
          <w:spacing w:val="-2"/>
          <w:sz w:val="16"/>
          <w:szCs w:val="16"/>
        </w:rPr>
        <w:t xml:space="preserve"> není uvedeno jinak, vychází všechny údaje v této kapitole z dat národních účtů</w:t>
      </w:r>
      <w:r w:rsidR="003B4331">
        <w:rPr>
          <w:spacing w:val="-2"/>
          <w:sz w:val="16"/>
          <w:szCs w:val="16"/>
        </w:rPr>
        <w:t>,</w:t>
      </w:r>
      <w:r w:rsidRPr="00A918BF">
        <w:rPr>
          <w:spacing w:val="-2"/>
          <w:sz w:val="16"/>
          <w:szCs w:val="16"/>
        </w:rPr>
        <w:t xml:space="preserve"> a kde je to relevantní, jsou očištěny o cenové vlivy.</w:t>
      </w:r>
      <w:r>
        <w:rPr>
          <w:spacing w:val="-2"/>
          <w:sz w:val="16"/>
          <w:szCs w:val="16"/>
        </w:rPr>
        <w:t xml:space="preserve"> Za </w:t>
      </w:r>
      <w:r w:rsidRPr="00CA0F97">
        <w:rPr>
          <w:sz w:val="16"/>
          <w:szCs w:val="16"/>
        </w:rPr>
        <w:t xml:space="preserve">veřejné služby </w:t>
      </w:r>
      <w:r>
        <w:rPr>
          <w:sz w:val="16"/>
          <w:szCs w:val="16"/>
        </w:rPr>
        <w:t xml:space="preserve">jsou zde </w:t>
      </w:r>
      <w:r w:rsidRPr="00CA0F97">
        <w:rPr>
          <w:sz w:val="16"/>
          <w:szCs w:val="16"/>
        </w:rPr>
        <w:t xml:space="preserve">považovány aktivity spadající do odvětví (dle klasifikace CZ-NACE): </w:t>
      </w:r>
      <w:r w:rsidRPr="00CA0F97">
        <w:rPr>
          <w:spacing w:val="-2"/>
          <w:sz w:val="16"/>
          <w:szCs w:val="16"/>
        </w:rPr>
        <w:t>Veřejná správa a obrana, povinné sociální zabezpečení (O)</w:t>
      </w:r>
      <w:r>
        <w:rPr>
          <w:spacing w:val="-2"/>
          <w:sz w:val="16"/>
          <w:szCs w:val="16"/>
        </w:rPr>
        <w:t xml:space="preserve">, </w:t>
      </w:r>
      <w:r w:rsidRPr="00CA0F97">
        <w:rPr>
          <w:spacing w:val="-2"/>
          <w:sz w:val="16"/>
          <w:szCs w:val="16"/>
        </w:rPr>
        <w:t>Vzdělávání</w:t>
      </w:r>
      <w:r>
        <w:rPr>
          <w:spacing w:val="-2"/>
          <w:sz w:val="16"/>
          <w:szCs w:val="16"/>
        </w:rPr>
        <w:t xml:space="preserve"> (P), </w:t>
      </w:r>
      <w:r w:rsidRPr="00CA0F97">
        <w:rPr>
          <w:spacing w:val="-2"/>
          <w:sz w:val="16"/>
          <w:szCs w:val="16"/>
        </w:rPr>
        <w:t>Zdravotní péče</w:t>
      </w:r>
      <w:r>
        <w:rPr>
          <w:spacing w:val="-2"/>
          <w:sz w:val="16"/>
          <w:szCs w:val="16"/>
        </w:rPr>
        <w:t xml:space="preserve"> (Q86), Pobytové služby sociální péče (Q87), A</w:t>
      </w:r>
      <w:r w:rsidRPr="00CA0F97">
        <w:rPr>
          <w:spacing w:val="-2"/>
          <w:sz w:val="16"/>
          <w:szCs w:val="16"/>
        </w:rPr>
        <w:t>mbulantní nebo terénní sociální služby</w:t>
      </w:r>
      <w:r>
        <w:rPr>
          <w:spacing w:val="-2"/>
          <w:sz w:val="16"/>
          <w:szCs w:val="16"/>
        </w:rPr>
        <w:t xml:space="preserve"> (Q88),</w:t>
      </w:r>
      <w:r w:rsidRPr="00CA0F97">
        <w:rPr>
          <w:spacing w:val="-2"/>
          <w:sz w:val="16"/>
          <w:szCs w:val="16"/>
        </w:rPr>
        <w:t xml:space="preserve"> </w:t>
      </w:r>
      <w:r w:rsidRPr="00B63057">
        <w:rPr>
          <w:spacing w:val="-2"/>
          <w:sz w:val="16"/>
          <w:szCs w:val="16"/>
        </w:rPr>
        <w:t>Tvůrčí, umělecké a zábavní činnosti</w:t>
      </w:r>
      <w:r>
        <w:rPr>
          <w:spacing w:val="-2"/>
          <w:sz w:val="16"/>
          <w:szCs w:val="16"/>
        </w:rPr>
        <w:t xml:space="preserve"> (</w:t>
      </w:r>
      <w:r w:rsidRPr="00CA0F97">
        <w:rPr>
          <w:spacing w:val="-2"/>
          <w:sz w:val="16"/>
          <w:szCs w:val="16"/>
        </w:rPr>
        <w:t>R90</w:t>
      </w:r>
      <w:r>
        <w:rPr>
          <w:spacing w:val="-2"/>
          <w:sz w:val="16"/>
          <w:szCs w:val="16"/>
        </w:rPr>
        <w:t>)</w:t>
      </w:r>
      <w:r w:rsidRPr="00CA0F97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a </w:t>
      </w:r>
      <w:r w:rsidRPr="00B63057">
        <w:rPr>
          <w:spacing w:val="-2"/>
          <w:sz w:val="16"/>
          <w:szCs w:val="16"/>
        </w:rPr>
        <w:t>Činnosti knihoven, archivů, muzeí a jiných kulturních zařízení</w:t>
      </w:r>
      <w:r>
        <w:rPr>
          <w:spacing w:val="-2"/>
          <w:sz w:val="16"/>
          <w:szCs w:val="16"/>
        </w:rPr>
        <w:t xml:space="preserve"> (Q91). Tato odvětví se vyznačují klíčovou rolí sektoru vládních institucí (je v rámci nich nejvýznamnějším tvůrcem HPH). Výjimkou jsou jen odvětví A</w:t>
      </w:r>
      <w:r w:rsidRPr="00F2731A">
        <w:rPr>
          <w:spacing w:val="-2"/>
          <w:sz w:val="16"/>
          <w:szCs w:val="16"/>
        </w:rPr>
        <w:t>mbulantní nebo terénní sociální</w:t>
      </w:r>
      <w:r>
        <w:rPr>
          <w:spacing w:val="-2"/>
          <w:sz w:val="16"/>
          <w:szCs w:val="16"/>
        </w:rPr>
        <w:t xml:space="preserve"> služby, kde dominují neziskové instituce sloužící domácnostem (NISD). Bylo však zařazeno z důvodu silných dotačních vazeb na veřejné zdroje financování a také s ohledem na svou logickou návaznost na odvětví zdravotnictví. Mezi veřejné služby nebyly naopak včleněny dvě odvětví s převažující rolí </w:t>
      </w:r>
      <w:r w:rsidR="003B4331">
        <w:rPr>
          <w:spacing w:val="-2"/>
          <w:sz w:val="16"/>
          <w:szCs w:val="16"/>
        </w:rPr>
        <w:t>sektoru vládních institucí</w:t>
      </w:r>
      <w:r>
        <w:rPr>
          <w:spacing w:val="-2"/>
          <w:sz w:val="16"/>
          <w:szCs w:val="16"/>
        </w:rPr>
        <w:t>, ale zároveň i silným postavení podnikové sféry - s</w:t>
      </w:r>
      <w:r w:rsidRPr="00F2731A">
        <w:rPr>
          <w:spacing w:val="-2"/>
          <w:sz w:val="16"/>
          <w:szCs w:val="16"/>
        </w:rPr>
        <w:t>kladování a vedlejší činnosti v</w:t>
      </w:r>
      <w:r>
        <w:rPr>
          <w:spacing w:val="-2"/>
          <w:sz w:val="16"/>
          <w:szCs w:val="16"/>
        </w:rPr>
        <w:t> </w:t>
      </w:r>
      <w:r w:rsidRPr="00F2731A">
        <w:rPr>
          <w:spacing w:val="-2"/>
          <w:sz w:val="16"/>
          <w:szCs w:val="16"/>
        </w:rPr>
        <w:t>dopravě</w:t>
      </w:r>
      <w:r>
        <w:rPr>
          <w:spacing w:val="-2"/>
          <w:sz w:val="16"/>
          <w:szCs w:val="16"/>
        </w:rPr>
        <w:t xml:space="preserve"> (H52) a věda a výzkum (M72). Konečně nebylo zařazeno ani odvětví </w:t>
      </w:r>
      <w:r w:rsidRPr="00815B09">
        <w:rPr>
          <w:spacing w:val="-2"/>
          <w:sz w:val="16"/>
          <w:szCs w:val="16"/>
        </w:rPr>
        <w:t>Činnosti organizací sdružujících osoby za účelem prosazování společných zájmů</w:t>
      </w:r>
      <w:r>
        <w:rPr>
          <w:spacing w:val="-2"/>
          <w:sz w:val="16"/>
          <w:szCs w:val="16"/>
        </w:rPr>
        <w:t xml:space="preserve"> (S94, např. náboženské a politické organizace, odborové svazy), ve kterém výrazně dominují NISD.</w:t>
      </w:r>
    </w:p>
  </w:footnote>
  <w:footnote w:id="2">
    <w:p w:rsidR="00C805DC" w:rsidRPr="000B34C9" w:rsidRDefault="00C805DC" w:rsidP="0060404F">
      <w:pPr>
        <w:pStyle w:val="Textpoznpodarou"/>
        <w:jc w:val="both"/>
        <w:rPr>
          <w:sz w:val="16"/>
          <w:szCs w:val="16"/>
        </w:rPr>
      </w:pPr>
      <w:r w:rsidRPr="000B34C9">
        <w:rPr>
          <w:rStyle w:val="Znakapoznpodarou"/>
          <w:sz w:val="16"/>
          <w:szCs w:val="16"/>
        </w:rPr>
        <w:footnoteRef/>
      </w:r>
      <w:r w:rsidRPr="000B34C9">
        <w:rPr>
          <w:sz w:val="16"/>
          <w:szCs w:val="16"/>
        </w:rPr>
        <w:t xml:space="preserve"> Podíl </w:t>
      </w:r>
      <w:proofErr w:type="spellStart"/>
      <w:r w:rsidRPr="000B34C9">
        <w:rPr>
          <w:sz w:val="16"/>
          <w:szCs w:val="16"/>
        </w:rPr>
        <w:t>mezispotřeby</w:t>
      </w:r>
      <w:proofErr w:type="spellEnd"/>
      <w:r w:rsidRPr="000B34C9">
        <w:rPr>
          <w:sz w:val="16"/>
          <w:szCs w:val="16"/>
        </w:rPr>
        <w:t xml:space="preserve"> na celkové produkci je ve veřejných službách dlouhodobě nejnižší ze všech hlavních odvětví ekonomiky. V roce 2017 činil ve zdravotnictví 0,36, ve veřejné správě, obraně a povinném sociálním zabezpečení 0,31 a ve vzdělávání dokonce jen 0,21.</w:t>
      </w:r>
    </w:p>
  </w:footnote>
  <w:footnote w:id="3">
    <w:p w:rsidR="00C805DC" w:rsidRPr="00493160" w:rsidRDefault="00C805DC" w:rsidP="0060404F">
      <w:pPr>
        <w:pStyle w:val="Textpoznpodarou"/>
        <w:jc w:val="both"/>
        <w:rPr>
          <w:sz w:val="16"/>
          <w:szCs w:val="16"/>
        </w:rPr>
      </w:pPr>
      <w:r w:rsidRPr="00493160">
        <w:rPr>
          <w:rStyle w:val="Znakapoznpodarou"/>
          <w:sz w:val="16"/>
          <w:szCs w:val="16"/>
        </w:rPr>
        <w:footnoteRef/>
      </w:r>
      <w:r w:rsidRPr="00493160">
        <w:rPr>
          <w:sz w:val="16"/>
          <w:szCs w:val="16"/>
        </w:rPr>
        <w:t xml:space="preserve"> S výjimkou odvětví zdravotní péče a tvůrčích, uměleckých a zábavních činností se praktický veškerá HPH ve veřejných službách „přelévá“ do náhrad zaměstnancům (mezd platů a povinných odvodů na sociálním pojistném). </w:t>
      </w:r>
    </w:p>
  </w:footnote>
  <w:footnote w:id="4">
    <w:p w:rsidR="00C805DC" w:rsidRPr="00715C4E" w:rsidRDefault="00C805DC" w:rsidP="00082A55">
      <w:pPr>
        <w:pStyle w:val="Textpoznpodarou"/>
        <w:jc w:val="both"/>
        <w:rPr>
          <w:sz w:val="16"/>
          <w:szCs w:val="16"/>
        </w:rPr>
      </w:pPr>
      <w:r w:rsidRPr="00715C4E">
        <w:rPr>
          <w:rStyle w:val="Znakapoznpodarou"/>
          <w:sz w:val="16"/>
          <w:szCs w:val="16"/>
        </w:rPr>
        <w:footnoteRef/>
      </w:r>
      <w:r w:rsidRPr="00715C4E">
        <w:rPr>
          <w:sz w:val="16"/>
          <w:szCs w:val="16"/>
        </w:rPr>
        <w:t xml:space="preserve"> Ve srovnání s konjunkturním rokem 2007 se reálné výdaje na mzdy a platy ve veřejných službách zvýšily o 26 %, zatímco v celé ekonomice o 20 %. Příčinou disproporce je silnější reakce podnikové sféry na nepříznivý vývoj ekonomiky v roce 2009.</w:t>
      </w:r>
    </w:p>
  </w:footnote>
  <w:footnote w:id="5">
    <w:p w:rsidR="00C805DC" w:rsidRPr="00A51FDE" w:rsidRDefault="00C805DC" w:rsidP="00082A55">
      <w:pPr>
        <w:pStyle w:val="Textpoznpodarou"/>
        <w:rPr>
          <w:color w:val="0D0D0D" w:themeColor="text1" w:themeTint="F2"/>
          <w:sz w:val="16"/>
          <w:szCs w:val="16"/>
        </w:rPr>
      </w:pPr>
      <w:r w:rsidRPr="00A51FD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A51FDE">
        <w:rPr>
          <w:color w:val="0D0D0D" w:themeColor="text1" w:themeTint="F2"/>
          <w:sz w:val="16"/>
          <w:szCs w:val="16"/>
        </w:rPr>
        <w:t xml:space="preserve"> Po přepočtu na plné úvazky. Údaje o zaměstnanosti i mzdách vychází z pojetí národních účtů. </w:t>
      </w:r>
      <w:r w:rsidRPr="00A51FDE">
        <w:rPr>
          <w:iCs/>
          <w:color w:val="0D0D0D" w:themeColor="text1" w:themeTint="F2"/>
          <w:sz w:val="16"/>
          <w:szCs w:val="16"/>
        </w:rPr>
        <w:t xml:space="preserve">Objem mezd a platů zahrnuje veškeré příjmy ze zaměstnání, a to v peněžní i naturální podobě (zaměstnanecké </w:t>
      </w:r>
      <w:proofErr w:type="spellStart"/>
      <w:r w:rsidRPr="00A51FDE">
        <w:rPr>
          <w:iCs/>
          <w:color w:val="0D0D0D" w:themeColor="text1" w:themeTint="F2"/>
          <w:sz w:val="16"/>
          <w:szCs w:val="16"/>
        </w:rPr>
        <w:t>benefity</w:t>
      </w:r>
      <w:proofErr w:type="spellEnd"/>
      <w:r w:rsidRPr="00A51FDE">
        <w:rPr>
          <w:iCs/>
          <w:color w:val="0D0D0D" w:themeColor="text1" w:themeTint="F2"/>
          <w:sz w:val="16"/>
          <w:szCs w:val="16"/>
        </w:rPr>
        <w:t>) bez ohledu na to, jestli byly oficiálně přiznány.</w:t>
      </w:r>
    </w:p>
  </w:footnote>
  <w:footnote w:id="6">
    <w:p w:rsidR="00C805DC" w:rsidRPr="00502826" w:rsidRDefault="00C805DC" w:rsidP="00082A55">
      <w:pPr>
        <w:pStyle w:val="Textpoznpodarou"/>
        <w:jc w:val="both"/>
        <w:rPr>
          <w:spacing w:val="-2"/>
          <w:sz w:val="16"/>
          <w:szCs w:val="16"/>
        </w:rPr>
      </w:pPr>
      <w:r w:rsidRPr="00502826">
        <w:rPr>
          <w:rStyle w:val="Znakapoznpodarou"/>
          <w:spacing w:val="-2"/>
          <w:sz w:val="16"/>
          <w:szCs w:val="16"/>
        </w:rPr>
        <w:footnoteRef/>
      </w:r>
      <w:r w:rsidRPr="00502826">
        <w:rPr>
          <w:spacing w:val="-2"/>
          <w:sz w:val="16"/>
          <w:szCs w:val="16"/>
        </w:rPr>
        <w:t xml:space="preserve"> Vysoké průměrné výdělky v tomto odvětví souvisely </w:t>
      </w:r>
      <w:r>
        <w:rPr>
          <w:spacing w:val="-2"/>
          <w:sz w:val="16"/>
          <w:szCs w:val="16"/>
        </w:rPr>
        <w:t xml:space="preserve">také </w:t>
      </w:r>
      <w:r w:rsidRPr="00502826">
        <w:rPr>
          <w:spacing w:val="-2"/>
          <w:sz w:val="16"/>
          <w:szCs w:val="16"/>
        </w:rPr>
        <w:t xml:space="preserve">s širším pojetím mezd </w:t>
      </w:r>
      <w:r>
        <w:rPr>
          <w:spacing w:val="-2"/>
          <w:sz w:val="16"/>
          <w:szCs w:val="16"/>
        </w:rPr>
        <w:t xml:space="preserve">a platů </w:t>
      </w:r>
      <w:r w:rsidRPr="00502826">
        <w:rPr>
          <w:spacing w:val="-2"/>
          <w:sz w:val="16"/>
          <w:szCs w:val="16"/>
        </w:rPr>
        <w:t xml:space="preserve">než v podnikové statistice. </w:t>
      </w:r>
      <w:r>
        <w:rPr>
          <w:spacing w:val="-2"/>
          <w:sz w:val="16"/>
          <w:szCs w:val="16"/>
        </w:rPr>
        <w:t>Jsou zde zahrnuty i</w:t>
      </w:r>
      <w:r w:rsidRPr="00502826">
        <w:rPr>
          <w:spacing w:val="-2"/>
          <w:sz w:val="16"/>
          <w:szCs w:val="16"/>
        </w:rPr>
        <w:t xml:space="preserve"> zaměstnanecké </w:t>
      </w:r>
      <w:proofErr w:type="spellStart"/>
      <w:r w:rsidRPr="00502826">
        <w:rPr>
          <w:spacing w:val="-2"/>
          <w:sz w:val="16"/>
          <w:szCs w:val="16"/>
        </w:rPr>
        <w:t>benefity</w:t>
      </w:r>
      <w:proofErr w:type="spellEnd"/>
      <w:r w:rsidRPr="00502826">
        <w:rPr>
          <w:spacing w:val="-2"/>
          <w:sz w:val="16"/>
          <w:szCs w:val="16"/>
        </w:rPr>
        <w:t xml:space="preserve"> (v peněžní i naturální podobě). Výši výdělků ovlivňuje i skutečnost, že v tomto odvětví jako</w:t>
      </w:r>
      <w:r>
        <w:rPr>
          <w:spacing w:val="-2"/>
          <w:sz w:val="16"/>
          <w:szCs w:val="16"/>
        </w:rPr>
        <w:t xml:space="preserve"> v</w:t>
      </w:r>
      <w:r w:rsidRPr="00502826">
        <w:rPr>
          <w:spacing w:val="-2"/>
          <w:sz w:val="16"/>
          <w:szCs w:val="16"/>
        </w:rPr>
        <w:t xml:space="preserve"> jediném z veřejných </w:t>
      </w:r>
      <w:r>
        <w:rPr>
          <w:spacing w:val="-2"/>
          <w:sz w:val="16"/>
          <w:szCs w:val="16"/>
        </w:rPr>
        <w:t>služeb počet zaměstnanců</w:t>
      </w:r>
      <w:r w:rsidRPr="00502826">
        <w:rPr>
          <w:spacing w:val="-2"/>
          <w:sz w:val="16"/>
          <w:szCs w:val="16"/>
        </w:rPr>
        <w:t xml:space="preserve"> za posledních dese</w:t>
      </w:r>
      <w:r>
        <w:rPr>
          <w:spacing w:val="-2"/>
          <w:sz w:val="16"/>
          <w:szCs w:val="16"/>
        </w:rPr>
        <w:t>t let kles</w:t>
      </w:r>
      <w:r w:rsidRPr="00502826">
        <w:rPr>
          <w:spacing w:val="-2"/>
          <w:sz w:val="16"/>
          <w:szCs w:val="16"/>
        </w:rPr>
        <w:t>a</w:t>
      </w:r>
      <w:r>
        <w:rPr>
          <w:spacing w:val="-2"/>
          <w:sz w:val="16"/>
          <w:szCs w:val="16"/>
        </w:rPr>
        <w:t>l</w:t>
      </w:r>
      <w:r w:rsidRPr="00502826">
        <w:rPr>
          <w:spacing w:val="-2"/>
          <w:sz w:val="16"/>
          <w:szCs w:val="16"/>
        </w:rPr>
        <w:t xml:space="preserve"> (o 3,2 %). </w:t>
      </w:r>
      <w:r>
        <w:rPr>
          <w:spacing w:val="-2"/>
          <w:sz w:val="16"/>
          <w:szCs w:val="16"/>
        </w:rPr>
        <w:t>Naopak např. v oblasti zdravotní péče byl vloni vyšší o pětinu a v úhrnu za veřejné služby o 8,6 %.</w:t>
      </w:r>
    </w:p>
  </w:footnote>
  <w:footnote w:id="7">
    <w:p w:rsidR="00C805DC" w:rsidRPr="00287778" w:rsidRDefault="00C805DC" w:rsidP="00082A55">
      <w:pPr>
        <w:pStyle w:val="Textpoznpodarou"/>
        <w:jc w:val="both"/>
        <w:rPr>
          <w:sz w:val="16"/>
          <w:szCs w:val="16"/>
        </w:rPr>
      </w:pPr>
      <w:r w:rsidRPr="00287778">
        <w:rPr>
          <w:rStyle w:val="Znakapoznpodarou"/>
          <w:sz w:val="16"/>
          <w:szCs w:val="16"/>
        </w:rPr>
        <w:footnoteRef/>
      </w:r>
      <w:r w:rsidRPr="00287778">
        <w:rPr>
          <w:sz w:val="16"/>
          <w:szCs w:val="16"/>
        </w:rPr>
        <w:t xml:space="preserve"> Dle údajů ze strukturální mzdové statistiky tvořili vloni lidé s v</w:t>
      </w:r>
      <w:r>
        <w:rPr>
          <w:sz w:val="16"/>
          <w:szCs w:val="16"/>
        </w:rPr>
        <w:t xml:space="preserve">ysokoškolským vzděláním 56 % </w:t>
      </w:r>
      <w:r w:rsidRPr="00287778">
        <w:rPr>
          <w:sz w:val="16"/>
          <w:szCs w:val="16"/>
        </w:rPr>
        <w:t xml:space="preserve">všech zaměstnanců ve vzdělávání (nejvíce ze všech dvaceti hlavních odvětví ekonomiky). Výrazně nadprůměrný byl tento podíl i ve </w:t>
      </w:r>
      <w:r w:rsidRPr="00287778">
        <w:rPr>
          <w:spacing w:val="-2"/>
          <w:sz w:val="16"/>
          <w:szCs w:val="16"/>
        </w:rPr>
        <w:t>veřejné správě, obraně a povinném sociálním zabezpečení (41 %), v oblasti zdravotnictví a kultury se shodně pohyboval blízko 30 %.</w:t>
      </w:r>
    </w:p>
  </w:footnote>
  <w:footnote w:id="8">
    <w:p w:rsidR="00C805DC" w:rsidRPr="00E6091C" w:rsidRDefault="00C805DC" w:rsidP="00082A55">
      <w:pPr>
        <w:pStyle w:val="Textpoznpodarou"/>
        <w:rPr>
          <w:sz w:val="16"/>
          <w:szCs w:val="16"/>
        </w:rPr>
      </w:pPr>
      <w:r w:rsidRPr="00E6091C">
        <w:rPr>
          <w:rStyle w:val="Znakapoznpodarou"/>
          <w:sz w:val="16"/>
          <w:szCs w:val="16"/>
        </w:rPr>
        <w:footnoteRef/>
      </w:r>
      <w:r w:rsidRPr="00E6091C">
        <w:rPr>
          <w:sz w:val="16"/>
          <w:szCs w:val="16"/>
        </w:rPr>
        <w:t xml:space="preserve"> Pro tyto účely je vymezena odvětvími NACE: O, P a Q (</w:t>
      </w:r>
      <w:proofErr w:type="spellStart"/>
      <w:r w:rsidRPr="00E6091C">
        <w:rPr>
          <w:sz w:val="16"/>
          <w:szCs w:val="16"/>
        </w:rPr>
        <w:t>tj</w:t>
      </w:r>
      <w:proofErr w:type="spellEnd"/>
      <w:r w:rsidRPr="00E6091C">
        <w:rPr>
          <w:sz w:val="16"/>
          <w:szCs w:val="16"/>
        </w:rPr>
        <w:t>, bez oblasti kultury).</w:t>
      </w:r>
    </w:p>
  </w:footnote>
  <w:footnote w:id="9">
    <w:p w:rsidR="00C805DC" w:rsidRPr="0068776E" w:rsidRDefault="00C805DC" w:rsidP="00082A55">
      <w:pPr>
        <w:pStyle w:val="Textpoznpodarou"/>
        <w:jc w:val="both"/>
        <w:rPr>
          <w:spacing w:val="-2"/>
          <w:sz w:val="16"/>
          <w:szCs w:val="16"/>
        </w:rPr>
      </w:pPr>
      <w:r w:rsidRPr="0068776E">
        <w:rPr>
          <w:rStyle w:val="Znakapoznpodarou"/>
          <w:spacing w:val="-2"/>
          <w:sz w:val="16"/>
          <w:szCs w:val="16"/>
        </w:rPr>
        <w:footnoteRef/>
      </w:r>
      <w:r w:rsidRPr="0068776E">
        <w:rPr>
          <w:spacing w:val="-2"/>
          <w:sz w:val="16"/>
          <w:szCs w:val="16"/>
        </w:rPr>
        <w:t xml:space="preserve"> Slabší postavení veřejných služeb v těchto státech (EU13) zčásti souvisí s významnou rolí průmyslových podniků po</w:t>
      </w:r>
      <w:r>
        <w:rPr>
          <w:spacing w:val="-2"/>
          <w:sz w:val="16"/>
          <w:szCs w:val="16"/>
        </w:rPr>
        <w:t>d</w:t>
      </w:r>
      <w:r w:rsidRPr="0068776E">
        <w:rPr>
          <w:spacing w:val="-2"/>
          <w:sz w:val="16"/>
          <w:szCs w:val="16"/>
        </w:rPr>
        <w:t xml:space="preserve"> zahraniční kontrolou. Relativní posilování průmyslu v některých (zejména balkánských státech) je motivováno využitím levné pracovní síly. Avšak i když vztáhneme např. HPH ve veřejných službách jen k celému terciárnímu sektoru, dosahovaly v roce 2016 ze zemí EU13 nadprůměrných hodnot jen Maďarsko (29 %), Slovinsko (27,3 %) a Slovensko (27,2 %). V celé EU činil tento podíl 26,6 %, v Česku 25,7 %.</w:t>
      </w:r>
    </w:p>
  </w:footnote>
  <w:footnote w:id="10">
    <w:p w:rsidR="00C805DC" w:rsidRPr="003365AB" w:rsidRDefault="00C805DC" w:rsidP="00082A55">
      <w:pPr>
        <w:pStyle w:val="Textpoznpodarou"/>
        <w:jc w:val="both"/>
        <w:rPr>
          <w:spacing w:val="-2"/>
          <w:sz w:val="16"/>
          <w:szCs w:val="16"/>
        </w:rPr>
      </w:pPr>
      <w:r w:rsidRPr="003365AB">
        <w:rPr>
          <w:rStyle w:val="Znakapoznpodarou"/>
          <w:spacing w:val="-2"/>
          <w:sz w:val="16"/>
          <w:szCs w:val="16"/>
        </w:rPr>
        <w:footnoteRef/>
      </w:r>
      <w:r w:rsidRPr="003365AB">
        <w:rPr>
          <w:spacing w:val="-2"/>
          <w:sz w:val="16"/>
          <w:szCs w:val="16"/>
        </w:rPr>
        <w:t xml:space="preserve"> Údaje vychází ze zdravotnických účtů sestavovaných dle metodického manuálu SHA 2011 (</w:t>
      </w:r>
      <w:proofErr w:type="spellStart"/>
      <w:r w:rsidRPr="003365AB">
        <w:rPr>
          <w:i/>
          <w:spacing w:val="-2"/>
          <w:sz w:val="16"/>
          <w:szCs w:val="16"/>
        </w:rPr>
        <w:t>System</w:t>
      </w:r>
      <w:proofErr w:type="spellEnd"/>
      <w:r w:rsidRPr="003365AB">
        <w:rPr>
          <w:i/>
          <w:spacing w:val="-2"/>
          <w:sz w:val="16"/>
          <w:szCs w:val="16"/>
        </w:rPr>
        <w:t xml:space="preserve"> </w:t>
      </w:r>
      <w:proofErr w:type="spellStart"/>
      <w:r w:rsidRPr="003365AB">
        <w:rPr>
          <w:i/>
          <w:spacing w:val="-2"/>
          <w:sz w:val="16"/>
          <w:szCs w:val="16"/>
        </w:rPr>
        <w:t>of</w:t>
      </w:r>
      <w:proofErr w:type="spellEnd"/>
      <w:r w:rsidRPr="003365AB">
        <w:rPr>
          <w:i/>
          <w:spacing w:val="-2"/>
          <w:sz w:val="16"/>
          <w:szCs w:val="16"/>
        </w:rPr>
        <w:t xml:space="preserve"> </w:t>
      </w:r>
      <w:proofErr w:type="spellStart"/>
      <w:r w:rsidRPr="003365AB">
        <w:rPr>
          <w:i/>
          <w:spacing w:val="-2"/>
          <w:sz w:val="16"/>
          <w:szCs w:val="16"/>
        </w:rPr>
        <w:t>Health</w:t>
      </w:r>
      <w:proofErr w:type="spellEnd"/>
      <w:r w:rsidRPr="003365AB">
        <w:rPr>
          <w:i/>
          <w:spacing w:val="-2"/>
          <w:sz w:val="16"/>
          <w:szCs w:val="16"/>
        </w:rPr>
        <w:t xml:space="preserve"> </w:t>
      </w:r>
      <w:proofErr w:type="spellStart"/>
      <w:r w:rsidRPr="003365AB">
        <w:rPr>
          <w:i/>
          <w:spacing w:val="-2"/>
          <w:sz w:val="16"/>
          <w:szCs w:val="16"/>
        </w:rPr>
        <w:t>Accounts</w:t>
      </w:r>
      <w:proofErr w:type="spellEnd"/>
      <w:r w:rsidRPr="003365AB">
        <w:rPr>
          <w:spacing w:val="-2"/>
          <w:sz w:val="16"/>
          <w:szCs w:val="16"/>
        </w:rPr>
        <w:t>) v mezinárodně srovnatelné metodice. Věcně srovnatelné údaje pokrývají období 2010 až 2016</w:t>
      </w:r>
      <w:r>
        <w:rPr>
          <w:spacing w:val="-2"/>
          <w:sz w:val="16"/>
          <w:szCs w:val="16"/>
        </w:rPr>
        <w:t xml:space="preserve"> (údaje za rok 2016 jsou předběžné). </w:t>
      </w:r>
      <w:r w:rsidRPr="003365AB">
        <w:rPr>
          <w:spacing w:val="-2"/>
          <w:sz w:val="16"/>
          <w:szCs w:val="16"/>
        </w:rPr>
        <w:t>Do zdravotnických účtů jsou zahrnovány jen neinvestiční výdaje související se zdravotní péčí o obyvatele s českým státním občanstvím na území ČR.</w:t>
      </w:r>
    </w:p>
  </w:footnote>
  <w:footnote w:id="11">
    <w:p w:rsidR="00C805DC" w:rsidRPr="00FD0492" w:rsidRDefault="00C805DC" w:rsidP="00082A55">
      <w:pPr>
        <w:pStyle w:val="Textpoznpodarou"/>
        <w:jc w:val="both"/>
        <w:rPr>
          <w:sz w:val="16"/>
          <w:szCs w:val="16"/>
        </w:rPr>
      </w:pPr>
      <w:r w:rsidRPr="00FD0492">
        <w:rPr>
          <w:rStyle w:val="Znakapoznpodarou"/>
          <w:sz w:val="16"/>
          <w:szCs w:val="16"/>
        </w:rPr>
        <w:footnoteRef/>
      </w:r>
      <w:r w:rsidRPr="00FD0492">
        <w:rPr>
          <w:sz w:val="16"/>
          <w:szCs w:val="16"/>
        </w:rPr>
        <w:t xml:space="preserve"> Je urč</w:t>
      </w:r>
      <w:r>
        <w:rPr>
          <w:sz w:val="16"/>
          <w:szCs w:val="16"/>
        </w:rPr>
        <w:t xml:space="preserve">ena chronicky nemocným (primárně </w:t>
      </w:r>
      <w:r w:rsidRPr="00FD0492">
        <w:rPr>
          <w:sz w:val="16"/>
          <w:szCs w:val="16"/>
        </w:rPr>
        <w:t xml:space="preserve">lidem v seniorském věku a ostatním osobám s tělesným </w:t>
      </w:r>
      <w:r>
        <w:rPr>
          <w:sz w:val="16"/>
          <w:szCs w:val="16"/>
        </w:rPr>
        <w:t>či duševním postižením). Zahrnuje dlouhodobou lůžkovou péči v institucionálních zařízeních, dlouhodobou denní péči, stacionáře, centra denních služeb, ale i sociální služby (zejm. chráněné bydlení, sociální rehabilitace) a peněžité dávky (příspěvek na péči, mobilitu či zvláštní pomůcky).</w:t>
      </w:r>
    </w:p>
  </w:footnote>
  <w:footnote w:id="12">
    <w:p w:rsidR="00C805DC" w:rsidRPr="000857B8" w:rsidRDefault="00C805DC" w:rsidP="00082A55">
      <w:pPr>
        <w:pStyle w:val="Textpoznpodarou"/>
        <w:jc w:val="both"/>
        <w:rPr>
          <w:sz w:val="16"/>
          <w:szCs w:val="16"/>
        </w:rPr>
      </w:pPr>
      <w:r w:rsidRPr="000857B8">
        <w:rPr>
          <w:rStyle w:val="Znakapoznpodarou"/>
          <w:sz w:val="16"/>
          <w:szCs w:val="16"/>
        </w:rPr>
        <w:footnoteRef/>
      </w:r>
      <w:r w:rsidRPr="000857B8">
        <w:rPr>
          <w:sz w:val="16"/>
          <w:szCs w:val="16"/>
        </w:rPr>
        <w:t xml:space="preserve"> Redukce souvisí zejména s dlouhodobým snižováním počtu akutních nemocničních lůžek a lůžek v odborných léčebných ústavech. </w:t>
      </w:r>
      <w:r>
        <w:rPr>
          <w:sz w:val="16"/>
          <w:szCs w:val="16"/>
        </w:rPr>
        <w:t xml:space="preserve">Mírně se snižuje také průměrná ošetřovací doba v zařízeních (ta v nemocnicích klesla mezi roky 2010 a 2016 ze 7,3 na 6,2 dne). </w:t>
      </w:r>
    </w:p>
  </w:footnote>
  <w:footnote w:id="13">
    <w:p w:rsidR="00C805DC" w:rsidRPr="00A21902" w:rsidRDefault="00C805DC" w:rsidP="00082A55">
      <w:pPr>
        <w:pStyle w:val="Textpoznpodarou"/>
        <w:jc w:val="both"/>
        <w:rPr>
          <w:spacing w:val="-2"/>
          <w:sz w:val="16"/>
          <w:szCs w:val="16"/>
        </w:rPr>
      </w:pPr>
      <w:r w:rsidRPr="00A21902">
        <w:rPr>
          <w:rStyle w:val="Znakapoznpodarou"/>
          <w:spacing w:val="-2"/>
          <w:sz w:val="16"/>
          <w:szCs w:val="16"/>
        </w:rPr>
        <w:footnoteRef/>
      </w:r>
      <w:r w:rsidRPr="00A21902">
        <w:rPr>
          <w:spacing w:val="-2"/>
          <w:sz w:val="16"/>
          <w:szCs w:val="16"/>
        </w:rPr>
        <w:t xml:space="preserve"> Silné postavení vně EU měly Švýcarsko i Norsko a z mimoevropských států hlavně USA (17 % HDP, nejvyšší podíl mezi státy OECD). V USA byl ale také jako v jediné členské zemi OECD podíl veřejných zdrojů na financování zdravotní péče nižší než 50 % a velmi důležitou roli mělo tradičně soukromé pojištění (s více než třetinovým podílem na celkovém financování). </w:t>
      </w:r>
    </w:p>
  </w:footnote>
  <w:footnote w:id="14">
    <w:p w:rsidR="00C805DC" w:rsidRPr="00A537F0" w:rsidRDefault="00C805DC" w:rsidP="00A537F0">
      <w:pPr>
        <w:pStyle w:val="Textpoznpodarou"/>
        <w:jc w:val="both"/>
        <w:rPr>
          <w:sz w:val="16"/>
          <w:szCs w:val="16"/>
        </w:rPr>
      </w:pPr>
      <w:r w:rsidRPr="00A537F0">
        <w:rPr>
          <w:rStyle w:val="Znakapoznpodarou"/>
          <w:sz w:val="16"/>
          <w:szCs w:val="16"/>
        </w:rPr>
        <w:footnoteRef/>
      </w:r>
      <w:r w:rsidRPr="00A537F0">
        <w:rPr>
          <w:sz w:val="16"/>
          <w:szCs w:val="16"/>
        </w:rPr>
        <w:t xml:space="preserve"> K růstu </w:t>
      </w:r>
      <w:r>
        <w:rPr>
          <w:sz w:val="16"/>
          <w:szCs w:val="16"/>
        </w:rPr>
        <w:t>přispívaly</w:t>
      </w:r>
      <w:r w:rsidRPr="00A537F0">
        <w:rPr>
          <w:sz w:val="16"/>
          <w:szCs w:val="16"/>
        </w:rPr>
        <w:t xml:space="preserve"> především vyšší nemocnost i četnost mimo</w:t>
      </w:r>
      <w:r>
        <w:rPr>
          <w:sz w:val="16"/>
          <w:szCs w:val="16"/>
        </w:rPr>
        <w:t>pracovn</w:t>
      </w:r>
      <w:r w:rsidRPr="00A537F0">
        <w:rPr>
          <w:sz w:val="16"/>
          <w:szCs w:val="16"/>
        </w:rPr>
        <w:t>ích úrazů.</w:t>
      </w:r>
      <w:r>
        <w:rPr>
          <w:sz w:val="16"/>
          <w:szCs w:val="16"/>
        </w:rPr>
        <w:t xml:space="preserve"> Naopak průměrné</w:t>
      </w:r>
      <w:r w:rsidRPr="00A537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procento </w:t>
      </w:r>
      <w:r w:rsidRPr="00A537F0">
        <w:rPr>
          <w:sz w:val="16"/>
          <w:szCs w:val="16"/>
        </w:rPr>
        <w:t>dočasné pracovní neschopnosti vlivem úrazů v zaměstnání v posledním pětiletí stagnovala (v dřívější minulosti i vl</w:t>
      </w:r>
      <w:r>
        <w:rPr>
          <w:sz w:val="16"/>
          <w:szCs w:val="16"/>
        </w:rPr>
        <w:t>i</w:t>
      </w:r>
      <w:r w:rsidRPr="00A537F0">
        <w:rPr>
          <w:sz w:val="16"/>
          <w:szCs w:val="16"/>
        </w:rPr>
        <w:t>vem změn odvětvové</w:t>
      </w:r>
      <w:r>
        <w:rPr>
          <w:sz w:val="16"/>
          <w:szCs w:val="16"/>
        </w:rPr>
        <w:t xml:space="preserve"> sk</w:t>
      </w:r>
      <w:r w:rsidRPr="00A537F0">
        <w:rPr>
          <w:sz w:val="16"/>
          <w:szCs w:val="16"/>
        </w:rPr>
        <w:t>l</w:t>
      </w:r>
      <w:r>
        <w:rPr>
          <w:sz w:val="16"/>
          <w:szCs w:val="16"/>
        </w:rPr>
        <w:t>a</w:t>
      </w:r>
      <w:r w:rsidRPr="00A537F0">
        <w:rPr>
          <w:sz w:val="16"/>
          <w:szCs w:val="16"/>
        </w:rPr>
        <w:t>dbě ekonomiky klesala).</w:t>
      </w:r>
    </w:p>
  </w:footnote>
  <w:footnote w:id="15">
    <w:p w:rsidR="00C805DC" w:rsidRPr="00A21902" w:rsidRDefault="00C805DC" w:rsidP="00A537F0">
      <w:pPr>
        <w:pStyle w:val="Textpoznpodarou"/>
        <w:jc w:val="both"/>
        <w:rPr>
          <w:spacing w:val="-3"/>
          <w:sz w:val="16"/>
          <w:szCs w:val="16"/>
        </w:rPr>
      </w:pPr>
      <w:r w:rsidRPr="00A21902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Dočasnou p</w:t>
      </w:r>
      <w:r w:rsidRPr="00A21902">
        <w:rPr>
          <w:spacing w:val="-3"/>
          <w:sz w:val="16"/>
          <w:szCs w:val="16"/>
        </w:rPr>
        <w:t>racovní neschopnost vyšší než 5 % vykázaly v roce 2016 Zlínský, Moravskoslezský  Jihočes</w:t>
      </w:r>
      <w:r>
        <w:rPr>
          <w:spacing w:val="-3"/>
          <w:sz w:val="16"/>
          <w:szCs w:val="16"/>
        </w:rPr>
        <w:t>ký kraj (naopak v Praze jen 3,2</w:t>
      </w:r>
      <w:r w:rsidRPr="00A21902">
        <w:rPr>
          <w:spacing w:val="-2"/>
          <w:sz w:val="16"/>
          <w:szCs w:val="16"/>
        </w:rPr>
        <w:t> </w:t>
      </w:r>
      <w:r w:rsidRPr="00A21902">
        <w:rPr>
          <w:spacing w:val="-3"/>
          <w:sz w:val="16"/>
          <w:szCs w:val="16"/>
        </w:rPr>
        <w:t xml:space="preserve">%), z hlavních odvětví pak </w:t>
      </w:r>
      <w:r w:rsidRPr="00A21902">
        <w:rPr>
          <w:spacing w:val="-4"/>
          <w:sz w:val="16"/>
          <w:szCs w:val="16"/>
        </w:rPr>
        <w:t>těžba a dobývání, zpracovatelský průmysl, zemědělství, lesnictví i rybářství</w:t>
      </w:r>
      <w:r>
        <w:rPr>
          <w:spacing w:val="-4"/>
          <w:sz w:val="16"/>
          <w:szCs w:val="16"/>
        </w:rPr>
        <w:t xml:space="preserve"> a též</w:t>
      </w:r>
      <w:r w:rsidRPr="00A21902">
        <w:rPr>
          <w:spacing w:val="-4"/>
          <w:sz w:val="16"/>
          <w:szCs w:val="16"/>
        </w:rPr>
        <w:t xml:space="preserve"> administrativní a podpůrné činnosti.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A645E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4E39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00A7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19C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75190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0A77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8-Ve&#345;ejn&#233;%20slu&#382;by\Grafy-Ve&#345;ejn&#233;%20slu&#382;b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1-Z&#283;m&#283;d&#283;lstv&#237;%20a%20lesnictv&#237;\Grafy-Zem&#283;d&#283;lstv&#237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Velk&#225;%20makro\8-Ve&#345;ejn&#233;%20slu&#382;by\Grafy-Ve&#345;ejn&#233;%20slu&#382;b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JKAM%20CSU\PUBLIKACE\PUBLIKACE\2018\Velk&#225;%20makro\8-Ve&#345;ejn&#233;%20slu&#382;by\Grafy-Ve&#345;ejn&#233;%20slu&#382;b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8-Ve&#345;ejn&#233;%20slu&#382;by\Grafy-Ve&#345;ejn&#233;%20slu&#382;b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307E-2"/>
          <c:w val="0.92433548575002356"/>
          <c:h val="0.72581447709107882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účty-souhrnné'!$A$62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účty-souhrnné'!$G$62:$S$62</c:f>
              <c:numCache>
                <c:formatCode>0.0</c:formatCode>
                <c:ptCount val="13"/>
                <c:pt idx="0">
                  <c:v>97.499013682771476</c:v>
                </c:pt>
                <c:pt idx="1">
                  <c:v>96.541126373301694</c:v>
                </c:pt>
                <c:pt idx="2">
                  <c:v>97.145189464925707</c:v>
                </c:pt>
                <c:pt idx="3">
                  <c:v>98.744504477064922</c:v>
                </c:pt>
                <c:pt idx="4">
                  <c:v>99.073460842404046</c:v>
                </c:pt>
                <c:pt idx="5">
                  <c:v>100</c:v>
                </c:pt>
                <c:pt idx="6">
                  <c:v>98.268169702314694</c:v>
                </c:pt>
                <c:pt idx="7">
                  <c:v>98.555791732063582</c:v>
                </c:pt>
                <c:pt idx="8">
                  <c:v>99.076013891970604</c:v>
                </c:pt>
                <c:pt idx="9">
                  <c:v>99.902317081388176</c:v>
                </c:pt>
                <c:pt idx="10">
                  <c:v>100.53754013215107</c:v>
                </c:pt>
                <c:pt idx="11">
                  <c:v>102.83966657596761</c:v>
                </c:pt>
                <c:pt idx="12">
                  <c:v>104.49737358065232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A4-42C0-9C19-152672C5C025}"/>
            </c:ext>
          </c:extLst>
        </c:ser>
        <c:gapWidth val="30"/>
        <c:axId val="94865664"/>
        <c:axId val="95027200"/>
      </c:barChart>
      <c:lineChart>
        <c:grouping val="standard"/>
        <c:ser>
          <c:idx val="3"/>
          <c:order val="1"/>
          <c:tx>
            <c:strRef>
              <c:f>'Graf-Národní účty-souhrnné'!$A$63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účty-souhrnné'!$G$63:$S$63</c:f>
              <c:numCache>
                <c:formatCode>0</c:formatCode>
                <c:ptCount val="13"/>
                <c:pt idx="0">
                  <c:v>88.165442825475267</c:v>
                </c:pt>
                <c:pt idx="1">
                  <c:v>92.550089812570079</c:v>
                </c:pt>
                <c:pt idx="2">
                  <c:v>95.65980141534321</c:v>
                </c:pt>
                <c:pt idx="3">
                  <c:v>96.227544035561849</c:v>
                </c:pt>
                <c:pt idx="4">
                  <c:v>99.584315104247864</c:v>
                </c:pt>
                <c:pt idx="5">
                  <c:v>100</c:v>
                </c:pt>
                <c:pt idx="6">
                  <c:v>97.483065810290455</c:v>
                </c:pt>
                <c:pt idx="7">
                  <c:v>97.175792697185088</c:v>
                </c:pt>
                <c:pt idx="8">
                  <c:v>98.428499257893478</c:v>
                </c:pt>
                <c:pt idx="9">
                  <c:v>101.95760321402852</c:v>
                </c:pt>
                <c:pt idx="10">
                  <c:v>106.45174280779602</c:v>
                </c:pt>
                <c:pt idx="11">
                  <c:v>112.32063483805018</c:v>
                </c:pt>
                <c:pt idx="12">
                  <c:v>120.68533140832535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A4-42C0-9C19-152672C5C025}"/>
            </c:ext>
          </c:extLst>
        </c:ser>
        <c:ser>
          <c:idx val="1"/>
          <c:order val="2"/>
          <c:tx>
            <c:strRef>
              <c:f>'Graf-Národní účty-souhrnné'!$A$64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účty-souhrnné'!$G$64:$S$64</c:f>
              <c:numCache>
                <c:formatCode>0</c:formatCode>
                <c:ptCount val="13"/>
                <c:pt idx="0">
                  <c:v>100.32568682518738</c:v>
                </c:pt>
                <c:pt idx="1">
                  <c:v>98.584060256507783</c:v>
                </c:pt>
                <c:pt idx="2">
                  <c:v>98.525366918973418</c:v>
                </c:pt>
                <c:pt idx="3">
                  <c:v>98.798940454532953</c:v>
                </c:pt>
                <c:pt idx="4">
                  <c:v>99.596554931979327</c:v>
                </c:pt>
                <c:pt idx="5">
                  <c:v>100</c:v>
                </c:pt>
                <c:pt idx="6">
                  <c:v>98.221037930274278</c:v>
                </c:pt>
                <c:pt idx="7">
                  <c:v>100.76013582037636</c:v>
                </c:pt>
                <c:pt idx="8">
                  <c:v>101.14656020309407</c:v>
                </c:pt>
                <c:pt idx="9">
                  <c:v>98.174638853600172</c:v>
                </c:pt>
                <c:pt idx="10">
                  <c:v>98.757736613122319</c:v>
                </c:pt>
                <c:pt idx="11">
                  <c:v>97.233575733795959</c:v>
                </c:pt>
                <c:pt idx="12">
                  <c:v>95.145985922973779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A4-42C0-9C19-152672C5C025}"/>
            </c:ext>
          </c:extLst>
        </c:ser>
        <c:ser>
          <c:idx val="7"/>
          <c:order val="3"/>
          <c:tx>
            <c:strRef>
              <c:f>'Graf-Národní účty-souhrnné'!$A$65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účty-souhrnné'!$G$65:$S$65</c:f>
              <c:numCache>
                <c:formatCode>0.0</c:formatCode>
                <c:ptCount val="13"/>
                <c:pt idx="0">
                  <c:v>98.279530876528653</c:v>
                </c:pt>
                <c:pt idx="1">
                  <c:v>98.807409536570589</c:v>
                </c:pt>
                <c:pt idx="2">
                  <c:v>99.752017250593028</c:v>
                </c:pt>
                <c:pt idx="3">
                  <c:v>100.75116149698957</c:v>
                </c:pt>
                <c:pt idx="4">
                  <c:v>100.26929462077494</c:v>
                </c:pt>
                <c:pt idx="5">
                  <c:v>100</c:v>
                </c:pt>
                <c:pt idx="6">
                  <c:v>99.446000636077727</c:v>
                </c:pt>
                <c:pt idx="7">
                  <c:v>98.217890387034515</c:v>
                </c:pt>
                <c:pt idx="8">
                  <c:v>99.29255516222706</c:v>
                </c:pt>
                <c:pt idx="9">
                  <c:v>100.87422389268382</c:v>
                </c:pt>
                <c:pt idx="10">
                  <c:v>101.7358792458439</c:v>
                </c:pt>
                <c:pt idx="11">
                  <c:v>104.10980313295335</c:v>
                </c:pt>
                <c:pt idx="12">
                  <c:v>107.28625559163393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A4-42C0-9C19-152672C5C025}"/>
            </c:ext>
          </c:extLst>
        </c:ser>
        <c:marker val="1"/>
        <c:axId val="94865664"/>
        <c:axId val="95027200"/>
      </c:lineChart>
      <c:lineChart>
        <c:grouping val="standard"/>
        <c:ser>
          <c:idx val="2"/>
          <c:order val="4"/>
          <c:tx>
            <c:strRef>
              <c:f>'Graf-Národní účty-souhrnné'!$A$66</c:f>
              <c:strCache>
                <c:ptCount val="1"/>
                <c:pt idx="0">
                  <c:v>Míra investic celkem (v %, pravá osa)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účty-souhrnné'!$G$66:$S$66</c:f>
              <c:numCache>
                <c:formatCode>0</c:formatCode>
                <c:ptCount val="13"/>
                <c:pt idx="0">
                  <c:v>24.491683484824289</c:v>
                </c:pt>
                <c:pt idx="1">
                  <c:v>24.88039472862409</c:v>
                </c:pt>
                <c:pt idx="2">
                  <c:v>23.770089378138689</c:v>
                </c:pt>
                <c:pt idx="3">
                  <c:v>23.884443846791541</c:v>
                </c:pt>
                <c:pt idx="4">
                  <c:v>27.960894205757789</c:v>
                </c:pt>
                <c:pt idx="5">
                  <c:v>26.103704978391029</c:v>
                </c:pt>
                <c:pt idx="6">
                  <c:v>24.521542445157429</c:v>
                </c:pt>
                <c:pt idx="7">
                  <c:v>24.215917683724019</c:v>
                </c:pt>
                <c:pt idx="8">
                  <c:v>21.88296316138269</c:v>
                </c:pt>
                <c:pt idx="9">
                  <c:v>24.282350825546189</c:v>
                </c:pt>
                <c:pt idx="10">
                  <c:v>29.496812386156652</c:v>
                </c:pt>
                <c:pt idx="11">
                  <c:v>17.215038516077087</c:v>
                </c:pt>
                <c:pt idx="12">
                  <c:v>19.25513806581769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A4-42C0-9C19-152672C5C025}"/>
            </c:ext>
          </c:extLst>
        </c:ser>
        <c:ser>
          <c:idx val="4"/>
          <c:order val="5"/>
          <c:tx>
            <c:strRef>
              <c:f>'Graf-Národní účty-souhrnné'!$A$67</c:f>
              <c:strCache>
                <c:ptCount val="1"/>
                <c:pt idx="0">
                  <c:v>Míra investic do budov a staveb, mimo obydlí (v %, pravá osa)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účty-souhrnné'!$G$67:$S$67</c:f>
              <c:numCache>
                <c:formatCode>#,##0.0</c:formatCode>
                <c:ptCount val="13"/>
                <c:pt idx="0">
                  <c:v>14.475123791537046</c:v>
                </c:pt>
                <c:pt idx="1">
                  <c:v>16.959757388239176</c:v>
                </c:pt>
                <c:pt idx="2">
                  <c:v>14.802845655759738</c:v>
                </c:pt>
                <c:pt idx="3">
                  <c:v>15.21719002897466</c:v>
                </c:pt>
                <c:pt idx="4">
                  <c:v>17.477684862507289</c:v>
                </c:pt>
                <c:pt idx="5">
                  <c:v>17.154887604101631</c:v>
                </c:pt>
                <c:pt idx="6">
                  <c:v>14.304701525281727</c:v>
                </c:pt>
                <c:pt idx="7">
                  <c:v>13.850574064317337</c:v>
                </c:pt>
                <c:pt idx="8">
                  <c:v>11.839711361994498</c:v>
                </c:pt>
                <c:pt idx="9">
                  <c:v>14.218878967208111</c:v>
                </c:pt>
                <c:pt idx="10">
                  <c:v>15.409849943151327</c:v>
                </c:pt>
                <c:pt idx="11">
                  <c:v>8.4984060181214911</c:v>
                </c:pt>
                <c:pt idx="12">
                  <c:v>10.132824243916657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A4-42C0-9C19-152672C5C025}"/>
            </c:ext>
          </c:extLst>
        </c:ser>
        <c:ser>
          <c:idx val="5"/>
          <c:order val="6"/>
          <c:tx>
            <c:strRef>
              <c:f>'Graf-Národní účty-souhrnné'!$A$68</c:f>
              <c:strCache>
                <c:ptCount val="1"/>
                <c:pt idx="0">
                  <c:v>Míra investic do produktů duševního vlastnictví (v %, pravá osa)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účty-souhrnné'!$G$61:$S$61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účty-souhrnné'!$G$68:$S$68</c:f>
              <c:numCache>
                <c:formatCode>#,##0.0</c:formatCode>
                <c:ptCount val="13"/>
                <c:pt idx="0">
                  <c:v>2.7431644263310471</c:v>
                </c:pt>
                <c:pt idx="1">
                  <c:v>2.7442636340984388</c:v>
                </c:pt>
                <c:pt idx="2">
                  <c:v>3.047770658670542</c:v>
                </c:pt>
                <c:pt idx="3">
                  <c:v>3.1359946577401412</c:v>
                </c:pt>
                <c:pt idx="4">
                  <c:v>3.9113061592558767</c:v>
                </c:pt>
                <c:pt idx="5">
                  <c:v>3.3847109147240877</c:v>
                </c:pt>
                <c:pt idx="6">
                  <c:v>3.7051900722464817</c:v>
                </c:pt>
                <c:pt idx="7">
                  <c:v>4.2640676000168058</c:v>
                </c:pt>
                <c:pt idx="8">
                  <c:v>4.2379211169370885</c:v>
                </c:pt>
                <c:pt idx="9">
                  <c:v>4.2547492911320424</c:v>
                </c:pt>
                <c:pt idx="10">
                  <c:v>4.3712483964929989</c:v>
                </c:pt>
                <c:pt idx="11">
                  <c:v>3.7604525055763602</c:v>
                </c:pt>
                <c:pt idx="12">
                  <c:v>3.6672149910317446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A4-42C0-9C19-152672C5C025}"/>
            </c:ext>
          </c:extLst>
        </c:ser>
        <c:marker val="1"/>
        <c:axId val="95199616"/>
        <c:axId val="95028736"/>
      </c:lineChart>
      <c:catAx>
        <c:axId val="94865664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5027200"/>
        <c:crossesAt val="100"/>
        <c:lblAlgn val="ctr"/>
        <c:lblOffset val="0"/>
        <c:tickLblSkip val="1"/>
        <c:tickMarkSkip val="4"/>
      </c:catAx>
      <c:valAx>
        <c:axId val="95027200"/>
        <c:scaling>
          <c:orientation val="minMax"/>
          <c:max val="121"/>
          <c:min val="8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4865664"/>
        <c:crosses val="autoZero"/>
        <c:crossBetween val="between"/>
        <c:majorUnit val="5"/>
      </c:valAx>
      <c:valAx>
        <c:axId val="95028736"/>
        <c:scaling>
          <c:orientation val="minMax"/>
          <c:max val="41"/>
          <c:min val="0"/>
        </c:scaling>
        <c:axPos val="r"/>
        <c:numFmt formatCode="0" sourceLinked="0"/>
        <c:tickLblPos val="nextTo"/>
        <c:crossAx val="95199616"/>
        <c:crosses val="max"/>
        <c:crossBetween val="between"/>
        <c:majorUnit val="5"/>
      </c:valAx>
      <c:catAx>
        <c:axId val="95199616"/>
        <c:scaling>
          <c:orientation val="minMax"/>
        </c:scaling>
        <c:delete val="1"/>
        <c:axPos val="b"/>
        <c:numFmt formatCode="General" sourceLinked="1"/>
        <c:tickLblPos val="none"/>
        <c:crossAx val="95028736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118780233128685E-2"/>
          <c:y val="0.7863570865698527"/>
          <c:w val="0.89005817546401911"/>
          <c:h val="0.20292018462231393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493E-2"/>
          <c:y val="1.643251153889452E-2"/>
          <c:w val="0.91748516470091235"/>
          <c:h val="0.71866599121918995"/>
        </c:manualLayout>
      </c:layout>
      <c:barChart>
        <c:barDir val="col"/>
        <c:grouping val="stacked"/>
        <c:ser>
          <c:idx val="0"/>
          <c:order val="0"/>
          <c:tx>
            <c:strRef>
              <c:f>'Graf-skladba investic'!$C$93</c:f>
              <c:strCache>
                <c:ptCount val="1"/>
                <c:pt idx="0">
                  <c:v>Budovy a stavby (vč. obydlí)</c:v>
                </c:pt>
              </c:strCache>
            </c:strRef>
          </c:tx>
          <c:spPr>
            <a:solidFill>
              <a:srgbClr val="C4C4C4"/>
            </a:solidFill>
            <a:ln w="12700">
              <a:noFill/>
              <a:prstDash val="solid"/>
            </a:ln>
          </c:spPr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investic'!$C$94:$C$123</c:f>
              <c:numCache>
                <c:formatCode>#,##0.0</c:formatCode>
                <c:ptCount val="30"/>
                <c:pt idx="0">
                  <c:v>50.795000000000321</c:v>
                </c:pt>
                <c:pt idx="1">
                  <c:v>66.144000000000005</c:v>
                </c:pt>
                <c:pt idx="2">
                  <c:v>60.949999999999996</c:v>
                </c:pt>
                <c:pt idx="3">
                  <c:v>54.68</c:v>
                </c:pt>
                <c:pt idx="4">
                  <c:v>52.965000000000003</c:v>
                </c:pt>
                <c:pt idx="5">
                  <c:v>46.290000000000013</c:v>
                </c:pt>
                <c:pt idx="6">
                  <c:v>66.021000000000001</c:v>
                </c:pt>
                <c:pt idx="7">
                  <c:v>73.637</c:v>
                </c:pt>
                <c:pt idx="8">
                  <c:v>40.598000000000013</c:v>
                </c:pt>
                <c:pt idx="9">
                  <c:v>58.898000000000003</c:v>
                </c:pt>
                <c:pt idx="10">
                  <c:v>10.931000000000001</c:v>
                </c:pt>
                <c:pt idx="11">
                  <c:v>10.18</c:v>
                </c:pt>
                <c:pt idx="12">
                  <c:v>11.537000000000001</c:v>
                </c:pt>
                <c:pt idx="13">
                  <c:v>12.584</c:v>
                </c:pt>
                <c:pt idx="14">
                  <c:v>11.008000000000001</c:v>
                </c:pt>
                <c:pt idx="15">
                  <c:v>8.4580000000000002</c:v>
                </c:pt>
                <c:pt idx="16">
                  <c:v>8.9870000000000001</c:v>
                </c:pt>
                <c:pt idx="17">
                  <c:v>11.455000000000076</c:v>
                </c:pt>
                <c:pt idx="18">
                  <c:v>5.5289999999999955</c:v>
                </c:pt>
                <c:pt idx="19">
                  <c:v>4.452</c:v>
                </c:pt>
                <c:pt idx="20">
                  <c:v>8.4910000000000014</c:v>
                </c:pt>
                <c:pt idx="21">
                  <c:v>9.593</c:v>
                </c:pt>
                <c:pt idx="22">
                  <c:v>11.162000000000004</c:v>
                </c:pt>
                <c:pt idx="23">
                  <c:v>8.3990000000000027</c:v>
                </c:pt>
                <c:pt idx="24">
                  <c:v>9.3750000000000266</c:v>
                </c:pt>
                <c:pt idx="25">
                  <c:v>6.593</c:v>
                </c:pt>
                <c:pt idx="26">
                  <c:v>5.806</c:v>
                </c:pt>
                <c:pt idx="27">
                  <c:v>9.0630000000000006</c:v>
                </c:pt>
                <c:pt idx="28">
                  <c:v>6.8159999999999945</c:v>
                </c:pt>
                <c:pt idx="29">
                  <c:v>6.2050000000000001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0-4095-9929-B59E141CBF13}"/>
            </c:ext>
          </c:extLst>
        </c:ser>
        <c:ser>
          <c:idx val="3"/>
          <c:order val="1"/>
          <c:tx>
            <c:strRef>
              <c:f>'Graf-skladba investic'!$D$93</c:f>
              <c:strCache>
                <c:ptCount val="1"/>
                <c:pt idx="0">
                  <c:v>Dopravní prostředky a zařízení</c:v>
                </c:pt>
              </c:strCache>
            </c:strRef>
          </c:tx>
          <c:spPr>
            <a:solidFill>
              <a:srgbClr val="7DBB2D"/>
            </a:solidFill>
            <a:ln w="19050">
              <a:noFill/>
              <a:prstDash val="solid"/>
            </a:ln>
          </c:spPr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investic'!$D$94:$D$123</c:f>
              <c:numCache>
                <c:formatCode>#,##0.0</c:formatCode>
                <c:ptCount val="30"/>
                <c:pt idx="0">
                  <c:v>6.0219999999999985</c:v>
                </c:pt>
                <c:pt idx="1">
                  <c:v>4.8649999999999745</c:v>
                </c:pt>
                <c:pt idx="2">
                  <c:v>5.4459999999999997</c:v>
                </c:pt>
                <c:pt idx="3">
                  <c:v>1.7949999999999908</c:v>
                </c:pt>
                <c:pt idx="4">
                  <c:v>2.6219999999999999</c:v>
                </c:pt>
                <c:pt idx="5">
                  <c:v>3.0019999999999998</c:v>
                </c:pt>
                <c:pt idx="6">
                  <c:v>2.0630000000000002</c:v>
                </c:pt>
                <c:pt idx="7">
                  <c:v>5.84</c:v>
                </c:pt>
                <c:pt idx="8">
                  <c:v>2.4089999999999998</c:v>
                </c:pt>
                <c:pt idx="9">
                  <c:v>4.9770000000000003</c:v>
                </c:pt>
                <c:pt idx="10">
                  <c:v>0.46600000000000008</c:v>
                </c:pt>
                <c:pt idx="11">
                  <c:v>0.52</c:v>
                </c:pt>
                <c:pt idx="12">
                  <c:v>0.28500000000000031</c:v>
                </c:pt>
                <c:pt idx="13">
                  <c:v>0.17900000000000021</c:v>
                </c:pt>
                <c:pt idx="14">
                  <c:v>0.32400000000000256</c:v>
                </c:pt>
                <c:pt idx="15">
                  <c:v>0.13200000000000001</c:v>
                </c:pt>
                <c:pt idx="16">
                  <c:v>0.30200000000000032</c:v>
                </c:pt>
                <c:pt idx="17">
                  <c:v>0.33600000000000296</c:v>
                </c:pt>
                <c:pt idx="18">
                  <c:v>0.36600000000000038</c:v>
                </c:pt>
                <c:pt idx="19">
                  <c:v>0.29100000000000031</c:v>
                </c:pt>
                <c:pt idx="20">
                  <c:v>1.6400000000000001</c:v>
                </c:pt>
                <c:pt idx="21">
                  <c:v>1.9470000000000001</c:v>
                </c:pt>
                <c:pt idx="22">
                  <c:v>1.2229999999999888</c:v>
                </c:pt>
                <c:pt idx="23">
                  <c:v>2.0499999999999998</c:v>
                </c:pt>
                <c:pt idx="24">
                  <c:v>2.4249999999999998</c:v>
                </c:pt>
                <c:pt idx="25">
                  <c:v>0.79700000000000004</c:v>
                </c:pt>
                <c:pt idx="26">
                  <c:v>0.95100000000000062</c:v>
                </c:pt>
                <c:pt idx="27">
                  <c:v>1.2949999999999908</c:v>
                </c:pt>
                <c:pt idx="28">
                  <c:v>0.92900000000000005</c:v>
                </c:pt>
                <c:pt idx="29">
                  <c:v>1.0529999999999908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F0-4095-9929-B59E141CBF13}"/>
            </c:ext>
          </c:extLst>
        </c:ser>
        <c:ser>
          <c:idx val="1"/>
          <c:order val="2"/>
          <c:tx>
            <c:strRef>
              <c:f>'Graf-skladba investic'!$E$93</c:f>
              <c:strCache>
                <c:ptCount val="1"/>
                <c:pt idx="0">
                  <c:v>Prostředky ICT</c:v>
                </c:pt>
              </c:strCache>
            </c:strRef>
          </c:tx>
          <c:spPr>
            <a:solidFill>
              <a:srgbClr val="BFE3F7"/>
            </a:solidFill>
            <a:ln w="19050">
              <a:noFill/>
            </a:ln>
          </c:spPr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investic'!$E$94:$E$123</c:f>
              <c:numCache>
                <c:formatCode>#,##0.0</c:formatCode>
                <c:ptCount val="30"/>
                <c:pt idx="0">
                  <c:v>5.3479999999999945</c:v>
                </c:pt>
                <c:pt idx="1">
                  <c:v>5.1959999999999855</c:v>
                </c:pt>
                <c:pt idx="2">
                  <c:v>4.6819999999999995</c:v>
                </c:pt>
                <c:pt idx="3">
                  <c:v>5.1310000000000002</c:v>
                </c:pt>
                <c:pt idx="4">
                  <c:v>4.6349999999999945</c:v>
                </c:pt>
                <c:pt idx="5">
                  <c:v>5.609</c:v>
                </c:pt>
                <c:pt idx="6">
                  <c:v>4.8369999999999997</c:v>
                </c:pt>
                <c:pt idx="7">
                  <c:v>6.7889999999999997</c:v>
                </c:pt>
                <c:pt idx="8">
                  <c:v>3.0089999999999999</c:v>
                </c:pt>
                <c:pt idx="9">
                  <c:v>3.12</c:v>
                </c:pt>
                <c:pt idx="10">
                  <c:v>3.2389999999999999</c:v>
                </c:pt>
                <c:pt idx="11">
                  <c:v>3.22</c:v>
                </c:pt>
                <c:pt idx="12">
                  <c:v>3.0309999999999997</c:v>
                </c:pt>
                <c:pt idx="13">
                  <c:v>4.7880000000000003</c:v>
                </c:pt>
                <c:pt idx="14">
                  <c:v>5.3209999999999855</c:v>
                </c:pt>
                <c:pt idx="15">
                  <c:v>6.3449999999999855</c:v>
                </c:pt>
                <c:pt idx="16">
                  <c:v>3.8679999999999999</c:v>
                </c:pt>
                <c:pt idx="17">
                  <c:v>4.3849999999999945</c:v>
                </c:pt>
                <c:pt idx="18">
                  <c:v>1.3460000000000001</c:v>
                </c:pt>
                <c:pt idx="19">
                  <c:v>1.73</c:v>
                </c:pt>
                <c:pt idx="20">
                  <c:v>1.044</c:v>
                </c:pt>
                <c:pt idx="21">
                  <c:v>2.74</c:v>
                </c:pt>
                <c:pt idx="22">
                  <c:v>1.8480000000000001</c:v>
                </c:pt>
                <c:pt idx="23">
                  <c:v>0.87100000000000455</c:v>
                </c:pt>
                <c:pt idx="24">
                  <c:v>1.3240000000000001</c:v>
                </c:pt>
                <c:pt idx="25">
                  <c:v>1.8069999999999908</c:v>
                </c:pt>
                <c:pt idx="26">
                  <c:v>2.9859999999999998</c:v>
                </c:pt>
                <c:pt idx="27">
                  <c:v>5.2830000000000004</c:v>
                </c:pt>
                <c:pt idx="28">
                  <c:v>2.573</c:v>
                </c:pt>
                <c:pt idx="29">
                  <c:v>2.5939999999999999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0-4095-9929-B59E141CBF13}"/>
            </c:ext>
          </c:extLst>
        </c:ser>
        <c:ser>
          <c:idx val="7"/>
          <c:order val="3"/>
          <c:tx>
            <c:strRef>
              <c:f>'Graf-skladba investic'!$F$93</c:f>
              <c:strCache>
                <c:ptCount val="1"/>
                <c:pt idx="0">
                  <c:v>Ost. stroje a zařízení, zbraň. systémy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investic'!$F$94:$F$123</c:f>
              <c:numCache>
                <c:formatCode>#,##0.0</c:formatCode>
                <c:ptCount val="30"/>
                <c:pt idx="0">
                  <c:v>4.7430000000000003</c:v>
                </c:pt>
                <c:pt idx="1">
                  <c:v>6.6790000000000003</c:v>
                </c:pt>
                <c:pt idx="2">
                  <c:v>7.0060000000000002</c:v>
                </c:pt>
                <c:pt idx="3">
                  <c:v>6.468</c:v>
                </c:pt>
                <c:pt idx="4">
                  <c:v>8.9150000000000027</c:v>
                </c:pt>
                <c:pt idx="5">
                  <c:v>6.5590000000000002</c:v>
                </c:pt>
                <c:pt idx="6">
                  <c:v>7.3569999999999975</c:v>
                </c:pt>
                <c:pt idx="7">
                  <c:v>18.472999999999889</c:v>
                </c:pt>
                <c:pt idx="8">
                  <c:v>7.1569999999999965</c:v>
                </c:pt>
                <c:pt idx="9">
                  <c:v>8.68</c:v>
                </c:pt>
                <c:pt idx="10">
                  <c:v>5.2279999999999855</c:v>
                </c:pt>
                <c:pt idx="11">
                  <c:v>4.4710000000000134</c:v>
                </c:pt>
                <c:pt idx="12">
                  <c:v>3.1779999999999999</c:v>
                </c:pt>
                <c:pt idx="13">
                  <c:v>2.7530000000000001</c:v>
                </c:pt>
                <c:pt idx="14">
                  <c:v>2.9249999999999998</c:v>
                </c:pt>
                <c:pt idx="15">
                  <c:v>3.605</c:v>
                </c:pt>
                <c:pt idx="16">
                  <c:v>6.0780000000000003</c:v>
                </c:pt>
                <c:pt idx="17">
                  <c:v>7.03</c:v>
                </c:pt>
                <c:pt idx="18">
                  <c:v>3.4939999999999998</c:v>
                </c:pt>
                <c:pt idx="19">
                  <c:v>4.2359999999999998</c:v>
                </c:pt>
                <c:pt idx="20">
                  <c:v>8.3020000000000067</c:v>
                </c:pt>
                <c:pt idx="21">
                  <c:v>11.074</c:v>
                </c:pt>
                <c:pt idx="22">
                  <c:v>10.706</c:v>
                </c:pt>
                <c:pt idx="23">
                  <c:v>11.545</c:v>
                </c:pt>
                <c:pt idx="24">
                  <c:v>7.1159999999999846</c:v>
                </c:pt>
                <c:pt idx="25">
                  <c:v>7.2960000000000003</c:v>
                </c:pt>
                <c:pt idx="26">
                  <c:v>7.4619999999999997</c:v>
                </c:pt>
                <c:pt idx="27">
                  <c:v>8.6469999999999985</c:v>
                </c:pt>
                <c:pt idx="28">
                  <c:v>8.793000000000001</c:v>
                </c:pt>
                <c:pt idx="29">
                  <c:v>9.2740000000000009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0-4095-9929-B59E141CBF13}"/>
            </c:ext>
          </c:extLst>
        </c:ser>
        <c:ser>
          <c:idx val="2"/>
          <c:order val="4"/>
          <c:tx>
            <c:strRef>
              <c:f>'Graf-skladba investic'!$G$93</c:f>
              <c:strCache>
                <c:ptCount val="1"/>
                <c:pt idx="0">
                  <c:v>Výzkum a vývoj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  <a:prstDash val="sysDash"/>
            </a:ln>
          </c:spPr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investic'!$G$94:$G$123</c:f>
              <c:numCache>
                <c:formatCode>#,##0.0</c:formatCode>
                <c:ptCount val="30"/>
                <c:pt idx="0">
                  <c:v>0.27900000000000008</c:v>
                </c:pt>
                <c:pt idx="1">
                  <c:v>0.27900000000000008</c:v>
                </c:pt>
                <c:pt idx="2">
                  <c:v>0.32900000000000268</c:v>
                </c:pt>
                <c:pt idx="3">
                  <c:v>0.32600000000000257</c:v>
                </c:pt>
                <c:pt idx="4">
                  <c:v>0.41600000000000031</c:v>
                </c:pt>
                <c:pt idx="5">
                  <c:v>0.36900000000000038</c:v>
                </c:pt>
                <c:pt idx="6">
                  <c:v>0.40600000000000008</c:v>
                </c:pt>
                <c:pt idx="7">
                  <c:v>1.897</c:v>
                </c:pt>
                <c:pt idx="8">
                  <c:v>0.49100000000000038</c:v>
                </c:pt>
                <c:pt idx="9">
                  <c:v>0.43900000000000228</c:v>
                </c:pt>
                <c:pt idx="10">
                  <c:v>8.3720000000000248</c:v>
                </c:pt>
                <c:pt idx="11">
                  <c:v>9.1449999999999996</c:v>
                </c:pt>
                <c:pt idx="12">
                  <c:v>9.5479999999999983</c:v>
                </c:pt>
                <c:pt idx="13">
                  <c:v>11.146000000000001</c:v>
                </c:pt>
                <c:pt idx="14">
                  <c:v>12.309000000000006</c:v>
                </c:pt>
                <c:pt idx="15">
                  <c:v>14.365000000000087</c:v>
                </c:pt>
                <c:pt idx="16">
                  <c:v>15.729999999999999</c:v>
                </c:pt>
                <c:pt idx="17">
                  <c:v>14.598000000000001</c:v>
                </c:pt>
                <c:pt idx="18">
                  <c:v>15.187000000000001</c:v>
                </c:pt>
                <c:pt idx="19">
                  <c:v>15.220999999999998</c:v>
                </c:pt>
                <c:pt idx="20">
                  <c:v>0.73900000000000265</c:v>
                </c:pt>
                <c:pt idx="21">
                  <c:v>1.038</c:v>
                </c:pt>
                <c:pt idx="22">
                  <c:v>0.84400000000000064</c:v>
                </c:pt>
                <c:pt idx="23">
                  <c:v>0.93500000000000005</c:v>
                </c:pt>
                <c:pt idx="24">
                  <c:v>0.83900000000000063</c:v>
                </c:pt>
                <c:pt idx="25">
                  <c:v>1.2909999999999906</c:v>
                </c:pt>
                <c:pt idx="26">
                  <c:v>1.462</c:v>
                </c:pt>
                <c:pt idx="27">
                  <c:v>1.768</c:v>
                </c:pt>
                <c:pt idx="28">
                  <c:v>1.49</c:v>
                </c:pt>
                <c:pt idx="29">
                  <c:v>1.575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CF0-4095-9929-B59E141CBF13}"/>
            </c:ext>
          </c:extLst>
        </c:ser>
        <c:ser>
          <c:idx val="4"/>
          <c:order val="5"/>
          <c:tx>
            <c:strRef>
              <c:f>'Graf-skladba investic'!$H$93</c:f>
              <c:strCache>
                <c:ptCount val="1"/>
                <c:pt idx="0">
                  <c:v>Počítačové vybavení (SW) a databáze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ysDash"/>
            </a:ln>
          </c:spPr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investic'!$H$94:$H$123</c:f>
              <c:numCache>
                <c:formatCode>#,##0.0</c:formatCode>
                <c:ptCount val="30"/>
                <c:pt idx="0">
                  <c:v>4.2160000000000002</c:v>
                </c:pt>
                <c:pt idx="1">
                  <c:v>7.9740000000000002</c:v>
                </c:pt>
                <c:pt idx="2">
                  <c:v>5.0780000000000003</c:v>
                </c:pt>
                <c:pt idx="3">
                  <c:v>5.5960000000000001</c:v>
                </c:pt>
                <c:pt idx="4">
                  <c:v>7.391</c:v>
                </c:pt>
                <c:pt idx="5">
                  <c:v>5.298</c:v>
                </c:pt>
                <c:pt idx="6">
                  <c:v>5.0649999999999755</c:v>
                </c:pt>
                <c:pt idx="7">
                  <c:v>5.6949999999999745</c:v>
                </c:pt>
                <c:pt idx="8">
                  <c:v>4.2160000000000002</c:v>
                </c:pt>
                <c:pt idx="9">
                  <c:v>4.633</c:v>
                </c:pt>
                <c:pt idx="10">
                  <c:v>1.069</c:v>
                </c:pt>
                <c:pt idx="11">
                  <c:v>1.05</c:v>
                </c:pt>
                <c:pt idx="12">
                  <c:v>0.85900000000000065</c:v>
                </c:pt>
                <c:pt idx="13">
                  <c:v>0.92900000000000005</c:v>
                </c:pt>
                <c:pt idx="14">
                  <c:v>1.2609999999999897</c:v>
                </c:pt>
                <c:pt idx="15">
                  <c:v>1.278</c:v>
                </c:pt>
                <c:pt idx="16">
                  <c:v>1.1200000000000001</c:v>
                </c:pt>
                <c:pt idx="17">
                  <c:v>1.083</c:v>
                </c:pt>
                <c:pt idx="18">
                  <c:v>0.95100000000000062</c:v>
                </c:pt>
                <c:pt idx="19">
                  <c:v>1.117</c:v>
                </c:pt>
                <c:pt idx="20">
                  <c:v>0.78800000000000003</c:v>
                </c:pt>
                <c:pt idx="21">
                  <c:v>0.80100000000000005</c:v>
                </c:pt>
                <c:pt idx="22">
                  <c:v>0.86200000000000065</c:v>
                </c:pt>
                <c:pt idx="23">
                  <c:v>0.76600000000000512</c:v>
                </c:pt>
                <c:pt idx="24">
                  <c:v>0.79900000000000004</c:v>
                </c:pt>
                <c:pt idx="25">
                  <c:v>0.67300000000000593</c:v>
                </c:pt>
                <c:pt idx="26">
                  <c:v>0.78200000000000003</c:v>
                </c:pt>
                <c:pt idx="27">
                  <c:v>0.99099999999999999</c:v>
                </c:pt>
                <c:pt idx="28">
                  <c:v>1.002</c:v>
                </c:pt>
                <c:pt idx="29">
                  <c:v>1.0269999999999897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CF0-4095-9929-B59E141CBF13}"/>
            </c:ext>
          </c:extLst>
        </c:ser>
        <c:gapWidth val="30"/>
        <c:overlap val="100"/>
        <c:axId val="101570048"/>
        <c:axId val="101571968"/>
      </c:barChart>
      <c:lineChart>
        <c:grouping val="standard"/>
        <c:ser>
          <c:idx val="5"/>
          <c:order val="6"/>
          <c:tx>
            <c:strRef>
              <c:f>'Graf-skladba investic'!$I$93</c:f>
              <c:strCache>
                <c:ptCount val="1"/>
                <c:pt idx="0">
                  <c:v>THFK  celkem (stálé ceny, r.2010=100)</c:v>
                </c:pt>
              </c:strCache>
            </c:strRef>
          </c:tx>
          <c:spPr>
            <a:ln w="15875">
              <a:solidFill>
                <a:srgbClr val="808080"/>
              </a:solidFill>
              <a:prstDash val="sysDot"/>
            </a:ln>
          </c:spPr>
          <c:marker>
            <c:symbol val="circle"/>
            <c:size val="4"/>
            <c:spPr>
              <a:solidFill>
                <a:srgbClr val="808080"/>
              </a:solidFill>
              <a:ln>
                <a:noFill/>
              </a:ln>
            </c:spPr>
          </c:marker>
          <c:dPt>
            <c:idx val="10"/>
            <c:spPr>
              <a:ln w="15875">
                <a:noFill/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CF0-4095-9929-B59E141CBF13}"/>
              </c:ext>
            </c:extLst>
          </c:dPt>
          <c:dPt>
            <c:idx val="20"/>
            <c:spPr>
              <a:ln w="15875">
                <a:noFill/>
                <a:prstDash val="sysDot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CF0-4095-9929-B59E141CBF13}"/>
              </c:ext>
            </c:extLst>
          </c:dPt>
          <c:cat>
            <c:multiLvlStrRef>
              <c:f>'Graf-skladba investic'!$A$94:$B$123</c:f>
              <c:multiLvlStrCache>
                <c:ptCount val="30"/>
                <c:lvl>
                  <c:pt idx="0">
                    <c:v>2008</c:v>
                  </c:pt>
                  <c:pt idx="1">
                    <c:v>2009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2012</c:v>
                  </c:pt>
                  <c:pt idx="5">
                    <c:v>2013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2008</c:v>
                  </c:pt>
                  <c:pt idx="11">
                    <c:v>2009</c:v>
                  </c:pt>
                  <c:pt idx="12">
                    <c:v>2010</c:v>
                  </c:pt>
                  <c:pt idx="13">
                    <c:v>2011</c:v>
                  </c:pt>
                  <c:pt idx="14">
                    <c:v>2012</c:v>
                  </c:pt>
                  <c:pt idx="15">
                    <c:v>2013</c:v>
                  </c:pt>
                  <c:pt idx="16">
                    <c:v>2014</c:v>
                  </c:pt>
                  <c:pt idx="17">
                    <c:v>2015</c:v>
                  </c:pt>
                  <c:pt idx="18">
                    <c:v>2016</c:v>
                  </c:pt>
                  <c:pt idx="19">
                    <c:v>2017</c:v>
                  </c:pt>
                  <c:pt idx="20">
                    <c:v>2008</c:v>
                  </c:pt>
                  <c:pt idx="21">
                    <c:v>2009</c:v>
                  </c:pt>
                  <c:pt idx="22">
                    <c:v>2010</c:v>
                  </c:pt>
                  <c:pt idx="23">
                    <c:v>2011</c:v>
                  </c:pt>
                  <c:pt idx="24">
                    <c:v>2012</c:v>
                  </c:pt>
                  <c:pt idx="25">
                    <c:v>2013</c:v>
                  </c:pt>
                  <c:pt idx="26">
                    <c:v>2014</c:v>
                  </c:pt>
                  <c:pt idx="27">
                    <c:v>2015</c:v>
                  </c:pt>
                  <c:pt idx="28">
                    <c:v>2016</c:v>
                  </c:pt>
                  <c:pt idx="29">
                    <c:v>2017</c:v>
                  </c:pt>
                </c:lvl>
                <c:lvl>
                  <c:pt idx="0">
                    <c:v>Veř. správa a obrana (sekce O)</c:v>
                  </c:pt>
                  <c:pt idx="10">
                    <c:v>Vzdělávání (P)</c:v>
                  </c:pt>
                  <c:pt idx="20">
                    <c:v>Zdravotnictví (Q)</c:v>
                  </c:pt>
                </c:lvl>
              </c:multiLvlStrCache>
            </c:multiLvlStrRef>
          </c:cat>
          <c:val>
            <c:numRef>
              <c:f>'Graf-skladba investic'!$I$94:$I$123</c:f>
              <c:numCache>
                <c:formatCode>#,##0.0</c:formatCode>
                <c:ptCount val="30"/>
                <c:pt idx="0">
                  <c:v>87.2</c:v>
                </c:pt>
                <c:pt idx="1">
                  <c:v>108.3</c:v>
                </c:pt>
                <c:pt idx="2">
                  <c:v>100</c:v>
                </c:pt>
                <c:pt idx="3">
                  <c:v>89.2</c:v>
                </c:pt>
                <c:pt idx="4">
                  <c:v>92.3</c:v>
                </c:pt>
                <c:pt idx="5">
                  <c:v>81.599999999999994</c:v>
                </c:pt>
                <c:pt idx="6">
                  <c:v>103.3</c:v>
                </c:pt>
                <c:pt idx="7">
                  <c:v>133.4</c:v>
                </c:pt>
                <c:pt idx="8">
                  <c:v>68.400000000000006</c:v>
                </c:pt>
                <c:pt idx="9">
                  <c:v>94.7</c:v>
                </c:pt>
                <c:pt idx="10">
                  <c:v>104.1</c:v>
                </c:pt>
                <c:pt idx="11">
                  <c:v>100</c:v>
                </c:pt>
                <c:pt idx="12">
                  <c:v>100</c:v>
                </c:pt>
                <c:pt idx="13">
                  <c:v>115.7</c:v>
                </c:pt>
                <c:pt idx="14">
                  <c:v>117.1</c:v>
                </c:pt>
                <c:pt idx="15">
                  <c:v>119</c:v>
                </c:pt>
                <c:pt idx="16">
                  <c:v>124.1</c:v>
                </c:pt>
                <c:pt idx="17">
                  <c:v>130.69999999999999</c:v>
                </c:pt>
                <c:pt idx="18">
                  <c:v>88.9</c:v>
                </c:pt>
                <c:pt idx="19">
                  <c:v>87.8</c:v>
                </c:pt>
                <c:pt idx="20">
                  <c:v>83</c:v>
                </c:pt>
                <c:pt idx="21">
                  <c:v>103.3</c:v>
                </c:pt>
                <c:pt idx="22">
                  <c:v>100</c:v>
                </c:pt>
                <c:pt idx="23">
                  <c:v>94.7</c:v>
                </c:pt>
                <c:pt idx="24">
                  <c:v>83</c:v>
                </c:pt>
                <c:pt idx="25">
                  <c:v>71.7</c:v>
                </c:pt>
                <c:pt idx="26">
                  <c:v>74.8</c:v>
                </c:pt>
                <c:pt idx="27">
                  <c:v>100.7</c:v>
                </c:pt>
                <c:pt idx="28">
                  <c:v>80.7</c:v>
                </c:pt>
                <c:pt idx="29">
                  <c:v>82.3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CF0-4095-9929-B59E141CBF13}"/>
            </c:ext>
          </c:extLst>
        </c:ser>
        <c:marker val="1"/>
        <c:axId val="101570048"/>
        <c:axId val="101571968"/>
      </c:lineChart>
      <c:catAx>
        <c:axId val="101570048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01571968"/>
        <c:crossesAt val="100"/>
        <c:lblAlgn val="ctr"/>
        <c:lblOffset val="0"/>
        <c:tickLblSkip val="1"/>
        <c:tickMarkSkip val="4"/>
      </c:catAx>
      <c:valAx>
        <c:axId val="101571968"/>
        <c:scaling>
          <c:orientation val="minMax"/>
          <c:max val="14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1570048"/>
        <c:crosses val="autoZero"/>
        <c:crossBetween val="between"/>
        <c:majorUnit val="10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003603025859503E-2"/>
          <c:y val="0.85426770235280869"/>
          <c:w val="0.93337642751244954"/>
          <c:h val="0.13858381177530121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8297619918429124E-2"/>
          <c:y val="1.643251153889452E-2"/>
          <c:w val="0.94357472332509373"/>
          <c:h val="0.69722053360352121"/>
        </c:manualLayout>
      </c:layout>
      <c:barChart>
        <c:barDir val="col"/>
        <c:grouping val="stacked"/>
        <c:ser>
          <c:idx val="1"/>
          <c:order val="2"/>
          <c:tx>
            <c:strRef>
              <c:f>'Graf-srovnání s EU'!$E$50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rgbClr val="7DBB2D"/>
            </a:solidFill>
            <a:ln w="19050">
              <a:noFill/>
            </a:ln>
          </c:spP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EU'!$E$51:$E$85</c:f>
              <c:numCache>
                <c:formatCode>0.0</c:formatCode>
                <c:ptCount val="35"/>
                <c:pt idx="0">
                  <c:v>5.4203313561055255</c:v>
                </c:pt>
                <c:pt idx="1">
                  <c:v>5.2521739130434781</c:v>
                </c:pt>
                <c:pt idx="2">
                  <c:v>8.8737448798348115</c:v>
                </c:pt>
                <c:pt idx="3">
                  <c:v>9.22264442583886</c:v>
                </c:pt>
                <c:pt idx="4">
                  <c:v>6.4997018485390576</c:v>
                </c:pt>
                <c:pt idx="5">
                  <c:v>7.9561042524005465</c:v>
                </c:pt>
                <c:pt idx="6">
                  <c:v>5.2554744525547443</c:v>
                </c:pt>
                <c:pt idx="7">
                  <c:v>4.2678750363667151</c:v>
                </c:pt>
                <c:pt idx="8">
                  <c:v>5.8687382556487355</c:v>
                </c:pt>
                <c:pt idx="9">
                  <c:v>5.5317900706446448</c:v>
                </c:pt>
                <c:pt idx="10">
                  <c:v>6.1636338257873495</c:v>
                </c:pt>
                <c:pt idx="11">
                  <c:v>6.0773811856876812</c:v>
                </c:pt>
                <c:pt idx="12">
                  <c:v>9.9299010035105919</c:v>
                </c:pt>
                <c:pt idx="13">
                  <c:v>6.7712502000960484</c:v>
                </c:pt>
                <c:pt idx="14">
                  <c:v>9.0947164238322991</c:v>
                </c:pt>
                <c:pt idx="15">
                  <c:v>7.6577098496897547</c:v>
                </c:pt>
                <c:pt idx="16">
                  <c:v>6.0036105156267627</c:v>
                </c:pt>
                <c:pt idx="17">
                  <c:v>6.5039176082891945</c:v>
                </c:pt>
                <c:pt idx="18">
                  <c:v>8.9461493920092767</c:v>
                </c:pt>
                <c:pt idx="19">
                  <c:v>6.2049108592390319</c:v>
                </c:pt>
                <c:pt idx="20">
                  <c:v>6.7581114148200294</c:v>
                </c:pt>
                <c:pt idx="21">
                  <c:v>7.0093276749747124</c:v>
                </c:pt>
                <c:pt idx="22">
                  <c:v>5.6854029251505587</c:v>
                </c:pt>
                <c:pt idx="23">
                  <c:v>5.1607727092754265</c:v>
                </c:pt>
                <c:pt idx="24">
                  <c:v>5.0114069667142287</c:v>
                </c:pt>
                <c:pt idx="25">
                  <c:v>5.7244078035066375</c:v>
                </c:pt>
                <c:pt idx="26">
                  <c:v>6.0450142203357426</c:v>
                </c:pt>
                <c:pt idx="27">
                  <c:v>5.0846253994555575</c:v>
                </c:pt>
                <c:pt idx="28">
                  <c:v>6.3291104342774656</c:v>
                </c:pt>
                <c:pt idx="29">
                  <c:v>6.2747031485841642</c:v>
                </c:pt>
                <c:pt idx="31">
                  <c:v>7.2542618788538284</c:v>
                </c:pt>
                <c:pt idx="32">
                  <c:v>6.3063063063063067</c:v>
                </c:pt>
                <c:pt idx="33">
                  <c:v>3.9475406930252324</c:v>
                </c:pt>
                <c:pt idx="34">
                  <c:v>4.7530040053404505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4E-4169-B3DB-93FC97421751}"/>
            </c:ext>
          </c:extLst>
        </c:ser>
        <c:ser>
          <c:idx val="7"/>
          <c:order val="3"/>
          <c:tx>
            <c:strRef>
              <c:f>'Graf-srovnání s EU'!$F$50</c:f>
              <c:strCache>
                <c:ptCount val="1"/>
                <c:pt idx="0">
                  <c:v>P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EU'!$F$51:$F$85</c:f>
              <c:numCache>
                <c:formatCode>0.0</c:formatCode>
                <c:ptCount val="35"/>
                <c:pt idx="0">
                  <c:v>10.32931069748415</c:v>
                </c:pt>
                <c:pt idx="1">
                  <c:v>8</c:v>
                </c:pt>
                <c:pt idx="2">
                  <c:v>7.2135426106499425</c:v>
                </c:pt>
                <c:pt idx="3">
                  <c:v>8.3703655997080748</c:v>
                </c:pt>
                <c:pt idx="4">
                  <c:v>6.3168356191611945</c:v>
                </c:pt>
                <c:pt idx="5">
                  <c:v>8.7644522829708009</c:v>
                </c:pt>
                <c:pt idx="6">
                  <c:v>5.8394160583941614</c:v>
                </c:pt>
                <c:pt idx="7">
                  <c:v>8.4083442315445147</c:v>
                </c:pt>
                <c:pt idx="8">
                  <c:v>5.5685411797057345</c:v>
                </c:pt>
                <c:pt idx="9">
                  <c:v>7.0312156249236537</c:v>
                </c:pt>
                <c:pt idx="10">
                  <c:v>10.059432416747024</c:v>
                </c:pt>
                <c:pt idx="11">
                  <c:v>7.0482773567461274</c:v>
                </c:pt>
                <c:pt idx="12">
                  <c:v>6.2256036302475479</c:v>
                </c:pt>
                <c:pt idx="13">
                  <c:v>9.1724027533216752</c:v>
                </c:pt>
                <c:pt idx="14">
                  <c:v>7.2272307575501475</c:v>
                </c:pt>
                <c:pt idx="15">
                  <c:v>6.5790998240939134</c:v>
                </c:pt>
                <c:pt idx="16">
                  <c:v>9.0759336567753728</c:v>
                </c:pt>
                <c:pt idx="17">
                  <c:v>7.4087506800317824</c:v>
                </c:pt>
                <c:pt idx="18">
                  <c:v>7.2643048902458265</c:v>
                </c:pt>
                <c:pt idx="19">
                  <c:v>6.5425082410316273</c:v>
                </c:pt>
                <c:pt idx="20">
                  <c:v>7.4405225176984775</c:v>
                </c:pt>
                <c:pt idx="21">
                  <c:v>7.4052691669718911</c:v>
                </c:pt>
                <c:pt idx="22">
                  <c:v>4.5358952299015387</c:v>
                </c:pt>
                <c:pt idx="23">
                  <c:v>7.3446975222456077</c:v>
                </c:pt>
                <c:pt idx="24">
                  <c:v>6.3076898272428945</c:v>
                </c:pt>
                <c:pt idx="25">
                  <c:v>5.7836749425374689</c:v>
                </c:pt>
                <c:pt idx="26">
                  <c:v>5.0194176158921424</c:v>
                </c:pt>
                <c:pt idx="27">
                  <c:v>4.0632027458870894</c:v>
                </c:pt>
                <c:pt idx="28">
                  <c:v>6.7496657772007413</c:v>
                </c:pt>
                <c:pt idx="29">
                  <c:v>6.8229976865567048</c:v>
                </c:pt>
                <c:pt idx="31">
                  <c:v>7.3993471164309028</c:v>
                </c:pt>
                <c:pt idx="32">
                  <c:v>10.33386327503975</c:v>
                </c:pt>
                <c:pt idx="33">
                  <c:v>6.5666789536338523</c:v>
                </c:pt>
                <c:pt idx="34">
                  <c:v>3.2309746328437914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4E-4169-B3DB-93FC97421751}"/>
            </c:ext>
          </c:extLst>
        </c:ser>
        <c:ser>
          <c:idx val="2"/>
          <c:order val="4"/>
          <c:tx>
            <c:strRef>
              <c:f>'Graf-srovnání s EU'!$G$50</c:f>
              <c:strCache>
                <c:ptCount val="1"/>
                <c:pt idx="0">
                  <c:v>Q86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  <a:prstDash val="sysDash"/>
            </a:ln>
          </c:spP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EU'!$G$51:$G$85</c:f>
              <c:numCache>
                <c:formatCode>0.0</c:formatCode>
                <c:ptCount val="35"/>
                <c:pt idx="0">
                  <c:v>6.9952955614645127</c:v>
                </c:pt>
                <c:pt idx="1">
                  <c:v>7.1304347826086953</c:v>
                </c:pt>
                <c:pt idx="2">
                  <c:v>6.9887990720266924</c:v>
                </c:pt>
                <c:pt idx="3">
                  <c:v>6.7602670616775073</c:v>
                </c:pt>
                <c:pt idx="4">
                  <c:v>7.4219837010534704</c:v>
                </c:pt>
                <c:pt idx="5">
                  <c:v>4.3258867332941406</c:v>
                </c:pt>
                <c:pt idx="6">
                  <c:v>6.2886019090398824</c:v>
                </c:pt>
                <c:pt idx="7">
                  <c:v>7.1030174885162856</c:v>
                </c:pt>
                <c:pt idx="8">
                  <c:v>7.4201384114762359</c:v>
                </c:pt>
                <c:pt idx="9">
                  <c:v>6.942726539392309</c:v>
                </c:pt>
                <c:pt idx="10">
                  <c:v>5.3702220818243189</c:v>
                </c:pt>
                <c:pt idx="11">
                  <c:v>6.3545165923872524</c:v>
                </c:pt>
                <c:pt idx="12">
                  <c:v>4.1325672487554366</c:v>
                </c:pt>
                <c:pt idx="13">
                  <c:v>4.9463742596446334</c:v>
                </c:pt>
                <c:pt idx="14">
                  <c:v>4.6940629875362045</c:v>
                </c:pt>
                <c:pt idx="15">
                  <c:v>4.7452521145602233</c:v>
                </c:pt>
                <c:pt idx="16">
                  <c:v>4.2310730001128896</c:v>
                </c:pt>
                <c:pt idx="17">
                  <c:v>4.9131122630831854</c:v>
                </c:pt>
                <c:pt idx="18">
                  <c:v>3.6084644943938367</c:v>
                </c:pt>
                <c:pt idx="19">
                  <c:v>4.7306639486852013</c:v>
                </c:pt>
                <c:pt idx="20">
                  <c:v>4.5265772973780685</c:v>
                </c:pt>
                <c:pt idx="21">
                  <c:v>4.378621744469144</c:v>
                </c:pt>
                <c:pt idx="22">
                  <c:v>4.2562852499760755</c:v>
                </c:pt>
                <c:pt idx="23">
                  <c:v>4.4907995915560504</c:v>
                </c:pt>
                <c:pt idx="24">
                  <c:v>5.5789337912242933</c:v>
                </c:pt>
                <c:pt idx="25">
                  <c:v>4.8485078737913865</c:v>
                </c:pt>
                <c:pt idx="26">
                  <c:v>3.6559978055928601</c:v>
                </c:pt>
                <c:pt idx="27">
                  <c:v>3.5625517812758902</c:v>
                </c:pt>
                <c:pt idx="28">
                  <c:v>6.0889180184373375</c:v>
                </c:pt>
                <c:pt idx="29">
                  <c:v>6.5375480337881111</c:v>
                </c:pt>
                <c:pt idx="31">
                  <c:v>6.9640914036996824</c:v>
                </c:pt>
                <c:pt idx="32">
                  <c:v>5.8293587705352365</c:v>
                </c:pt>
                <c:pt idx="33">
                  <c:v>7.3316931682406512</c:v>
                </c:pt>
                <c:pt idx="34">
                  <c:v>3.7116154873164207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4E-4169-B3DB-93FC97421751}"/>
            </c:ext>
          </c:extLst>
        </c:ser>
        <c:ser>
          <c:idx val="5"/>
          <c:order val="5"/>
          <c:tx>
            <c:strRef>
              <c:f>'Graf-srovnání s EU'!$H$50</c:f>
              <c:strCache>
                <c:ptCount val="1"/>
                <c:pt idx="0">
                  <c:v>Q87-89</c:v>
                </c:pt>
              </c:strCache>
            </c:strRef>
          </c:tx>
          <c:spPr>
            <a:solidFill>
              <a:srgbClr val="0071BC"/>
            </a:solidFill>
            <a:ln w="19050">
              <a:noFill/>
              <a:prstDash val="sysDash"/>
            </a:ln>
          </c:spP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EU'!$H$51:$H$85</c:f>
              <c:numCache>
                <c:formatCode>0.0</c:formatCode>
                <c:ptCount val="35"/>
                <c:pt idx="0">
                  <c:v>10.083861730415219</c:v>
                </c:pt>
                <c:pt idx="1">
                  <c:v>10.504347826086956</c:v>
                </c:pt>
                <c:pt idx="2">
                  <c:v>7.1482944865335112</c:v>
                </c:pt>
                <c:pt idx="3">
                  <c:v>6.2321547412034946</c:v>
                </c:pt>
                <c:pt idx="4">
                  <c:v>8.240906380441265</c:v>
                </c:pt>
                <c:pt idx="5">
                  <c:v>3.693905545757421</c:v>
                </c:pt>
                <c:pt idx="6">
                  <c:v>9.1297024143739467</c:v>
                </c:pt>
                <c:pt idx="7">
                  <c:v>5.1315050815766181</c:v>
                </c:pt>
                <c:pt idx="8">
                  <c:v>5.7427013153673414</c:v>
                </c:pt>
                <c:pt idx="9">
                  <c:v>5.0380111955804434</c:v>
                </c:pt>
                <c:pt idx="10">
                  <c:v>1.3994901594904534</c:v>
                </c:pt>
                <c:pt idx="11">
                  <c:v>3.9679703405168802</c:v>
                </c:pt>
                <c:pt idx="12">
                  <c:v>2.4928602873945978</c:v>
                </c:pt>
                <c:pt idx="13">
                  <c:v>1.3126300624299658</c:v>
                </c:pt>
                <c:pt idx="14">
                  <c:v>0.70584835281641778</c:v>
                </c:pt>
                <c:pt idx="15">
                  <c:v>2.4058059555283977</c:v>
                </c:pt>
                <c:pt idx="16">
                  <c:v>1.2095227349655873</c:v>
                </c:pt>
                <c:pt idx="17">
                  <c:v>1.8040382943865341</c:v>
                </c:pt>
                <c:pt idx="18">
                  <c:v>1.0712217718587147</c:v>
                </c:pt>
                <c:pt idx="19">
                  <c:v>3.3770489688227747</c:v>
                </c:pt>
                <c:pt idx="20">
                  <c:v>1.4569726101602039</c:v>
                </c:pt>
                <c:pt idx="21">
                  <c:v>1.4157385665970139</c:v>
                </c:pt>
                <c:pt idx="22">
                  <c:v>6.0892840072650785</c:v>
                </c:pt>
                <c:pt idx="23">
                  <c:v>1.9390668305999539</c:v>
                </c:pt>
                <c:pt idx="24">
                  <c:v>2.0484171322160152</c:v>
                </c:pt>
                <c:pt idx="25">
                  <c:v>1.4275402237714416</c:v>
                </c:pt>
                <c:pt idx="26">
                  <c:v>0.98921564381307114</c:v>
                </c:pt>
                <c:pt idx="27">
                  <c:v>0.86519114688128795</c:v>
                </c:pt>
                <c:pt idx="28">
                  <c:v>4.4612018322323514</c:v>
                </c:pt>
                <c:pt idx="29">
                  <c:v>5.2072886193697725</c:v>
                </c:pt>
                <c:pt idx="31">
                  <c:v>13.674283641639461</c:v>
                </c:pt>
                <c:pt idx="32">
                  <c:v>5.299417064122947</c:v>
                </c:pt>
                <c:pt idx="33">
                  <c:v>6.0000690447026637</c:v>
                </c:pt>
                <c:pt idx="34">
                  <c:v>3.1241655540721012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4E-4169-B3DB-93FC97421751}"/>
            </c:ext>
          </c:extLst>
        </c:ser>
        <c:ser>
          <c:idx val="4"/>
          <c:order val="6"/>
          <c:tx>
            <c:strRef>
              <c:f>'Graf-srovnání s EU'!$I$50</c:f>
              <c:strCache>
                <c:ptCount val="1"/>
                <c:pt idx="0">
                  <c:v>R90-R92</c:v>
                </c:pt>
              </c:strCache>
            </c:strRef>
          </c:tx>
          <c:spPr>
            <a:solidFill>
              <a:srgbClr val="BCA6E8"/>
            </a:solidFill>
            <a:ln>
              <a:noFill/>
            </a:ln>
          </c:spP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EU'!$I$51:$I$85</c:f>
              <c:numCache>
                <c:formatCode>0.0</c:formatCode>
                <c:ptCount val="35"/>
                <c:pt idx="0">
                  <c:v>1.0840662712211087</c:v>
                </c:pt>
                <c:pt idx="1">
                  <c:v>1.0086956521739039</c:v>
                </c:pt>
                <c:pt idx="2">
                  <c:v>1.0983434226266082</c:v>
                </c:pt>
                <c:pt idx="3">
                  <c:v>0.50664433996693936</c:v>
                </c:pt>
                <c:pt idx="4">
                  <c:v>1.0494931425163978</c:v>
                </c:pt>
                <c:pt idx="5">
                  <c:v>2.8610621203213777</c:v>
                </c:pt>
                <c:pt idx="6">
                  <c:v>1.0780460415496911</c:v>
                </c:pt>
                <c:pt idx="7">
                  <c:v>1.322946699788403</c:v>
                </c:pt>
                <c:pt idx="8">
                  <c:v>0.9395481002795778</c:v>
                </c:pt>
                <c:pt idx="9">
                  <c:v>0.87560194578210171</c:v>
                </c:pt>
                <c:pt idx="10">
                  <c:v>1.542745057706012</c:v>
                </c:pt>
                <c:pt idx="11">
                  <c:v>0.87705747677665269</c:v>
                </c:pt>
                <c:pt idx="12">
                  <c:v>1.2532029935996558</c:v>
                </c:pt>
                <c:pt idx="13">
                  <c:v>1.6647991035697141</c:v>
                </c:pt>
                <c:pt idx="14">
                  <c:v>0.7335238781003327</c:v>
                </c:pt>
                <c:pt idx="15">
                  <c:v>0.9005972381684697</c:v>
                </c:pt>
                <c:pt idx="16">
                  <c:v>1.4780548347060904</c:v>
                </c:pt>
                <c:pt idx="17">
                  <c:v>1.0699166453016762</c:v>
                </c:pt>
                <c:pt idx="18">
                  <c:v>0.71327051639732664</c:v>
                </c:pt>
                <c:pt idx="19">
                  <c:v>0.45156337691995313</c:v>
                </c:pt>
                <c:pt idx="20">
                  <c:v>0.94640955873654331</c:v>
                </c:pt>
                <c:pt idx="21">
                  <c:v>0.89959285668124322</c:v>
                </c:pt>
                <c:pt idx="22">
                  <c:v>0.53293184208011135</c:v>
                </c:pt>
                <c:pt idx="23">
                  <c:v>1.376414445579011</c:v>
                </c:pt>
                <c:pt idx="24">
                  <c:v>0.7376236426515872</c:v>
                </c:pt>
                <c:pt idx="25">
                  <c:v>0.8966054366202586</c:v>
                </c:pt>
                <c:pt idx="26">
                  <c:v>0.92655954494925008</c:v>
                </c:pt>
                <c:pt idx="27">
                  <c:v>0.48526452834654987</c:v>
                </c:pt>
                <c:pt idx="28">
                  <c:v>0.97181457726173581</c:v>
                </c:pt>
                <c:pt idx="29">
                  <c:v>0.97982642675673892</c:v>
                </c:pt>
                <c:pt idx="31">
                  <c:v>1.1969532100108813</c:v>
                </c:pt>
                <c:pt idx="32">
                  <c:v>1.2188659247482874</c:v>
                </c:pt>
                <c:pt idx="33">
                  <c:v>1.1158580432299818</c:v>
                </c:pt>
                <c:pt idx="34">
                  <c:v>0.45393858477970822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4E-4169-B3DB-93FC97421751}"/>
            </c:ext>
          </c:extLst>
        </c:ser>
        <c:gapWidth val="30"/>
        <c:overlap val="100"/>
        <c:axId val="94812032"/>
        <c:axId val="94830592"/>
      </c:barChart>
      <c:lineChart>
        <c:grouping val="standard"/>
        <c:ser>
          <c:idx val="0"/>
          <c:order val="0"/>
          <c:tx>
            <c:strRef>
              <c:f>'Graf-srovnání s EU'!$C$50</c:f>
              <c:strCache>
                <c:ptCount val="1"/>
                <c:pt idx="0">
                  <c:v>rok 2006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 w="6350">
                <a:noFill/>
              </a:ln>
            </c:spPr>
          </c:marke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EU'!$C$51:$C$85</c:f>
              <c:numCache>
                <c:formatCode>0.0</c:formatCode>
                <c:ptCount val="35"/>
                <c:pt idx="0">
                  <c:v>21.338791561471886</c:v>
                </c:pt>
                <c:pt idx="1">
                  <c:v>22.854798992618235</c:v>
                </c:pt>
                <c:pt idx="2">
                  <c:v>22.096855830993384</c:v>
                </c:pt>
                <c:pt idx="3">
                  <c:v>20.791102088985806</c:v>
                </c:pt>
                <c:pt idx="4">
                  <c:v>19.962784515700065</c:v>
                </c:pt>
                <c:pt idx="5">
                  <c:v>18.03656869446343</c:v>
                </c:pt>
                <c:pt idx="6">
                  <c:v>20.474392716081443</c:v>
                </c:pt>
                <c:pt idx="7">
                  <c:v>19.597334538438073</c:v>
                </c:pt>
                <c:pt idx="8">
                  <c:v>17.666186906805262</c:v>
                </c:pt>
                <c:pt idx="9">
                  <c:v>16.275721243564632</c:v>
                </c:pt>
                <c:pt idx="10">
                  <c:v>15.232104979823974</c:v>
                </c:pt>
                <c:pt idx="11">
                  <c:v>17.557680402884579</c:v>
                </c:pt>
                <c:pt idx="12">
                  <c:v>18.755820088199229</c:v>
                </c:pt>
                <c:pt idx="13">
                  <c:v>13.997813104550398</c:v>
                </c:pt>
                <c:pt idx="14">
                  <c:v>20.866669325775792</c:v>
                </c:pt>
                <c:pt idx="15">
                  <c:v>17.186576483292821</c:v>
                </c:pt>
                <c:pt idx="16">
                  <c:v>16.995572004494086</c:v>
                </c:pt>
                <c:pt idx="17">
                  <c:v>15.020987992575547</c:v>
                </c:pt>
                <c:pt idx="18">
                  <c:v>21.13462352628823</c:v>
                </c:pt>
                <c:pt idx="19">
                  <c:v>22.057621079347026</c:v>
                </c:pt>
                <c:pt idx="20">
                  <c:v>15.754879072381662</c:v>
                </c:pt>
                <c:pt idx="21">
                  <c:v>14.438925510161818</c:v>
                </c:pt>
                <c:pt idx="22">
                  <c:v>14.728945347392248</c:v>
                </c:pt>
                <c:pt idx="23">
                  <c:v>17.523535498851633</c:v>
                </c:pt>
                <c:pt idx="24">
                  <c:v>17.497691710573669</c:v>
                </c:pt>
                <c:pt idx="25">
                  <c:v>15.456251607976252</c:v>
                </c:pt>
                <c:pt idx="26">
                  <c:v>14.409847613442874</c:v>
                </c:pt>
                <c:pt idx="27">
                  <c:v>12.117433921405254</c:v>
                </c:pt>
                <c:pt idx="28">
                  <c:v>19.008421783304076</c:v>
                </c:pt>
                <c:pt idx="29">
                  <c:v>19.24323083456958</c:v>
                </c:pt>
                <c:pt idx="31">
                  <c:v>18.436041378368049</c:v>
                </c:pt>
                <c:pt idx="32">
                  <c:v>20.250374992066316</c:v>
                </c:pt>
                <c:pt idx="33">
                  <c:v>17.326237860685289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F4E-4169-B3DB-93FC97421751}"/>
            </c:ext>
          </c:extLst>
        </c:ser>
        <c:ser>
          <c:idx val="3"/>
          <c:order val="1"/>
          <c:tx>
            <c:strRef>
              <c:f>'Graf-srovnání s EU'!$D$50</c:f>
              <c:strCache>
                <c:ptCount val="1"/>
                <c:pt idx="0">
                  <c:v>rok 2016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circle"/>
            <c:size val="5"/>
            <c:spPr>
              <a:solidFill>
                <a:sysClr val="window" lastClr="FFFFFF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strRef>
              <c:f>'Graf-srovnání s EU'!$B$51:$B$85</c:f>
              <c:strCache>
                <c:ptCount val="35"/>
                <c:pt idx="0">
                  <c:v>Švédsko</c:v>
                </c:pt>
                <c:pt idx="1">
                  <c:v>Dánsko</c:v>
                </c:pt>
                <c:pt idx="2">
                  <c:v>Francie</c:v>
                </c:pt>
                <c:pt idx="3">
                  <c:v>Belgie</c:v>
                </c:pt>
                <c:pt idx="4">
                  <c:v>Finsko</c:v>
                </c:pt>
                <c:pt idx="5">
                  <c:v>Malta</c:v>
                </c:pt>
                <c:pt idx="6">
                  <c:v>Nizozemsko</c:v>
                </c:pt>
                <c:pt idx="7">
                  <c:v>Vel.Británie</c:v>
                </c:pt>
                <c:pt idx="8">
                  <c:v>Německo</c:v>
                </c:pt>
                <c:pt idx="9">
                  <c:v>Irsko</c:v>
                </c:pt>
                <c:pt idx="10">
                  <c:v>Litva</c:v>
                </c:pt>
                <c:pt idx="11">
                  <c:v>Rakousko</c:v>
                </c:pt>
                <c:pt idx="12">
                  <c:v>Maďarsko</c:v>
                </c:pt>
                <c:pt idx="13">
                  <c:v>Estonsko</c:v>
                </c:pt>
                <c:pt idx="14">
                  <c:v>Řecko</c:v>
                </c:pt>
                <c:pt idx="15">
                  <c:v>Španělsko</c:v>
                </c:pt>
                <c:pt idx="16">
                  <c:v>Lotyšsko</c:v>
                </c:pt>
                <c:pt idx="17">
                  <c:v>Chorvatsko</c:v>
                </c:pt>
                <c:pt idx="18">
                  <c:v>Kypr</c:v>
                </c:pt>
                <c:pt idx="19">
                  <c:v>Portugalsko</c:v>
                </c:pt>
                <c:pt idx="20">
                  <c:v>Polsko</c:v>
                </c:pt>
                <c:pt idx="21">
                  <c:v>Slovensko</c:v>
                </c:pt>
                <c:pt idx="22">
                  <c:v>Lucemburs.</c:v>
                </c:pt>
                <c:pt idx="23">
                  <c:v>Slovinsko</c:v>
                </c:pt>
                <c:pt idx="24">
                  <c:v>Itálie</c:v>
                </c:pt>
                <c:pt idx="25">
                  <c:v>Česko</c:v>
                </c:pt>
                <c:pt idx="26">
                  <c:v>Bulharsko</c:v>
                </c:pt>
                <c:pt idx="27">
                  <c:v>Rumunsko</c:v>
                </c:pt>
                <c:pt idx="28">
                  <c:v>EU28</c:v>
                </c:pt>
                <c:pt idx="29">
                  <c:v>EU15</c:v>
                </c:pt>
                <c:pt idx="31">
                  <c:v>Norsko</c:v>
                </c:pt>
                <c:pt idx="32">
                  <c:v>Island</c:v>
                </c:pt>
                <c:pt idx="33">
                  <c:v>Švýcarsko</c:v>
                </c:pt>
                <c:pt idx="34">
                  <c:v>Lichtenšt.</c:v>
                </c:pt>
              </c:strCache>
            </c:strRef>
          </c:cat>
          <c:val>
            <c:numRef>
              <c:f>'Graf-srovnání s EU'!$D$51:$D$85</c:f>
              <c:numCache>
                <c:formatCode>0.0</c:formatCode>
                <c:ptCount val="35"/>
                <c:pt idx="0">
                  <c:v>22.233121373375063</c:v>
                </c:pt>
                <c:pt idx="1">
                  <c:v>23.425139312933052</c:v>
                </c:pt>
                <c:pt idx="2">
                  <c:v>23.410252742371426</c:v>
                </c:pt>
                <c:pt idx="3">
                  <c:v>22.70498332254693</c:v>
                </c:pt>
                <c:pt idx="4">
                  <c:v>21.95840591866142</c:v>
                </c:pt>
                <c:pt idx="5">
                  <c:v>17.201814462332131</c:v>
                </c:pt>
                <c:pt idx="6">
                  <c:v>22.295065860368414</c:v>
                </c:pt>
                <c:pt idx="7">
                  <c:v>19.272456001981574</c:v>
                </c:pt>
                <c:pt idx="8">
                  <c:v>19.032240067063523</c:v>
                </c:pt>
                <c:pt idx="9">
                  <c:v>12.040495257167526</c:v>
                </c:pt>
                <c:pt idx="10">
                  <c:v>15.58319488119945</c:v>
                </c:pt>
                <c:pt idx="11">
                  <c:v>18.500726900068916</c:v>
                </c:pt>
                <c:pt idx="12">
                  <c:v>18.900669423693433</c:v>
                </c:pt>
                <c:pt idx="13">
                  <c:v>17.419596977608027</c:v>
                </c:pt>
                <c:pt idx="14">
                  <c:v>22.246432561178491</c:v>
                </c:pt>
                <c:pt idx="15">
                  <c:v>19.674335976258035</c:v>
                </c:pt>
                <c:pt idx="16">
                  <c:v>17.653975983620231</c:v>
                </c:pt>
                <c:pt idx="17">
                  <c:v>16.152237244575581</c:v>
                </c:pt>
                <c:pt idx="18">
                  <c:v>21.119674790589631</c:v>
                </c:pt>
                <c:pt idx="19">
                  <c:v>20.033560649641828</c:v>
                </c:pt>
                <c:pt idx="20">
                  <c:v>15.129047435524924</c:v>
                </c:pt>
                <c:pt idx="21">
                  <c:v>16.74645387654051</c:v>
                </c:pt>
                <c:pt idx="22">
                  <c:v>15.974748978941516</c:v>
                </c:pt>
                <c:pt idx="23">
                  <c:v>17.879718362158844</c:v>
                </c:pt>
                <c:pt idx="24">
                  <c:v>17.444360440861029</c:v>
                </c:pt>
                <c:pt idx="25">
                  <c:v>15.508502891851206</c:v>
                </c:pt>
                <c:pt idx="26">
                  <c:v>14.383722719857175</c:v>
                </c:pt>
                <c:pt idx="27">
                  <c:v>14.032858650982821</c:v>
                </c:pt>
                <c:pt idx="28">
                  <c:v>19.643994878521589</c:v>
                </c:pt>
                <c:pt idx="29">
                  <c:v>19.981872263077889</c:v>
                </c:pt>
                <c:pt idx="31">
                  <c:v>23.353507432518615</c:v>
                </c:pt>
                <c:pt idx="32">
                  <c:v>19.337543601</c:v>
                </c:pt>
                <c:pt idx="33">
                  <c:v>19.336713087423089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4E-4169-B3DB-93FC97421751}"/>
            </c:ext>
          </c:extLst>
        </c:ser>
        <c:marker val="1"/>
        <c:axId val="94812032"/>
        <c:axId val="94830592"/>
      </c:lineChart>
      <c:catAx>
        <c:axId val="94812032"/>
        <c:scaling>
          <c:orientation val="minMax"/>
        </c:scaling>
        <c:axPos val="b"/>
        <c:numFmt formatCode="General" sourceLinked="1"/>
        <c:maj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94830592"/>
        <c:crossesAt val="0"/>
        <c:lblAlgn val="ctr"/>
        <c:lblOffset val="0"/>
        <c:tickLblSkip val="1"/>
        <c:tickMarkSkip val="4"/>
      </c:catAx>
      <c:valAx>
        <c:axId val="94830592"/>
        <c:scaling>
          <c:orientation val="minMax"/>
          <c:max val="37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4812032"/>
        <c:crossesAt val="1"/>
        <c:crossBetween val="between"/>
        <c:majorUnit val="2"/>
      </c:val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616893350219913E-2"/>
          <c:y val="0.95077226162332562"/>
          <c:w val="0.929321230982318"/>
          <c:h val="3.8764775413711601E-2"/>
        </c:manualLayout>
      </c:layout>
      <c:spPr>
        <a:noFill/>
        <a:ln w="6350">
          <a:noFill/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160670300827814E-2"/>
          <c:y val="2.1454144318916658E-2"/>
          <c:w val="0.89353506965475449"/>
          <c:h val="0.72089927645199392"/>
        </c:manualLayout>
      </c:layout>
      <c:barChart>
        <c:barDir val="col"/>
        <c:grouping val="clustered"/>
        <c:ser>
          <c:idx val="0"/>
          <c:order val="0"/>
          <c:tx>
            <c:strRef>
              <c:f>'Graf-zdravot účty-doplněný'!$C$23</c:f>
              <c:strCache>
                <c:ptCount val="1"/>
                <c:pt idx="0">
                  <c:v>Celk. výdaje na zdrav. péči (mld. korun)</c:v>
                </c:pt>
              </c:strCache>
            </c:strRef>
          </c:tx>
          <c:spPr>
            <a:solidFill>
              <a:srgbClr val="DFF1F5"/>
            </a:solidFill>
            <a:ln w="6350">
              <a:solidFill>
                <a:schemeClr val="bg1">
                  <a:lumMod val="50000"/>
                </a:schemeClr>
              </a:solidFill>
            </a:ln>
          </c:spPr>
          <c:dPt>
            <c:idx val="0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86A-4D79-87F0-95BE2F1A7AA3}"/>
              </c:ext>
            </c:extLst>
          </c:dPt>
          <c:dPt>
            <c:idx val="1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6A-4D79-87F0-95BE2F1A7AA3}"/>
              </c:ext>
            </c:extLst>
          </c:dPt>
          <c:dPt>
            <c:idx val="2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86A-4D79-87F0-95BE2F1A7AA3}"/>
              </c:ext>
            </c:extLst>
          </c:dPt>
          <c:dPt>
            <c:idx val="3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6A-4D79-87F0-95BE2F1A7AA3}"/>
              </c:ext>
            </c:extLst>
          </c:dPt>
          <c:dPt>
            <c:idx val="4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86A-4D79-87F0-95BE2F1A7AA3}"/>
              </c:ext>
            </c:extLst>
          </c:dPt>
          <c:dPt>
            <c:idx val="6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6A-4D79-87F0-95BE2F1A7AA3}"/>
              </c:ext>
            </c:extLst>
          </c:dPt>
          <c:dPt>
            <c:idx val="7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86A-4D79-87F0-95BE2F1A7AA3}"/>
              </c:ext>
            </c:extLst>
          </c:dPt>
          <c:dPt>
            <c:idx val="8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6A-4D79-87F0-95BE2F1A7AA3}"/>
              </c:ext>
            </c:extLst>
          </c:dPt>
          <c:dPt>
            <c:idx val="9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86A-4D79-87F0-95BE2F1A7AA3}"/>
              </c:ext>
            </c:extLst>
          </c:dPt>
          <c:dPt>
            <c:idx val="10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6A-4D79-87F0-95BE2F1A7AA3}"/>
              </c:ext>
            </c:extLst>
          </c:dPt>
          <c:dPt>
            <c:idx val="12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86A-4D79-87F0-95BE2F1A7AA3}"/>
              </c:ext>
            </c:extLst>
          </c:dPt>
          <c:dPt>
            <c:idx val="13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86A-4D79-87F0-95BE2F1A7AA3}"/>
              </c:ext>
            </c:extLst>
          </c:dPt>
          <c:dPt>
            <c:idx val="14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86A-4D79-87F0-95BE2F1A7AA3}"/>
              </c:ext>
            </c:extLst>
          </c:dPt>
          <c:dPt>
            <c:idx val="15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86A-4D79-87F0-95BE2F1A7AA3}"/>
              </c:ext>
            </c:extLst>
          </c:dPt>
          <c:dPt>
            <c:idx val="16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86A-4D79-87F0-95BE2F1A7AA3}"/>
              </c:ext>
            </c:extLst>
          </c:dPt>
          <c:dPt>
            <c:idx val="18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86A-4D79-87F0-95BE2F1A7AA3}"/>
              </c:ext>
            </c:extLst>
          </c:dPt>
          <c:dPt>
            <c:idx val="19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86A-4D79-87F0-95BE2F1A7AA3}"/>
              </c:ext>
            </c:extLst>
          </c:dPt>
          <c:dPt>
            <c:idx val="20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86A-4D79-87F0-95BE2F1A7AA3}"/>
              </c:ext>
            </c:extLst>
          </c:dPt>
          <c:dPt>
            <c:idx val="21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86A-4D79-87F0-95BE2F1A7AA3}"/>
              </c:ext>
            </c:extLst>
          </c:dPt>
          <c:dPt>
            <c:idx val="22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86A-4D79-87F0-95BE2F1A7AA3}"/>
              </c:ext>
            </c:extLst>
          </c:dPt>
          <c:dPt>
            <c:idx val="24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86A-4D79-87F0-95BE2F1A7AA3}"/>
              </c:ext>
            </c:extLst>
          </c:dPt>
          <c:dPt>
            <c:idx val="25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86A-4D79-87F0-95BE2F1A7AA3}"/>
              </c:ext>
            </c:extLst>
          </c:dPt>
          <c:dPt>
            <c:idx val="26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86A-4D79-87F0-95BE2F1A7AA3}"/>
              </c:ext>
            </c:extLst>
          </c:dPt>
          <c:dPt>
            <c:idx val="27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A86A-4D79-87F0-95BE2F1A7AA3}"/>
              </c:ext>
            </c:extLst>
          </c:dPt>
          <c:dPt>
            <c:idx val="28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86A-4D79-87F0-95BE2F1A7AA3}"/>
              </c:ext>
            </c:extLst>
          </c:dPt>
          <c:dPt>
            <c:idx val="30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A86A-4D79-87F0-95BE2F1A7AA3}"/>
              </c:ext>
            </c:extLst>
          </c:dPt>
          <c:dPt>
            <c:idx val="31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A86A-4D79-87F0-95BE2F1A7AA3}"/>
              </c:ext>
            </c:extLst>
          </c:dPt>
          <c:dPt>
            <c:idx val="32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A86A-4D79-87F0-95BE2F1A7AA3}"/>
              </c:ext>
            </c:extLst>
          </c:dPt>
          <c:dPt>
            <c:idx val="33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A86A-4D79-87F0-95BE2F1A7AA3}"/>
              </c:ext>
            </c:extLst>
          </c:dPt>
          <c:dPt>
            <c:idx val="34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A86A-4D79-87F0-95BE2F1A7AA3}"/>
              </c:ext>
            </c:extLst>
          </c:dPt>
          <c:dPt>
            <c:idx val="36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A86A-4D79-87F0-95BE2F1A7AA3}"/>
              </c:ext>
            </c:extLst>
          </c:dPt>
          <c:dPt>
            <c:idx val="37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A86A-4D79-87F0-95BE2F1A7AA3}"/>
              </c:ext>
            </c:extLst>
          </c:dPt>
          <c:dPt>
            <c:idx val="38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A86A-4D79-87F0-95BE2F1A7AA3}"/>
              </c:ext>
            </c:extLst>
          </c:dPt>
          <c:dPt>
            <c:idx val="39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A86A-4D79-87F0-95BE2F1A7AA3}"/>
              </c:ext>
            </c:extLst>
          </c:dPt>
          <c:dPt>
            <c:idx val="40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A86A-4D79-87F0-95BE2F1A7AA3}"/>
              </c:ext>
            </c:extLst>
          </c:dPt>
          <c:dPt>
            <c:idx val="42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A86A-4D79-87F0-95BE2F1A7AA3}"/>
              </c:ext>
            </c:extLst>
          </c:dPt>
          <c:dPt>
            <c:idx val="43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A86A-4D79-87F0-95BE2F1A7AA3}"/>
              </c:ext>
            </c:extLst>
          </c:dPt>
          <c:dPt>
            <c:idx val="44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A86A-4D79-87F0-95BE2F1A7AA3}"/>
              </c:ext>
            </c:extLst>
          </c:dPt>
          <c:dPt>
            <c:idx val="45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A86A-4D79-87F0-95BE2F1A7AA3}"/>
              </c:ext>
            </c:extLst>
          </c:dPt>
          <c:dPt>
            <c:idx val="46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A86A-4D79-87F0-95BE2F1A7AA3}"/>
              </c:ext>
            </c:extLst>
          </c:dPt>
          <c:dPt>
            <c:idx val="48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A86A-4D79-87F0-95BE2F1A7AA3}"/>
              </c:ext>
            </c:extLst>
          </c:dPt>
          <c:dPt>
            <c:idx val="49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A86A-4D79-87F0-95BE2F1A7AA3}"/>
              </c:ext>
            </c:extLst>
          </c:dPt>
          <c:dPt>
            <c:idx val="50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A86A-4D79-87F0-95BE2F1A7AA3}"/>
              </c:ext>
            </c:extLst>
          </c:dPt>
          <c:dPt>
            <c:idx val="51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A86A-4D79-87F0-95BE2F1A7AA3}"/>
              </c:ext>
            </c:extLst>
          </c:dPt>
          <c:dPt>
            <c:idx val="52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A86A-4D79-87F0-95BE2F1A7AA3}"/>
              </c:ext>
            </c:extLst>
          </c:dPt>
          <c:dPt>
            <c:idx val="54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A86A-4D79-87F0-95BE2F1A7AA3}"/>
              </c:ext>
            </c:extLst>
          </c:dPt>
          <c:dPt>
            <c:idx val="55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A86A-4D79-87F0-95BE2F1A7AA3}"/>
              </c:ext>
            </c:extLst>
          </c:dPt>
          <c:dPt>
            <c:idx val="56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A86A-4D79-87F0-95BE2F1A7AA3}"/>
              </c:ext>
            </c:extLst>
          </c:dPt>
          <c:dPt>
            <c:idx val="57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A86A-4D79-87F0-95BE2F1A7AA3}"/>
              </c:ext>
            </c:extLst>
          </c:dPt>
          <c:dPt>
            <c:idx val="58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A86A-4D79-87F0-95BE2F1A7AA3}"/>
              </c:ext>
            </c:extLst>
          </c:dPt>
          <c:dPt>
            <c:idx val="60"/>
            <c:spPr>
              <a:solidFill>
                <a:schemeClr val="bg1">
                  <a:lumMod val="8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A86A-4D79-87F0-95BE2F1A7AA3}"/>
              </c:ext>
            </c:extLst>
          </c:dPt>
          <c:dPt>
            <c:idx val="61"/>
            <c:spPr>
              <a:solidFill>
                <a:srgbClr val="D9EEF3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A86A-4D79-87F0-95BE2F1A7AA3}"/>
              </c:ext>
            </c:extLst>
          </c:dPt>
          <c:dPt>
            <c:idx val="62"/>
            <c:spPr>
              <a:solidFill>
                <a:srgbClr val="90CCDC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A86A-4D79-87F0-95BE2F1A7AA3}"/>
              </c:ext>
            </c:extLst>
          </c:dPt>
          <c:dPt>
            <c:idx val="63"/>
            <c:spPr>
              <a:solidFill>
                <a:srgbClr val="3EA6C2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A86A-4D79-87F0-95BE2F1A7AA3}"/>
              </c:ext>
            </c:extLst>
          </c:dPt>
          <c:dPt>
            <c:idx val="64"/>
            <c:spPr>
              <a:solidFill>
                <a:srgbClr val="0070C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6-A86A-4D79-87F0-95BE2F1A7AA3}"/>
              </c:ext>
            </c:extLst>
          </c:dPt>
          <c:cat>
            <c:strRef>
              <c:f>'Graf-zdravot účty-doplněný'!$A$24:$B$88</c:f>
              <c:strCache>
                <c:ptCount val="63"/>
                <c:pt idx="2">
                  <c:v>Lůžková 
péče</c:v>
                </c:pt>
                <c:pt idx="8">
                  <c:v>Ambulantní 
péče</c:v>
                </c:pt>
                <c:pt idx="14">
                  <c:v>Stomatologická 
péče</c:v>
                </c:pt>
                <c:pt idx="20">
                  <c:v>Rehabilitační 
péče</c:v>
                </c:pt>
                <c:pt idx="26">
                  <c:v>Dlouhodobá 
péče</c:v>
                </c:pt>
                <c:pt idx="32">
                  <c:v>Doplňkové 
služby*</c:v>
                </c:pt>
                <c:pt idx="38">
                  <c:v>Léky na 
předpis</c:v>
                </c:pt>
                <c:pt idx="44">
                  <c:v>Ost. léčiva a
zdrav.výrobky</c:v>
                </c:pt>
                <c:pt idx="50">
                  <c:v>Preventivní 
péče</c:v>
                </c:pt>
                <c:pt idx="56">
                  <c:v>Správa systému 
zdravotní péče</c:v>
                </c:pt>
                <c:pt idx="62">
                  <c:v>Ostatní výdaje</c:v>
                </c:pt>
              </c:strCache>
            </c:strRef>
          </c:cat>
          <c:val>
            <c:numRef>
              <c:f>'Graf-zdravot účty-doplněný'!$C$24:$C$88</c:f>
              <c:numCache>
                <c:formatCode>#,##0.0</c:formatCode>
                <c:ptCount val="65"/>
                <c:pt idx="0">
                  <c:v>55.948</c:v>
                </c:pt>
                <c:pt idx="1">
                  <c:v>53.489000000000004</c:v>
                </c:pt>
                <c:pt idx="2">
                  <c:v>52.473000000000006</c:v>
                </c:pt>
                <c:pt idx="3">
                  <c:v>51.431000000000004</c:v>
                </c:pt>
                <c:pt idx="4">
                  <c:v>50.938000000000002</c:v>
                </c:pt>
                <c:pt idx="6">
                  <c:v>59.101000000000006</c:v>
                </c:pt>
                <c:pt idx="7">
                  <c:v>65.040000000000006</c:v>
                </c:pt>
                <c:pt idx="8">
                  <c:v>61.609000000000002</c:v>
                </c:pt>
                <c:pt idx="9">
                  <c:v>66.461000000000027</c:v>
                </c:pt>
                <c:pt idx="10">
                  <c:v>67.361000000000004</c:v>
                </c:pt>
                <c:pt idx="12">
                  <c:v>16.829000000000001</c:v>
                </c:pt>
                <c:pt idx="13">
                  <c:v>16.899999999999999</c:v>
                </c:pt>
                <c:pt idx="14">
                  <c:v>17.491</c:v>
                </c:pt>
                <c:pt idx="15">
                  <c:v>17.780999999999889</c:v>
                </c:pt>
                <c:pt idx="16">
                  <c:v>18.23</c:v>
                </c:pt>
                <c:pt idx="18">
                  <c:v>12.808</c:v>
                </c:pt>
                <c:pt idx="19">
                  <c:v>13.753</c:v>
                </c:pt>
                <c:pt idx="20">
                  <c:v>13.737999999999998</c:v>
                </c:pt>
                <c:pt idx="21">
                  <c:v>14.764000000000001</c:v>
                </c:pt>
                <c:pt idx="22">
                  <c:v>15.018000000000001</c:v>
                </c:pt>
                <c:pt idx="24">
                  <c:v>52.761000000000003</c:v>
                </c:pt>
                <c:pt idx="25">
                  <c:v>55.836999999999996</c:v>
                </c:pt>
                <c:pt idx="26">
                  <c:v>62.113</c:v>
                </c:pt>
                <c:pt idx="27">
                  <c:v>61.018000000000001</c:v>
                </c:pt>
                <c:pt idx="28">
                  <c:v>65.263999999999996</c:v>
                </c:pt>
                <c:pt idx="30">
                  <c:v>37.039000000000001</c:v>
                </c:pt>
                <c:pt idx="31">
                  <c:v>38.469000000000001</c:v>
                </c:pt>
                <c:pt idx="32">
                  <c:v>38.882999999999996</c:v>
                </c:pt>
                <c:pt idx="33">
                  <c:v>40.020000000000003</c:v>
                </c:pt>
                <c:pt idx="34">
                  <c:v>41.080999999999996</c:v>
                </c:pt>
                <c:pt idx="36">
                  <c:v>42.065000000000012</c:v>
                </c:pt>
                <c:pt idx="37">
                  <c:v>41.949000000000005</c:v>
                </c:pt>
                <c:pt idx="38">
                  <c:v>41.026000000000003</c:v>
                </c:pt>
                <c:pt idx="39">
                  <c:v>41.781000000000006</c:v>
                </c:pt>
                <c:pt idx="40">
                  <c:v>42.253</c:v>
                </c:pt>
                <c:pt idx="42">
                  <c:v>24.166</c:v>
                </c:pt>
                <c:pt idx="43">
                  <c:v>24.835000000000001</c:v>
                </c:pt>
                <c:pt idx="44">
                  <c:v>25.994999999999987</c:v>
                </c:pt>
                <c:pt idx="45">
                  <c:v>26.05</c:v>
                </c:pt>
                <c:pt idx="46">
                  <c:v>27.032</c:v>
                </c:pt>
                <c:pt idx="48">
                  <c:v>9.99</c:v>
                </c:pt>
                <c:pt idx="49">
                  <c:v>10.765000000000002</c:v>
                </c:pt>
                <c:pt idx="50">
                  <c:v>11.433</c:v>
                </c:pt>
                <c:pt idx="51">
                  <c:v>9.027000000000001</c:v>
                </c:pt>
                <c:pt idx="52">
                  <c:v>9.738999999999999</c:v>
                </c:pt>
                <c:pt idx="54">
                  <c:v>8.6489999999999991</c:v>
                </c:pt>
                <c:pt idx="55">
                  <c:v>9.0050000000000008</c:v>
                </c:pt>
                <c:pt idx="56">
                  <c:v>9.0400000000000009</c:v>
                </c:pt>
                <c:pt idx="57">
                  <c:v>8.5360000000000014</c:v>
                </c:pt>
                <c:pt idx="58">
                  <c:v>8.5830000000000002</c:v>
                </c:pt>
                <c:pt idx="60">
                  <c:v>14.730999999999998</c:v>
                </c:pt>
                <c:pt idx="61">
                  <c:v>14.678000000000001</c:v>
                </c:pt>
                <c:pt idx="62">
                  <c:v>14.932000000000002</c:v>
                </c:pt>
                <c:pt idx="63">
                  <c:v>15.172000000000002</c:v>
                </c:pt>
                <c:pt idx="64">
                  <c:v>16.146999999999988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7-A86A-4D79-87F0-95BE2F1A7AA3}"/>
            </c:ext>
          </c:extLst>
        </c:ser>
        <c:gapWidth val="0"/>
        <c:axId val="94946816"/>
        <c:axId val="94948736"/>
      </c:barChart>
      <c:lineChart>
        <c:grouping val="standard"/>
        <c:ser>
          <c:idx val="1"/>
          <c:order val="1"/>
          <c:tx>
            <c:strRef>
              <c:f>'Graf-zdravot účty-doplněný'!$D$23</c:f>
              <c:strCache>
                <c:ptCount val="1"/>
                <c:pt idx="0">
                  <c:v>Výdaje domácností na zdrav.péči (mld. korun, pravá osa)</c:v>
                </c:pt>
              </c:strCache>
            </c:strRef>
          </c:tx>
          <c:spPr>
            <a:ln w="6350"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prstClr val="white">
                    <a:lumMod val="50000"/>
                  </a:prstClr>
                </a:solidFill>
              </a:ln>
            </c:spPr>
          </c:marker>
          <c:cat>
            <c:strRef>
              <c:f>'Graf-zdravot účty-doplněný'!$A$24:$B$88</c:f>
              <c:strCache>
                <c:ptCount val="63"/>
                <c:pt idx="2">
                  <c:v>Lůžková 
péče</c:v>
                </c:pt>
                <c:pt idx="8">
                  <c:v>Ambulantní 
péče</c:v>
                </c:pt>
                <c:pt idx="14">
                  <c:v>Stomatologická 
péče</c:v>
                </c:pt>
                <c:pt idx="20">
                  <c:v>Rehabilitační 
péče</c:v>
                </c:pt>
                <c:pt idx="26">
                  <c:v>Dlouhodobá 
péče</c:v>
                </c:pt>
                <c:pt idx="32">
                  <c:v>Doplňkové 
služby*</c:v>
                </c:pt>
                <c:pt idx="38">
                  <c:v>Léky na 
předpis</c:v>
                </c:pt>
                <c:pt idx="44">
                  <c:v>Ost. léčiva a
zdrav.výrobky</c:v>
                </c:pt>
                <c:pt idx="50">
                  <c:v>Preventivní 
péče</c:v>
                </c:pt>
                <c:pt idx="56">
                  <c:v>Správa systému 
zdravotní péče</c:v>
                </c:pt>
                <c:pt idx="62">
                  <c:v>Ostatní výdaje</c:v>
                </c:pt>
              </c:strCache>
            </c:strRef>
          </c:cat>
          <c:val>
            <c:numRef>
              <c:f>'Graf-zdravot účty-doplněný'!$D$24:$D$88</c:f>
              <c:numCache>
                <c:formatCode>#,##0.0</c:formatCode>
                <c:ptCount val="65"/>
                <c:pt idx="0">
                  <c:v>0.54</c:v>
                </c:pt>
                <c:pt idx="1">
                  <c:v>0.7750000000000038</c:v>
                </c:pt>
                <c:pt idx="2">
                  <c:v>0.83700000000000063</c:v>
                </c:pt>
                <c:pt idx="3">
                  <c:v>0.90300000000000002</c:v>
                </c:pt>
                <c:pt idx="4">
                  <c:v>0.90700000000000003</c:v>
                </c:pt>
                <c:pt idx="6">
                  <c:v>5.71</c:v>
                </c:pt>
                <c:pt idx="7">
                  <c:v>5.6969999999999965</c:v>
                </c:pt>
                <c:pt idx="8">
                  <c:v>6.1099999999999985</c:v>
                </c:pt>
                <c:pt idx="9">
                  <c:v>6.2290000000000001</c:v>
                </c:pt>
                <c:pt idx="10">
                  <c:v>6.41</c:v>
                </c:pt>
                <c:pt idx="12">
                  <c:v>7.1179999999999755</c:v>
                </c:pt>
                <c:pt idx="13">
                  <c:v>7.3619999999999965</c:v>
                </c:pt>
                <c:pt idx="14">
                  <c:v>8.4360000000000035</c:v>
                </c:pt>
                <c:pt idx="15">
                  <c:v>9.2360000000000024</c:v>
                </c:pt>
                <c:pt idx="16">
                  <c:v>9.6369999999999987</c:v>
                </c:pt>
                <c:pt idx="18">
                  <c:v>2.222</c:v>
                </c:pt>
                <c:pt idx="19">
                  <c:v>2.9830000000000001</c:v>
                </c:pt>
                <c:pt idx="20">
                  <c:v>3.24</c:v>
                </c:pt>
                <c:pt idx="21">
                  <c:v>3.5619999999999998</c:v>
                </c:pt>
                <c:pt idx="22">
                  <c:v>3.6869999999999998</c:v>
                </c:pt>
                <c:pt idx="36">
                  <c:v>8.9320000000000004</c:v>
                </c:pt>
                <c:pt idx="37">
                  <c:v>9.3030000000000008</c:v>
                </c:pt>
                <c:pt idx="38">
                  <c:v>9.4960000000000004</c:v>
                </c:pt>
                <c:pt idx="39">
                  <c:v>10.120999999999999</c:v>
                </c:pt>
                <c:pt idx="40">
                  <c:v>10.295</c:v>
                </c:pt>
                <c:pt idx="42">
                  <c:v>18.183</c:v>
                </c:pt>
                <c:pt idx="43">
                  <c:v>17.344999999999999</c:v>
                </c:pt>
                <c:pt idx="44">
                  <c:v>18.370999999999999</c:v>
                </c:pt>
                <c:pt idx="45">
                  <c:v>19.306999999999999</c:v>
                </c:pt>
                <c:pt idx="46">
                  <c:v>20.279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8-A86A-4D79-87F0-95BE2F1A7AA3}"/>
            </c:ext>
          </c:extLst>
        </c:ser>
        <c:marker val="1"/>
        <c:axId val="94960256"/>
        <c:axId val="94958720"/>
      </c:lineChart>
      <c:catAx>
        <c:axId val="94946816"/>
        <c:scaling>
          <c:orientation val="minMax"/>
        </c:scaling>
        <c:axPos val="b"/>
        <c:numFmt formatCode="General" sourceLinked="0"/>
        <c:majorTickMark val="none"/>
        <c:tickLblPos val="low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94948736"/>
        <c:crosses val="autoZero"/>
        <c:auto val="1"/>
        <c:lblAlgn val="ctr"/>
        <c:lblOffset val="0"/>
      </c:catAx>
      <c:valAx>
        <c:axId val="94948736"/>
        <c:scaling>
          <c:orientation val="minMax"/>
          <c:max val="70"/>
          <c:min val="0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94946816"/>
        <c:crosses val="autoZero"/>
        <c:crossBetween val="between"/>
        <c:majorUnit val="5"/>
      </c:valAx>
      <c:valAx>
        <c:axId val="94958720"/>
        <c:scaling>
          <c:orientation val="minMax"/>
          <c:max val="28"/>
          <c:min val="0"/>
        </c:scaling>
        <c:axPos val="r"/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94960256"/>
        <c:crosses val="max"/>
        <c:crossBetween val="between"/>
        <c:majorUnit val="2"/>
      </c:valAx>
      <c:catAx>
        <c:axId val="94960256"/>
        <c:scaling>
          <c:orientation val="minMax"/>
        </c:scaling>
        <c:delete val="1"/>
        <c:axPos val="b"/>
        <c:numFmt formatCode="General" sourceLinked="1"/>
        <c:tickLblPos val="none"/>
        <c:crossAx val="9495872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1.1051731047812367E-2"/>
          <c:y val="0.95188385469699721"/>
          <c:w val="0.97664957068186731"/>
          <c:h val="4.3073292109752727E-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92808013777859E-2"/>
          <c:y val="1.5820973818493969E-2"/>
          <c:w val="0.89299261054794354"/>
          <c:h val="0.72952686649990062"/>
        </c:manualLayout>
      </c:layout>
      <c:barChart>
        <c:barDir val="col"/>
        <c:grouping val="stacked"/>
        <c:ser>
          <c:idx val="7"/>
          <c:order val="1"/>
          <c:tx>
            <c:strRef>
              <c:f>'Graf-prac. neschopnost'!$C$4</c:f>
              <c:strCache>
                <c:ptCount val="1"/>
                <c:pt idx="0">
                  <c:v>Průměrné procento dočasné pracovní neschopnosti pro nemoc*</c:v>
                </c:pt>
              </c:strCache>
            </c:strRef>
          </c:tx>
          <c:spPr>
            <a:solidFill>
              <a:srgbClr val="BFE3F7"/>
            </a:solidFill>
            <a:ln>
              <a:noFill/>
            </a:ln>
          </c:spP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neschopnost'!$C$5:$C$17</c:f>
              <c:numCache>
                <c:formatCode>0.00</c:formatCode>
                <c:ptCount val="13"/>
                <c:pt idx="0">
                  <c:v>5.5206615715764356</c:v>
                </c:pt>
                <c:pt idx="1">
                  <c:v>5.1885174008291095</c:v>
                </c:pt>
                <c:pt idx="2">
                  <c:v>5.0503956950584197</c:v>
                </c:pt>
                <c:pt idx="3">
                  <c:v>4.6399999999999997</c:v>
                </c:pt>
                <c:pt idx="4">
                  <c:v>3.6869999999999998</c:v>
                </c:pt>
                <c:pt idx="5">
                  <c:v>3.2840000000000011</c:v>
                </c:pt>
                <c:pt idx="6">
                  <c:v>3.173</c:v>
                </c:pt>
                <c:pt idx="7">
                  <c:v>2.9129999999999967</c:v>
                </c:pt>
                <c:pt idx="8">
                  <c:v>3.0592512524333415</c:v>
                </c:pt>
                <c:pt idx="9">
                  <c:v>3.1359999999999997</c:v>
                </c:pt>
                <c:pt idx="10">
                  <c:v>3.4659999999999997</c:v>
                </c:pt>
                <c:pt idx="11">
                  <c:v>3.5917529473999998</c:v>
                </c:pt>
                <c:pt idx="12">
                  <c:v>3.6425184597999998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69-4680-9E45-04056E187479}"/>
            </c:ext>
          </c:extLst>
        </c:ser>
        <c:ser>
          <c:idx val="3"/>
          <c:order val="2"/>
          <c:tx>
            <c:strRef>
              <c:f>'Graf-prac. neschopnost'!$D$4</c:f>
              <c:strCache>
                <c:ptCount val="1"/>
                <c:pt idx="0">
                  <c:v>Průměrné procento dočasné pracovní neschopnosti pro pracovní úraz*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  <a:prstDash val="solid"/>
            </a:ln>
          </c:spP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neschopnost'!$D$5:$D$17</c:f>
              <c:numCache>
                <c:formatCode>0.00</c:formatCode>
                <c:ptCount val="13"/>
                <c:pt idx="0">
                  <c:v>0.22831404819302992</c:v>
                </c:pt>
                <c:pt idx="1">
                  <c:v>0.22945497072013171</c:v>
                </c:pt>
                <c:pt idx="2">
                  <c:v>0.21458691355667278</c:v>
                </c:pt>
                <c:pt idx="3">
                  <c:v>0.21200000000000024</c:v>
                </c:pt>
                <c:pt idx="4">
                  <c:v>0.17800000000000021</c:v>
                </c:pt>
                <c:pt idx="5">
                  <c:v>0.17100000000000001</c:v>
                </c:pt>
                <c:pt idx="6">
                  <c:v>0.16900000000000001</c:v>
                </c:pt>
                <c:pt idx="7">
                  <c:v>0.14800000000000021</c:v>
                </c:pt>
                <c:pt idx="8">
                  <c:v>0.14756962895831807</c:v>
                </c:pt>
                <c:pt idx="9">
                  <c:v>0.15000000000000024</c:v>
                </c:pt>
                <c:pt idx="10">
                  <c:v>0.15600000000000044</c:v>
                </c:pt>
                <c:pt idx="11">
                  <c:v>0.15391929920000141</c:v>
                </c:pt>
                <c:pt idx="12">
                  <c:v>0.15148471810000044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69-4680-9E45-04056E187479}"/>
            </c:ext>
          </c:extLst>
        </c:ser>
        <c:ser>
          <c:idx val="1"/>
          <c:order val="3"/>
          <c:tx>
            <c:strRef>
              <c:f>'Graf-prac. neschopnost'!$E$4</c:f>
              <c:strCache>
                <c:ptCount val="1"/>
                <c:pt idx="0">
                  <c:v>Průměrné  procento dočasné pracovní neschopnosti pro ostatní úraz*</c:v>
                </c:pt>
              </c:strCache>
            </c:strRef>
          </c:tx>
          <c:spPr>
            <a:solidFill>
              <a:srgbClr val="0071BC"/>
            </a:solidFill>
            <a:ln w="19050">
              <a:noFill/>
            </a:ln>
          </c:spP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neschopnost'!$E$5:$E$17</c:f>
              <c:numCache>
                <c:formatCode>0.00</c:formatCode>
                <c:ptCount val="13"/>
                <c:pt idx="0">
                  <c:v>0.37750330564369422</c:v>
                </c:pt>
                <c:pt idx="1">
                  <c:v>0.39578941986678512</c:v>
                </c:pt>
                <c:pt idx="2">
                  <c:v>0.35354629139771376</c:v>
                </c:pt>
                <c:pt idx="3">
                  <c:v>0.33200000000000196</c:v>
                </c:pt>
                <c:pt idx="4">
                  <c:v>0.31900000000000167</c:v>
                </c:pt>
                <c:pt idx="5">
                  <c:v>0.30800000000000038</c:v>
                </c:pt>
                <c:pt idx="6">
                  <c:v>0.29600000000000032</c:v>
                </c:pt>
                <c:pt idx="7">
                  <c:v>0.39000000000000168</c:v>
                </c:pt>
                <c:pt idx="8">
                  <c:v>0.40803711444141072</c:v>
                </c:pt>
                <c:pt idx="9">
                  <c:v>0.41100000000000031</c:v>
                </c:pt>
                <c:pt idx="10">
                  <c:v>0.44</c:v>
                </c:pt>
                <c:pt idx="11">
                  <c:v>0.45324351059999979</c:v>
                </c:pt>
                <c:pt idx="12">
                  <c:v>0.4680649207000015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69-4680-9E45-04056E187479}"/>
            </c:ext>
          </c:extLst>
        </c:ser>
        <c:gapWidth val="82"/>
        <c:overlap val="100"/>
        <c:axId val="94997120"/>
        <c:axId val="95007104"/>
      </c:barChart>
      <c:lineChart>
        <c:grouping val="standard"/>
        <c:ser>
          <c:idx val="0"/>
          <c:order val="0"/>
          <c:tx>
            <c:strRef>
              <c:f>'Graf-prac. neschopnost'!$B$4</c:f>
              <c:strCache>
                <c:ptCount val="1"/>
                <c:pt idx="0">
                  <c:v>Prům. doba trvání 1 případu dočasné prac. neschopnosti (kalendář. dny, pravá osa)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neschopnost'!$B$5:$B$17</c:f>
              <c:numCache>
                <c:formatCode>0.0</c:formatCode>
                <c:ptCount val="13"/>
                <c:pt idx="0">
                  <c:v>32.793486140049282</c:v>
                </c:pt>
                <c:pt idx="1">
                  <c:v>35.255918868743592</c:v>
                </c:pt>
                <c:pt idx="2">
                  <c:v>34.575233786419453</c:v>
                </c:pt>
                <c:pt idx="3">
                  <c:v>39.050000000000004</c:v>
                </c:pt>
                <c:pt idx="4">
                  <c:v>45.06</c:v>
                </c:pt>
                <c:pt idx="5">
                  <c:v>44.690000000000012</c:v>
                </c:pt>
                <c:pt idx="6">
                  <c:v>44.08</c:v>
                </c:pt>
                <c:pt idx="7">
                  <c:v>46.05</c:v>
                </c:pt>
                <c:pt idx="8">
                  <c:v>44.00127827968489</c:v>
                </c:pt>
                <c:pt idx="9">
                  <c:v>45.809999999999995</c:v>
                </c:pt>
                <c:pt idx="10">
                  <c:v>42.74</c:v>
                </c:pt>
                <c:pt idx="11">
                  <c:v>43.011019084699996</c:v>
                </c:pt>
                <c:pt idx="12">
                  <c:v>42.563352079900113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69-4680-9E45-04056E187479}"/>
            </c:ext>
          </c:extLst>
        </c:ser>
        <c:ser>
          <c:idx val="2"/>
          <c:order val="4"/>
          <c:tx>
            <c:strRef>
              <c:f>'Graf-prac. neschopnost'!$F$4</c:f>
              <c:strCache>
                <c:ptCount val="1"/>
                <c:pt idx="0">
                  <c:v>Vyplacené dávky nemocenského pojištění (v mld. korun, pravá osa)</c:v>
                </c:pt>
              </c:strCache>
            </c:strRef>
          </c:tx>
          <c:spPr>
            <a:ln w="22225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neschopnost'!$F$5:$F$17</c:f>
              <c:numCache>
                <c:formatCode>0.00</c:formatCode>
                <c:ptCount val="13"/>
                <c:pt idx="0">
                  <c:v>31.66</c:v>
                </c:pt>
                <c:pt idx="1">
                  <c:v>32.773000000000003</c:v>
                </c:pt>
                <c:pt idx="2">
                  <c:v>34.671000000000006</c:v>
                </c:pt>
                <c:pt idx="3">
                  <c:v>31.881999999999987</c:v>
                </c:pt>
                <c:pt idx="4">
                  <c:v>26.03</c:v>
                </c:pt>
                <c:pt idx="5">
                  <c:v>22.79</c:v>
                </c:pt>
                <c:pt idx="6">
                  <c:v>21.51</c:v>
                </c:pt>
                <c:pt idx="7">
                  <c:v>19.38</c:v>
                </c:pt>
                <c:pt idx="8">
                  <c:v>20.14</c:v>
                </c:pt>
                <c:pt idx="9">
                  <c:v>22.08</c:v>
                </c:pt>
                <c:pt idx="10">
                  <c:v>24.110000000000031</c:v>
                </c:pt>
                <c:pt idx="11">
                  <c:v>26.279999999999987</c:v>
                </c:pt>
                <c:pt idx="12">
                  <c:v>28.32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69-4680-9E45-04056E187479}"/>
            </c:ext>
          </c:extLst>
        </c:ser>
        <c:ser>
          <c:idx val="4"/>
          <c:order val="5"/>
          <c:tx>
            <c:strRef>
              <c:f>'Graf-prac. neschopnost'!$G$4</c:f>
              <c:strCache>
                <c:ptCount val="1"/>
                <c:pt idx="0">
                  <c:v>   z toho nemocenské dávky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ysDash"/>
            </a:ln>
          </c:spPr>
          <c:marker>
            <c:symbol val="none"/>
          </c:marke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neschopnost'!$G$5:$G$17</c:f>
              <c:numCache>
                <c:formatCode>0.00</c:formatCode>
                <c:ptCount val="13"/>
                <c:pt idx="0">
                  <c:v>26.259999999999987</c:v>
                </c:pt>
                <c:pt idx="1">
                  <c:v>26.97</c:v>
                </c:pt>
                <c:pt idx="2">
                  <c:v>27.88</c:v>
                </c:pt>
                <c:pt idx="3">
                  <c:v>24.77</c:v>
                </c:pt>
                <c:pt idx="4">
                  <c:v>18.22</c:v>
                </c:pt>
                <c:pt idx="5">
                  <c:v>14.94</c:v>
                </c:pt>
                <c:pt idx="6">
                  <c:v>13.350000000000026</c:v>
                </c:pt>
                <c:pt idx="7">
                  <c:v>11.47</c:v>
                </c:pt>
                <c:pt idx="8">
                  <c:v>12.04</c:v>
                </c:pt>
                <c:pt idx="9">
                  <c:v>13.88</c:v>
                </c:pt>
                <c:pt idx="10">
                  <c:v>15.43</c:v>
                </c:pt>
                <c:pt idx="11">
                  <c:v>16.989999999999881</c:v>
                </c:pt>
                <c:pt idx="12">
                  <c:v>18.29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D69-4680-9E45-04056E187479}"/>
            </c:ext>
          </c:extLst>
        </c:ser>
        <c:ser>
          <c:idx val="5"/>
          <c:order val="6"/>
          <c:tx>
            <c:strRef>
              <c:f>'Graf-prac. neschopnost'!$H$4</c:f>
              <c:strCache>
                <c:ptCount val="1"/>
                <c:pt idx="0">
                  <c:v>   z toho peněžitá pomoc v mateřství</c:v>
                </c:pt>
              </c:strCache>
            </c:strRef>
          </c:tx>
          <c:spPr>
            <a:ln w="19050">
              <a:solidFill>
                <a:srgbClr val="7DBB2D"/>
              </a:solidFill>
              <a:prstDash val="dash"/>
            </a:ln>
          </c:spPr>
          <c:marker>
            <c:symbol val="none"/>
          </c:marker>
          <c:cat>
            <c:numRef>
              <c:f>'Graf-prac. neschopnost'!$A$5:$A$17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'Graf-prac. neschopnost'!$H$5:$H$17</c:f>
              <c:numCache>
                <c:formatCode>0.00</c:formatCode>
                <c:ptCount val="13"/>
                <c:pt idx="0">
                  <c:v>4.57</c:v>
                </c:pt>
                <c:pt idx="1">
                  <c:v>4.9700000000000024</c:v>
                </c:pt>
                <c:pt idx="2">
                  <c:v>5.89</c:v>
                </c:pt>
                <c:pt idx="3">
                  <c:v>6.3</c:v>
                </c:pt>
                <c:pt idx="4">
                  <c:v>7.08</c:v>
                </c:pt>
                <c:pt idx="5">
                  <c:v>7.41</c:v>
                </c:pt>
                <c:pt idx="6">
                  <c:v>7.51</c:v>
                </c:pt>
                <c:pt idx="7">
                  <c:v>7.22</c:v>
                </c:pt>
                <c:pt idx="8">
                  <c:v>7.26</c:v>
                </c:pt>
                <c:pt idx="9">
                  <c:v>7.33</c:v>
                </c:pt>
                <c:pt idx="10">
                  <c:v>7.6099999999999985</c:v>
                </c:pt>
                <c:pt idx="11">
                  <c:v>8.11</c:v>
                </c:pt>
                <c:pt idx="12">
                  <c:v>8.620000000000001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D69-4680-9E45-04056E187479}"/>
            </c:ext>
          </c:extLst>
        </c:ser>
        <c:marker val="1"/>
        <c:axId val="95010176"/>
        <c:axId val="95008640"/>
      </c:lineChart>
      <c:catAx>
        <c:axId val="9499712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5007104"/>
        <c:crossesAt val="0"/>
        <c:lblAlgn val="ctr"/>
        <c:lblOffset val="0"/>
        <c:tickLblSkip val="1"/>
        <c:tickMarkSkip val="4"/>
      </c:catAx>
      <c:valAx>
        <c:axId val="95007104"/>
        <c:scaling>
          <c:orientation val="minMax"/>
          <c:max val="6.5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.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4997120"/>
        <c:crosses val="autoZero"/>
        <c:crossBetween val="between"/>
        <c:majorUnit val="0.5"/>
      </c:valAx>
      <c:valAx>
        <c:axId val="95008640"/>
        <c:scaling>
          <c:orientation val="minMax"/>
          <c:max val="65"/>
          <c:min val="0"/>
        </c:scaling>
        <c:axPos val="r"/>
        <c:numFmt formatCode="0" sourceLinked="0"/>
        <c:tickLblPos val="nextTo"/>
        <c:crossAx val="95010176"/>
        <c:crosses val="max"/>
        <c:crossBetween val="between"/>
        <c:majorUnit val="5"/>
      </c:valAx>
      <c:catAx>
        <c:axId val="95010176"/>
        <c:scaling>
          <c:orientation val="minMax"/>
        </c:scaling>
        <c:delete val="1"/>
        <c:axPos val="b"/>
        <c:numFmt formatCode="General" sourceLinked="1"/>
        <c:tickLblPos val="none"/>
        <c:crossAx val="95008640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019954707434974E-2"/>
          <c:y val="0.78905001120135476"/>
          <c:w val="0.8939125595271995"/>
          <c:h val="0.19575330331478735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0.0542</cdr:x>
      <cdr:y>0.87948</cdr:y>
    </cdr:from>
    <cdr:to>
      <cdr:x>0.98372</cdr:x>
      <cdr:y>0.98925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51015" y="3124967"/>
          <a:ext cx="4304864" cy="390045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ysClr val="windowText" lastClr="000000"/>
          </a:solidFill>
        </a:ln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800">
              <a:latin typeface="Arial" pitchFamily="34" charset="0"/>
              <a:cs typeface="Arial" pitchFamily="34" charset="0"/>
            </a:rPr>
            <a:t>        Podíl jednotlivých odvětví (NACE) veřejných služeb                HPH</a:t>
          </a:r>
          <a:r>
            <a:rPr lang="cs-CZ" sz="800" baseline="0">
              <a:latin typeface="Arial" pitchFamily="34" charset="0"/>
              <a:cs typeface="Arial" pitchFamily="34" charset="0"/>
            </a:rPr>
            <a:t> ve veřejných službách </a:t>
          </a:r>
        </a:p>
        <a:p xmlns:a="http://schemas.openxmlformats.org/drawingml/2006/main">
          <a:r>
            <a:rPr lang="cs-CZ" sz="800" baseline="0">
              <a:latin typeface="Arial" pitchFamily="34" charset="0"/>
              <a:cs typeface="Arial" pitchFamily="34" charset="0"/>
            </a:rPr>
            <a:t>       </a:t>
          </a:r>
          <a:r>
            <a:rPr lang="cs-CZ" sz="800">
              <a:latin typeface="Arial" pitchFamily="34" charset="0"/>
              <a:ea typeface="+mn-ea"/>
              <a:cs typeface="Arial" pitchFamily="34" charset="0"/>
            </a:rPr>
            <a:t>na zaměstnanosti v roce ekonomice</a:t>
          </a:r>
          <a:r>
            <a:rPr lang="cs-CZ" sz="800" baseline="0">
              <a:latin typeface="Arial" pitchFamily="34" charset="0"/>
              <a:cs typeface="Arial" pitchFamily="34" charset="0"/>
            </a:rPr>
            <a:t> (v %, rok 2016)              (% z HPH v celé ekonomice)</a:t>
          </a:r>
          <a:endParaRPr lang="cs-CZ" sz="8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0.66358</cdr:x>
      <cdr:y>0.87886</cdr:y>
    </cdr:from>
    <cdr:to>
      <cdr:x>0.66358</cdr:x>
      <cdr:y>0.98881</cdr:y>
    </cdr:to>
    <cdr:sp macro="" textlink="">
      <cdr:nvSpPr>
        <cdr:cNvPr id="6" name="Přímá spojovací čára 5"/>
        <cdr:cNvSpPr/>
      </cdr:nvSpPr>
      <cdr:spPr>
        <a:xfrm xmlns:a="http://schemas.openxmlformats.org/drawingml/2006/main" flipV="1">
          <a:off x="3069694" y="3122767"/>
          <a:ext cx="0" cy="39068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0.58593</cdr:x>
      <cdr:y>0.03702</cdr:y>
    </cdr:from>
    <cdr:to>
      <cdr:x>0.62572</cdr:x>
      <cdr:y>0.06218</cdr:y>
    </cdr:to>
    <cdr:sp macro="" textlink="">
      <cdr:nvSpPr>
        <cdr:cNvPr id="4" name="Obdélník 3"/>
        <cdr:cNvSpPr/>
      </cdr:nvSpPr>
      <cdr:spPr>
        <a:xfrm xmlns:a="http://schemas.openxmlformats.org/drawingml/2006/main">
          <a:off x="2781135" y="130622"/>
          <a:ext cx="188866" cy="8876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0.64411</cdr:x>
      <cdr:y>0.03673</cdr:y>
    </cdr:from>
    <cdr:to>
      <cdr:x>0.6839</cdr:x>
      <cdr:y>0.06189</cdr:y>
    </cdr:to>
    <cdr:sp macro="" textlink="">
      <cdr:nvSpPr>
        <cdr:cNvPr id="5" name="Obdélník 4"/>
        <cdr:cNvSpPr/>
      </cdr:nvSpPr>
      <cdr:spPr>
        <a:xfrm xmlns:a="http://schemas.openxmlformats.org/drawingml/2006/main">
          <a:off x="3057293" y="129572"/>
          <a:ext cx="188865" cy="88764"/>
        </a:xfrm>
        <a:prstGeom xmlns:a="http://schemas.openxmlformats.org/drawingml/2006/main" prst="rect">
          <a:avLst/>
        </a:prstGeom>
        <a:solidFill xmlns:a="http://schemas.openxmlformats.org/drawingml/2006/main">
          <a:srgbClr val="D9EEF3"/>
        </a:solidFill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0.70243</cdr:x>
      <cdr:y>0.03723</cdr:y>
    </cdr:from>
    <cdr:to>
      <cdr:x>0.74222</cdr:x>
      <cdr:y>0.06239</cdr:y>
    </cdr:to>
    <cdr:sp macro="" textlink="">
      <cdr:nvSpPr>
        <cdr:cNvPr id="6" name="Obdélník 5"/>
        <cdr:cNvSpPr/>
      </cdr:nvSpPr>
      <cdr:spPr>
        <a:xfrm xmlns:a="http://schemas.openxmlformats.org/drawingml/2006/main">
          <a:off x="3761577" y="131343"/>
          <a:ext cx="213080" cy="88765"/>
        </a:xfrm>
        <a:prstGeom xmlns:a="http://schemas.openxmlformats.org/drawingml/2006/main" prst="rect">
          <a:avLst/>
        </a:prstGeom>
        <a:solidFill xmlns:a="http://schemas.openxmlformats.org/drawingml/2006/main">
          <a:srgbClr val="90CCDC"/>
        </a:solidFill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0.81802</cdr:x>
      <cdr:y>0.03678</cdr:y>
    </cdr:from>
    <cdr:to>
      <cdr:x>0.85781</cdr:x>
      <cdr:y>0.06194</cdr:y>
    </cdr:to>
    <cdr:sp macro="" textlink="">
      <cdr:nvSpPr>
        <cdr:cNvPr id="7" name="Obdélník 6"/>
        <cdr:cNvSpPr/>
      </cdr:nvSpPr>
      <cdr:spPr>
        <a:xfrm xmlns:a="http://schemas.openxmlformats.org/drawingml/2006/main">
          <a:off x="3882772" y="129755"/>
          <a:ext cx="188866" cy="88764"/>
        </a:xfrm>
        <a:prstGeom xmlns:a="http://schemas.openxmlformats.org/drawingml/2006/main" prst="rect">
          <a:avLst/>
        </a:prstGeom>
        <a:solidFill xmlns:a="http://schemas.openxmlformats.org/drawingml/2006/main">
          <a:srgbClr val="0070C0"/>
        </a:solidFill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0.76083</cdr:x>
      <cdr:y>0.03658</cdr:y>
    </cdr:from>
    <cdr:to>
      <cdr:x>0.80062</cdr:x>
      <cdr:y>0.06174</cdr:y>
    </cdr:to>
    <cdr:sp macro="" textlink="">
      <cdr:nvSpPr>
        <cdr:cNvPr id="8" name="Obdélník 7"/>
        <cdr:cNvSpPr/>
      </cdr:nvSpPr>
      <cdr:spPr>
        <a:xfrm xmlns:a="http://schemas.openxmlformats.org/drawingml/2006/main">
          <a:off x="3611341" y="129069"/>
          <a:ext cx="188865" cy="88765"/>
        </a:xfrm>
        <a:prstGeom xmlns:a="http://schemas.openxmlformats.org/drawingml/2006/main" prst="rect">
          <a:avLst/>
        </a:prstGeom>
        <a:solidFill xmlns:a="http://schemas.openxmlformats.org/drawingml/2006/main">
          <a:srgbClr val="3EA6C2"/>
        </a:solidFill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0.52619</cdr:x>
      <cdr:y>0.0724</cdr:y>
    </cdr:from>
    <cdr:to>
      <cdr:x>0.93609</cdr:x>
      <cdr:y>0.10186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2476650" y="265750"/>
          <a:ext cx="1929251" cy="1081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800">
              <a:latin typeface="Arial" pitchFamily="34" charset="0"/>
              <a:cs typeface="Arial" pitchFamily="34" charset="0"/>
            </a:rPr>
            <a:t>roky:</a:t>
          </a:r>
          <a:r>
            <a:rPr lang="cs-CZ" sz="800" baseline="0">
              <a:latin typeface="Arial" pitchFamily="34" charset="0"/>
              <a:cs typeface="Arial" pitchFamily="34" charset="0"/>
            </a:rPr>
            <a:t> 2013  2014  2015  2016  2017</a:t>
          </a:r>
          <a:endParaRPr lang="cs-CZ" sz="80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E6D9-28AA-4A9F-8C5E-EE63247D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</TotalTime>
  <Pages>7</Pages>
  <Words>2303</Words>
  <Characters>13594</Characters>
  <Application>Microsoft Office Word</Application>
  <DocSecurity>0</DocSecurity>
  <Lines>113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15866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2014-07-17T14:07:00Z</cp:lastPrinted>
  <dcterms:created xsi:type="dcterms:W3CDTF">2018-10-29T16:50:00Z</dcterms:created>
  <dcterms:modified xsi:type="dcterms:W3CDTF">2018-10-29T16:50:00Z</dcterms:modified>
</cp:coreProperties>
</file>