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2" w:rsidRPr="00360DE3" w:rsidRDefault="00E212C9" w:rsidP="00141782">
      <w:pPr>
        <w:pStyle w:val="Nadpis1"/>
        <w:rPr>
          <w:lang w:eastAsia="en-US"/>
        </w:rPr>
      </w:pPr>
      <w:bookmarkStart w:id="0" w:name="_Toc527639486"/>
      <w:r w:rsidRPr="00360DE3">
        <w:rPr>
          <w:lang w:eastAsia="en-US"/>
        </w:rPr>
        <w:t>14</w:t>
      </w:r>
      <w:r w:rsidR="00141782" w:rsidRPr="00360DE3">
        <w:rPr>
          <w:lang w:eastAsia="en-US"/>
        </w:rPr>
        <w:t>. Ubytování a pohostinství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9540B7" w:rsidRPr="00360DE3" w:rsidTr="00DC37E3">
        <w:trPr>
          <w:trHeight w:val="145"/>
        </w:trPr>
        <w:tc>
          <w:tcPr>
            <w:tcW w:w="1976" w:type="dxa"/>
          </w:tcPr>
          <w:p w:rsidR="009540B7" w:rsidRPr="00360DE3" w:rsidRDefault="004B25F7" w:rsidP="00DC37E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Ubytování, stravování a</w:t>
            </w:r>
            <w:r w:rsidRPr="00360DE3">
              <w:rPr>
                <w:spacing w:val="0"/>
              </w:rPr>
              <w:t> </w:t>
            </w:r>
            <w:r>
              <w:rPr>
                <w:spacing w:val="0"/>
              </w:rPr>
              <w:t>pohostinství patří k menším odvětvím služeb.</w:t>
            </w:r>
          </w:p>
        </w:tc>
        <w:tc>
          <w:tcPr>
            <w:tcW w:w="277" w:type="dxa"/>
          </w:tcPr>
          <w:p w:rsidR="009540B7" w:rsidRPr="00360DE3" w:rsidRDefault="009540B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9540B7" w:rsidRPr="00A35142" w:rsidRDefault="009540B7" w:rsidP="004B25F7">
            <w:pPr>
              <w:rPr>
                <w:spacing w:val="-2"/>
              </w:rPr>
            </w:pPr>
            <w:r w:rsidRPr="00A35142">
              <w:rPr>
                <w:spacing w:val="-2"/>
              </w:rPr>
              <w:t>Ubytování, stravování a pohostinství</w:t>
            </w:r>
            <w:r w:rsidRPr="00A35142">
              <w:rPr>
                <w:rStyle w:val="Znakapoznpodarou"/>
                <w:spacing w:val="-2"/>
              </w:rPr>
              <w:footnoteReference w:id="1"/>
            </w:r>
            <w:r w:rsidRPr="00A35142">
              <w:rPr>
                <w:spacing w:val="-2"/>
              </w:rPr>
              <w:t xml:space="preserve"> patří v Česku k relativně malým odvětvím. Na produkci celého terciárního sektoru se loni podílelo 3,9 %, na hrubé přidané hodnotě (HPH) 3,5 %. Významnější roli mělo toto odvětví v oblasti zaměstnanosti (6,5 %), a to hlavně v případě podnikajících osob (desetina všech </w:t>
            </w:r>
            <w:proofErr w:type="spellStart"/>
            <w:r w:rsidRPr="00A35142">
              <w:rPr>
                <w:spacing w:val="-2"/>
              </w:rPr>
              <w:t>sebezaměstnaných</w:t>
            </w:r>
            <w:proofErr w:type="spellEnd"/>
            <w:r w:rsidRPr="00A35142">
              <w:rPr>
                <w:spacing w:val="-2"/>
              </w:rPr>
              <w:t xml:space="preserve"> působících ve službách nacházela hlavní zdroj ekonomické aktivity právě zde). </w:t>
            </w:r>
          </w:p>
        </w:tc>
      </w:tr>
      <w:tr w:rsidR="004B25F7" w:rsidRPr="00360DE3" w:rsidTr="00DC37E3">
        <w:trPr>
          <w:trHeight w:val="145"/>
        </w:trPr>
        <w:tc>
          <w:tcPr>
            <w:tcW w:w="1976" w:type="dxa"/>
          </w:tcPr>
          <w:p w:rsidR="004B25F7" w:rsidRPr="00360DE3" w:rsidRDefault="004B25F7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Hrubá přidaná hodnota rostla loni v ubytování, stravování a pohostinství vyšším tempem než v celém sektoru služeb. Táhly ji hlavně silné výkony v segmentu ubytování.</w:t>
            </w:r>
          </w:p>
        </w:tc>
        <w:tc>
          <w:tcPr>
            <w:tcW w:w="277" w:type="dxa"/>
          </w:tcPr>
          <w:p w:rsidR="004B25F7" w:rsidRPr="00360DE3" w:rsidRDefault="004B25F7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B25F7" w:rsidRPr="00A35142" w:rsidRDefault="004B25F7" w:rsidP="00A35142">
            <w:pPr>
              <w:rPr>
                <w:spacing w:val="-2"/>
              </w:rPr>
            </w:pPr>
            <w:r w:rsidRPr="00A35142">
              <w:rPr>
                <w:spacing w:val="-2"/>
              </w:rPr>
              <w:t>Na rozdíl od roku 2016 se loni HPH v ubytování, stravování a pohostinství navyšovala silnějším meziročním tempem (+3,5 %) než v celém sektoru služeb. Výsledek mohl být ještě příznivější, nebýt sílících výrobních nákladů (</w:t>
            </w:r>
            <w:proofErr w:type="spellStart"/>
            <w:r w:rsidRPr="00A35142">
              <w:rPr>
                <w:spacing w:val="-2"/>
              </w:rPr>
              <w:t>mezispotřeba</w:t>
            </w:r>
            <w:proofErr w:type="spellEnd"/>
            <w:r w:rsidRPr="00A35142">
              <w:rPr>
                <w:spacing w:val="-2"/>
              </w:rPr>
              <w:t xml:space="preserve"> se navýšila o 13,2 %, nejvíce za posledních deset let). Samotná produkce (se silnou vazbou na tržby) totiž vzrostla bezmála o desetinu. Již třetím rokem v řadě přispěly k růstu HPH v odvětví jeho oba hlavní segmenty</w:t>
            </w:r>
            <w:r w:rsidRPr="00A35142">
              <w:rPr>
                <w:rStyle w:val="Znakapoznpodarou"/>
                <w:spacing w:val="-2"/>
              </w:rPr>
              <w:footnoteReference w:id="2"/>
            </w:r>
            <w:r w:rsidRPr="00A35142">
              <w:rPr>
                <w:spacing w:val="-2"/>
              </w:rPr>
              <w:t>. Zatímco v letech 2015 i 2016 ho táhl hlavně váhově dominantní segment stravování a pohostinství, loni tuto roli převzalo ubytování (zajistilo téměř tři pětiny meziročního růstu HPH). Současný vývoj celého odvětví souvisí jak s příznivou finanční situací i optimistickými očekáváními tuzemských domácností (projevující se mj. i posílením „zby</w:t>
            </w:r>
            <w:r>
              <w:rPr>
                <w:spacing w:val="-2"/>
              </w:rPr>
              <w:t>tných“ výdajů), tak s vývojem v</w:t>
            </w:r>
            <w:r w:rsidRPr="00A35142">
              <w:rPr>
                <w:spacing w:val="-2"/>
              </w:rPr>
              <w:t> mateřských státech nejčetněji zastoupených zahraničních návštěvníků Česka.</w:t>
            </w:r>
          </w:p>
        </w:tc>
      </w:tr>
      <w:tr w:rsidR="006D64C2" w:rsidRPr="00360DE3" w:rsidTr="00DC37E3">
        <w:trPr>
          <w:trHeight w:val="145"/>
        </w:trPr>
        <w:tc>
          <w:tcPr>
            <w:tcW w:w="1976" w:type="dxa"/>
          </w:tcPr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Míra zisku podniků v ubytování mírně rostla, naopak ve stravování a pohostinství dosáhla čtyřletého minima. </w:t>
            </w:r>
          </w:p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</w:p>
          <w:p w:rsidR="006D64C2" w:rsidRDefault="006D64C2" w:rsidP="00F162B3">
            <w:pPr>
              <w:pStyle w:val="Marginlie"/>
              <w:rPr>
                <w:spacing w:val="0"/>
              </w:rPr>
            </w:pPr>
          </w:p>
          <w:p w:rsidR="00A35142" w:rsidRPr="00360DE3" w:rsidRDefault="00A35142" w:rsidP="00F162B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.</w:t>
            </w:r>
          </w:p>
        </w:tc>
        <w:tc>
          <w:tcPr>
            <w:tcW w:w="277" w:type="dxa"/>
          </w:tcPr>
          <w:p w:rsidR="006D64C2" w:rsidRPr="00360DE3" w:rsidRDefault="006D64C2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A35142" w:rsidRDefault="006D64C2" w:rsidP="004B25F7">
            <w:pPr>
              <w:rPr>
                <w:spacing w:val="-2"/>
              </w:rPr>
            </w:pPr>
            <w:r w:rsidRPr="00A35142">
              <w:rPr>
                <w:spacing w:val="-2"/>
              </w:rPr>
              <w:t>Čtyři roky trvající růst míry zisku nefinančních podniků v ubytování, stravování a pohostinství se loni zastavil (na 39 %)</w:t>
            </w:r>
            <w:r w:rsidRPr="00A35142">
              <w:rPr>
                <w:rStyle w:val="Znakapoznpodarou"/>
                <w:spacing w:val="-2"/>
              </w:rPr>
              <w:footnoteReference w:id="3"/>
            </w:r>
            <w:r w:rsidRPr="00A35142">
              <w:rPr>
                <w:spacing w:val="-2"/>
              </w:rPr>
              <w:t>. Ziskovost tak zůs</w:t>
            </w:r>
            <w:r w:rsidR="00D32F90" w:rsidRPr="00A35142">
              <w:rPr>
                <w:spacing w:val="-2"/>
              </w:rPr>
              <w:t>tala</w:t>
            </w:r>
            <w:r w:rsidRPr="00A35142">
              <w:rPr>
                <w:spacing w:val="-2"/>
              </w:rPr>
              <w:t xml:space="preserve"> výrazně pod úrovní zaznamenanou před deseti lety a především na počátku tisíciletí (kdy citelně převyšovala 50 %). Lepší výsledky mají dlouhodobě podniky v ubytování, kde mírný růst ziskovosti pokračoval (na 47 %). Naopak ve stravování a pohostinství byl loni poměr mezi hrubým provozním přebytkem a HPH nejnižší za poslední čtyři roky (33 %). </w:t>
            </w:r>
          </w:p>
        </w:tc>
      </w:tr>
      <w:tr w:rsidR="004B25F7" w:rsidRPr="00360DE3" w:rsidTr="00DC37E3">
        <w:trPr>
          <w:trHeight w:val="145"/>
        </w:trPr>
        <w:tc>
          <w:tcPr>
            <w:tcW w:w="1976" w:type="dxa"/>
          </w:tcPr>
          <w:p w:rsidR="004B25F7" w:rsidRPr="00360DE3" w:rsidRDefault="004B25F7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Přetrvávala nízká in</w:t>
            </w:r>
            <w:r>
              <w:rPr>
                <w:spacing w:val="0"/>
              </w:rPr>
              <w:t>vestiční aktivita související i</w:t>
            </w:r>
            <w:r w:rsidRPr="00360DE3">
              <w:rPr>
                <w:spacing w:val="0"/>
              </w:rPr>
              <w:t> s husto</w:t>
            </w:r>
            <w:r>
              <w:rPr>
                <w:spacing w:val="0"/>
              </w:rPr>
              <w:t>u sítí zařízení (hotely, restaurace</w:t>
            </w:r>
            <w:r w:rsidRPr="00360DE3">
              <w:rPr>
                <w:spacing w:val="0"/>
              </w:rPr>
              <w:t>) vybudovanou v předchozích dekádách</w:t>
            </w:r>
          </w:p>
        </w:tc>
        <w:tc>
          <w:tcPr>
            <w:tcW w:w="277" w:type="dxa"/>
          </w:tcPr>
          <w:p w:rsidR="004B25F7" w:rsidRPr="00360DE3" w:rsidRDefault="004B25F7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B25F7" w:rsidRPr="00A35142" w:rsidRDefault="004B25F7" w:rsidP="008F52FB">
            <w:pPr>
              <w:rPr>
                <w:spacing w:val="-2"/>
              </w:rPr>
            </w:pPr>
            <w:r w:rsidRPr="00A35142">
              <w:rPr>
                <w:spacing w:val="-2"/>
              </w:rPr>
              <w:t>Pro celé odvětví je typická relativně nízká investiční aktivita</w:t>
            </w:r>
            <w:r w:rsidRPr="00A35142">
              <w:rPr>
                <w:rStyle w:val="Znakapoznpodarou"/>
                <w:spacing w:val="-2"/>
              </w:rPr>
              <w:footnoteReference w:id="4"/>
            </w:r>
            <w:r w:rsidRPr="00A35142">
              <w:rPr>
                <w:spacing w:val="-2"/>
              </w:rPr>
              <w:t>. Ta souvisí mj. i s hustou sítí ubytovacích i stravovacích zařízení vybudovanou v předchozích dekádách. V poměru k HPH tvořily loni investice do fixního kapitálu jen 13 %. Lépe na tom byl segment ubytování (21 %), naopak v pohostinství a stravování klesla míra investic pod 10 %. Z hlediska skladby investic směřoval loni v celém odvětví vysoký podíl do strojů a zařízení (72 %). V rámci nich vykázaly (ve srovnání s ostatními odvětvími) vyšší váhu jak investice do dopravních prostředků, tak i do ICT. Naproti tomu jen minimální pozornost dlouhodobě věnují subjekty v tomto odvětví produktům duševního vlastnictví.</w:t>
            </w:r>
          </w:p>
        </w:tc>
      </w:tr>
      <w:tr w:rsidR="004B25F7" w:rsidRPr="00360DE3" w:rsidTr="00DC37E3">
        <w:trPr>
          <w:trHeight w:val="145"/>
        </w:trPr>
        <w:tc>
          <w:tcPr>
            <w:tcW w:w="1976" w:type="dxa"/>
          </w:tcPr>
          <w:p w:rsidR="004B25F7" w:rsidRPr="00360DE3" w:rsidRDefault="004B25F7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I přes prudký růst objemu vyplacených mezd v posledních třech letech setrvává průměrná mzda v odvětví hluboko pod úrovní celé ekonomiky.</w:t>
            </w:r>
          </w:p>
        </w:tc>
        <w:tc>
          <w:tcPr>
            <w:tcW w:w="277" w:type="dxa"/>
          </w:tcPr>
          <w:p w:rsidR="004B25F7" w:rsidRPr="00360DE3" w:rsidRDefault="004B25F7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B25F7" w:rsidRPr="00A35142" w:rsidRDefault="004B25F7" w:rsidP="008F52FB">
            <w:pPr>
              <w:rPr>
                <w:spacing w:val="-2"/>
              </w:rPr>
            </w:pPr>
            <w:r w:rsidRPr="00360DE3">
              <w:rPr>
                <w:color w:val="0D0D0D"/>
              </w:rPr>
              <w:t>Vedle investiční aktivity charakterizuje odvětví i velmi nízká mzdová úroveň. Přestože objem vyplacených mezd za poslední tři roky prudce vzrostl (nominálně o</w:t>
            </w:r>
            <w:r w:rsidRPr="00360DE3">
              <w:t> </w:t>
            </w:r>
            <w:r w:rsidRPr="00360DE3">
              <w:rPr>
                <w:color w:val="0D0D0D"/>
              </w:rPr>
              <w:t>více než čtvrtinu) – především zásluhou navyšování hranice minimální mzdy –, dosahovala zde průměrná mzda loni jen 62 % úrovně celé ekonomiky. V rámci odvětví na tom byli lépe zaměstnanci v ubytování (73 %). Se zlepšujícími se hospodářskými výsledky se v odvětví po roce 2014 pozvolna navyšuje i</w:t>
            </w:r>
            <w:r w:rsidRPr="00360DE3">
              <w:t> </w:t>
            </w:r>
            <w:r w:rsidRPr="00360DE3">
              <w:rPr>
                <w:color w:val="0D0D0D"/>
              </w:rPr>
              <w:t xml:space="preserve">zaměstnanost. Loni zde pracovalo necelých 208 tis. osob (po přepočtu na celé </w:t>
            </w:r>
            <w:r w:rsidRPr="00360DE3">
              <w:rPr>
                <w:color w:val="0D0D0D"/>
              </w:rPr>
              <w:lastRenderedPageBreak/>
              <w:t>úvazky). Na oživení se podílelo spíše stravování a pohostinství, kde vloni přibylo 7,5 ti</w:t>
            </w:r>
            <w:r>
              <w:rPr>
                <w:color w:val="0D0D0D"/>
              </w:rPr>
              <w:t>s. pracovníků (výhradně ve slupině</w:t>
            </w:r>
            <w:r w:rsidRPr="00360DE3">
              <w:rPr>
                <w:color w:val="0D0D0D"/>
              </w:rPr>
              <w:t xml:space="preserve"> </w:t>
            </w:r>
            <w:proofErr w:type="spellStart"/>
            <w:r w:rsidRPr="00360DE3">
              <w:rPr>
                <w:color w:val="0D0D0D"/>
              </w:rPr>
              <w:t>sebezaměstnaných</w:t>
            </w:r>
            <w:proofErr w:type="spellEnd"/>
            <w:r w:rsidRPr="00360DE3">
              <w:rPr>
                <w:color w:val="0D0D0D"/>
              </w:rPr>
              <w:t>). Navzdory tomu se nacházel loňský počet pracovníků v celém odvětví stále pod úrovní dosud rekordního roku 2009 (212 tis.).</w:t>
            </w:r>
          </w:p>
        </w:tc>
      </w:tr>
      <w:tr w:rsidR="006D64C2" w:rsidRPr="00360DE3" w:rsidTr="00DC37E3">
        <w:tc>
          <w:tcPr>
            <w:tcW w:w="1976" w:type="dxa"/>
            <w:vMerge w:val="restart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14.1  </w:t>
            </w:r>
            <w:r w:rsidRPr="00360DE3">
              <w:rPr>
                <w:b/>
                <w:bCs/>
              </w:rPr>
              <w:t xml:space="preserve">Zákl. </w:t>
            </w:r>
            <w:proofErr w:type="gramStart"/>
            <w:r w:rsidRPr="00360DE3">
              <w:rPr>
                <w:b/>
                <w:bCs/>
              </w:rPr>
              <w:t>ukazatele</w:t>
            </w:r>
            <w:proofErr w:type="gramEnd"/>
            <w:r w:rsidRPr="00360DE3">
              <w:rPr>
                <w:b/>
                <w:bCs/>
              </w:rPr>
              <w:t xml:space="preserve"> odvětví ubytování, stravování a pohostinství</w:t>
            </w:r>
          </w:p>
          <w:p w:rsidR="006D64C2" w:rsidRPr="00360DE3" w:rsidRDefault="006D64C2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74412" cy="3679545"/>
                  <wp:effectExtent l="0" t="0" r="0" b="0"/>
                  <wp:docPr id="5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6D64C2" w:rsidRPr="00360DE3" w:rsidTr="00DC37E3">
        <w:trPr>
          <w:trHeight w:val="284"/>
        </w:trPr>
        <w:tc>
          <w:tcPr>
            <w:tcW w:w="1976" w:type="dxa"/>
            <w:vMerge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B25F7" w:rsidRDefault="006D64C2" w:rsidP="004B25F7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</w:t>
            </w:r>
          </w:p>
          <w:p w:rsidR="006D64C2" w:rsidRPr="00360DE3" w:rsidRDefault="006D64C2" w:rsidP="00DC37E3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 Zdroj: ČSÚ (národní účty) </w:t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Silný růst počtu návštěvníků v hromadných ubytovacích zařízeních v Česku pokračoval již třetím rokem.</w:t>
            </w:r>
          </w:p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Hostů přijelo loni meziročně více do všech krajů. Výrazná dominance Prahy u zahraniční klientely se mírně oslabila. </w:t>
            </w:r>
          </w:p>
          <w:p w:rsidR="006D64C2" w:rsidRPr="00360DE3" w:rsidRDefault="006D64C2" w:rsidP="00F162B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Default="006D64C2" w:rsidP="0074369B">
            <w:pPr>
              <w:rPr>
                <w:color w:val="0D0D0D"/>
              </w:rPr>
            </w:pPr>
            <w:r w:rsidRPr="00360DE3">
              <w:rPr>
                <w:color w:val="0D0D0D"/>
              </w:rPr>
              <w:t>Česko si v konkurenci evropských států nadále udržuje vysokou atraktivitu pro cestovní ruch. Vedle v čase relativně stabilních faktorů (kulturně-historických i přírodních atraktivit, příhodné geografické polohy), působí i příznivý globální ekonomický vývoj, relativní cenová dostupnost nabízených služeb v tuzemsku a</w:t>
            </w:r>
            <w:r w:rsidR="00274037" w:rsidRPr="00360DE3">
              <w:t> </w:t>
            </w:r>
            <w:r w:rsidRPr="00360DE3">
              <w:rPr>
                <w:color w:val="0D0D0D"/>
              </w:rPr>
              <w:t>v posledních letech i vnímání Česka jako bezpečné destinace. Silný nárůst četnosti příjezdů hostů, kteří využili služeb hromadných ubytova</w:t>
            </w:r>
            <w:r w:rsidR="0074369B">
              <w:rPr>
                <w:color w:val="0D0D0D"/>
              </w:rPr>
              <w:t xml:space="preserve">cích zařízení (HUZ), </w:t>
            </w:r>
            <w:r w:rsidRPr="00360DE3">
              <w:rPr>
                <w:color w:val="0D0D0D"/>
              </w:rPr>
              <w:t>dle podnikových statistik</w:t>
            </w:r>
            <w:r w:rsidR="0074369B">
              <w:rPr>
                <w:color w:val="0D0D0D"/>
              </w:rPr>
              <w:t xml:space="preserve"> nadále pokračoval</w:t>
            </w:r>
            <w:r w:rsidRPr="00360DE3">
              <w:rPr>
                <w:color w:val="0D0D0D"/>
              </w:rPr>
              <w:t>. Loni počet hostů poprvé překročil 20mil. hranici (meziročně +8,8 %). Návštěvníků z tuzemska bylo nepatrně méně (9,84 mil.) než hostů s cizím státním občanstvím (10,16 mil.)</w:t>
            </w:r>
            <w:r w:rsidRPr="00360DE3">
              <w:rPr>
                <w:rStyle w:val="Znakapoznpodarou"/>
                <w:color w:val="0D0D0D"/>
              </w:rPr>
              <w:footnoteReference w:id="5"/>
            </w:r>
            <w:r w:rsidRPr="00360DE3">
              <w:rPr>
                <w:color w:val="0D0D0D"/>
              </w:rPr>
              <w:t>. Za vysokým růstem celkové návštěvnosti stál loni především dynamický vývoj v první polovině roku, nicméně i v dalších čtvrtletích převyšovalo meziroční tempo 5% hranici. Více hostů přijelo loni do všech kategorií HUZ – zatímco v roce 2</w:t>
            </w:r>
            <w:r w:rsidR="006B4B7B">
              <w:rPr>
                <w:color w:val="0D0D0D"/>
              </w:rPr>
              <w:t>016 rostly nejrychleji čtyř</w:t>
            </w:r>
            <w:r w:rsidRPr="00360DE3">
              <w:rPr>
                <w:color w:val="0D0D0D"/>
              </w:rPr>
              <w:t>hvězdičko</w:t>
            </w:r>
            <w:r w:rsidR="006B4B7B">
              <w:rPr>
                <w:color w:val="0D0D0D"/>
              </w:rPr>
              <w:t>vé hotely (+10 %), loni to byly penziony (+15 %, n</w:t>
            </w:r>
            <w:r w:rsidRPr="00360DE3">
              <w:rPr>
                <w:color w:val="0D0D0D"/>
              </w:rPr>
              <w:t>a růstu celkové návštěvnosti ČR se podílely šestinou</w:t>
            </w:r>
            <w:r w:rsidR="006B4B7B">
              <w:rPr>
                <w:color w:val="0D0D0D"/>
              </w:rPr>
              <w:t>)</w:t>
            </w:r>
            <w:r w:rsidRPr="00360DE3">
              <w:rPr>
                <w:color w:val="0D0D0D"/>
              </w:rPr>
              <w:t xml:space="preserve">.  </w:t>
            </w:r>
          </w:p>
          <w:p w:rsidR="004B25F7" w:rsidRPr="00360DE3" w:rsidRDefault="004B25F7" w:rsidP="0074369B">
            <w:pPr>
              <w:rPr>
                <w:color w:val="0D0D0D"/>
              </w:rPr>
            </w:pP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/>
            </w:pPr>
            <w:r w:rsidRPr="00360DE3">
              <w:rPr>
                <w:b/>
              </w:rPr>
              <w:t>Graf 14.2  Příspěvky zahraničních návštěvníků dle zemí k meziroční změně počtu přenocování všech nerezidentů v </w:t>
            </w:r>
            <w:proofErr w:type="gramStart"/>
            <w:r w:rsidRPr="00360DE3">
              <w:rPr>
                <w:b/>
              </w:rPr>
              <w:t>HUZ</w:t>
            </w:r>
            <w:r w:rsidRPr="00360DE3">
              <w:t xml:space="preserve"> (v p .</w:t>
            </w:r>
            <w:proofErr w:type="spellStart"/>
            <w:r w:rsidRPr="00360DE3">
              <w:t>b</w:t>
            </w:r>
            <w:proofErr w:type="spellEnd"/>
            <w:r w:rsidRPr="00360DE3">
              <w:t>.)</w:t>
            </w:r>
            <w:r w:rsidR="00A35142">
              <w:rPr>
                <w:b/>
              </w:rPr>
              <w:t xml:space="preserve"> a průměrná</w:t>
            </w:r>
            <w:proofErr w:type="gramEnd"/>
            <w:r w:rsidRPr="00360DE3">
              <w:rPr>
                <w:b/>
              </w:rPr>
              <w:t xml:space="preserve"> délka pobytu zahraničních a tuzemských hostů v ČR </w:t>
            </w:r>
            <w:r w:rsidRPr="00360DE3">
              <w:t>(ve dnech, pravá osa)</w:t>
            </w:r>
          </w:p>
          <w:p w:rsidR="006D64C2" w:rsidRPr="00360DE3" w:rsidRDefault="006D64C2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748893" cy="3467595"/>
                  <wp:effectExtent l="19050" t="0" r="0" b="0"/>
                  <wp:docPr id="6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B4B7B" w:rsidRDefault="006D64C2" w:rsidP="006B4B7B">
            <w:pPr>
              <w:spacing w:after="0" w:line="240" w:lineRule="auto"/>
              <w:rPr>
                <w:rFonts w:ascii="Tahoma" w:hAnsi="Tahoma" w:cs="Tahoma"/>
                <w:color w:val="0D0D0D" w:themeColor="text1" w:themeTint="F2"/>
                <w:sz w:val="14"/>
                <w:szCs w:val="14"/>
              </w:rPr>
            </w:pPr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Pozn.: HUZ – hromadná ubytovací zařízení. Jde o </w:t>
            </w:r>
            <w:r w:rsidRPr="00360DE3">
              <w:rPr>
                <w:rFonts w:ascii="Tahoma" w:hAnsi="Tahoma" w:cs="Tahoma"/>
                <w:color w:val="0D0D0D" w:themeColor="text1" w:themeTint="F2"/>
                <w:sz w:val="14"/>
                <w:szCs w:val="14"/>
              </w:rPr>
              <w:t>zařízení s minimálně pěti pokoji a zároveň deseti lůžky poskytující přechodné ubytování hostům za účelem dovolené, zájezdu, lázeňské péče, služební cesty, školení, kursu, kongresu, symposia, pobytu dětí ve škole v přírodě, v letních a zimních táborech apod.</w:t>
            </w:r>
          </w:p>
          <w:p w:rsidR="006D64C2" w:rsidRPr="006B4B7B" w:rsidRDefault="006D64C2" w:rsidP="00DC37E3">
            <w:pPr>
              <w:spacing w:after="200" w:line="240" w:lineRule="auto"/>
              <w:rPr>
                <w:rFonts w:ascii="Tahoma" w:hAnsi="Tahoma" w:cs="Tahoma"/>
                <w:color w:val="0D0D0D" w:themeColor="text1" w:themeTint="F2"/>
                <w:sz w:val="14"/>
                <w:szCs w:val="14"/>
              </w:rPr>
            </w:pPr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Zdroj: ČSÚ </w:t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Průměrná doba pobytu zahraničních hostů nadále klesla. U hostů z tuzemska se délka v posledních letech stabilizovala.</w:t>
            </w: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r w:rsidRPr="00360DE3">
              <w:rPr>
                <w:color w:val="0D0D0D"/>
              </w:rPr>
              <w:t xml:space="preserve">Hostů z tuzemska, ale i ze zahraničí, přibývalo ve všech krajích. V součtu za obě kategorie </w:t>
            </w:r>
            <w:r w:rsidR="006B4B7B">
              <w:rPr>
                <w:color w:val="0D0D0D"/>
              </w:rPr>
              <w:t xml:space="preserve">turistů </w:t>
            </w:r>
            <w:r w:rsidRPr="00360DE3">
              <w:rPr>
                <w:color w:val="0D0D0D"/>
              </w:rPr>
              <w:t>se návštěvnost nejvíce zvyšovala v Jihomoravském, Plzeňském a Ústeckém kraji (v pásmu 14,5 % až 12,3 %). I přes mí</w:t>
            </w:r>
            <w:r w:rsidR="006B4B7B">
              <w:rPr>
                <w:color w:val="0D0D0D"/>
              </w:rPr>
              <w:t>rné relativní oslabení pozice</w:t>
            </w:r>
            <w:r w:rsidRPr="00360DE3">
              <w:rPr>
                <w:color w:val="0D0D0D"/>
              </w:rPr>
              <w:t xml:space="preserve"> Prahy, zůstává její role v případě pobytu zahraničních návštěvníků nadále výrazně dominantní. Její podíl na celorepublikovém počtu zahraničních návštěvníků loni činil 64,6 %, u jejich přenocování 61,4 %. Negativním jevem zůstává také zkracující se průměrná doba pobytu, jež je u zahraniční klientely v ČR na rozdíl od té domácí dlouhodobým jevem. Lze to zčásti vysvětlit zvyšujícím se zastoupením hostů ze vzdálenějších (zejm. asijských) destinací, kteří v průměru pobývají v Česku kratší dobu.</w:t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Meziroční změny celkové návštěvnosti ČR ovlivňují dlouhodobě nejvíce Rusové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4B25F7">
            <w:pPr>
              <w:rPr>
                <w:szCs w:val="20"/>
              </w:rPr>
            </w:pPr>
            <w:r w:rsidRPr="00360DE3">
              <w:rPr>
                <w:color w:val="0D0D0D"/>
              </w:rPr>
              <w:t xml:space="preserve">Zatímco v letech 2015 i 2016 přispívali k růstu </w:t>
            </w:r>
            <w:r w:rsidR="006B4B7B">
              <w:rPr>
                <w:color w:val="0D0D0D"/>
              </w:rPr>
              <w:t xml:space="preserve">počtu </w:t>
            </w:r>
            <w:r w:rsidRPr="00360DE3">
              <w:rPr>
                <w:color w:val="0D0D0D"/>
              </w:rPr>
              <w:t>přenocování zahraničních hostů v HUZ nejvíce Němci, loni to byli Rusové (jeji</w:t>
            </w:r>
            <w:r w:rsidR="006B4B7B">
              <w:rPr>
                <w:color w:val="0D0D0D"/>
              </w:rPr>
              <w:t>chž pobyty vzrostly meziročně o </w:t>
            </w:r>
            <w:r w:rsidRPr="00360DE3">
              <w:rPr>
                <w:color w:val="0D0D0D"/>
              </w:rPr>
              <w:t xml:space="preserve">35 %). Přestože hosté z Ruska tvoří </w:t>
            </w:r>
            <w:r w:rsidR="006B4B7B">
              <w:rPr>
                <w:color w:val="0D0D0D"/>
              </w:rPr>
              <w:t xml:space="preserve">z </w:t>
            </w:r>
            <w:r w:rsidRPr="00360DE3">
              <w:rPr>
                <w:color w:val="0D0D0D"/>
              </w:rPr>
              <w:t>hlediska váhy (9,8 % na celkovém počtu přenocování nerezidentů) až druhou nejvýznamnější skupinu (s výrazným odstupem za Německem 21,9 %), jsou to právě oni, kteří v poslední dekádě ovlivňovali (v kladném i záporném směru) celkovou návštěvnost v ČR nejvíce. Vyšší počet př</w:t>
            </w:r>
            <w:r w:rsidR="006B4B7B">
              <w:rPr>
                <w:color w:val="0D0D0D"/>
              </w:rPr>
              <w:t xml:space="preserve">enocování loni vykázali hosté ze </w:t>
            </w:r>
            <w:r w:rsidRPr="00360DE3">
              <w:rPr>
                <w:color w:val="0D0D0D"/>
              </w:rPr>
              <w:t xml:space="preserve">47 </w:t>
            </w:r>
            <w:r w:rsidR="006B4B7B">
              <w:rPr>
                <w:color w:val="0D0D0D"/>
              </w:rPr>
              <w:t>zemí (z 55 sledovaných</w:t>
            </w:r>
            <w:r w:rsidRPr="00360DE3">
              <w:rPr>
                <w:color w:val="0D0D0D"/>
              </w:rPr>
              <w:t xml:space="preserve">), z významnějších zdrojových států omezovaly v ČR pobyty jen Turci (-8 %) a hosté z Velké Británie (-1 %). Naopak </w:t>
            </w:r>
            <w:r w:rsidR="006B4B7B">
              <w:rPr>
                <w:color w:val="0D0D0D"/>
              </w:rPr>
              <w:t>pokračoval dynamický růst počtu přenocování hostů z Číny (+31</w:t>
            </w:r>
            <w:r w:rsidR="006B4B7B" w:rsidRPr="00360DE3">
              <w:rPr>
                <w:color w:val="0D0D0D"/>
              </w:rPr>
              <w:t> </w:t>
            </w:r>
            <w:r w:rsidRPr="00360DE3">
              <w:rPr>
                <w:color w:val="0D0D0D"/>
              </w:rPr>
              <w:t>%), Indie (+28 %), Jižní Kore</w:t>
            </w:r>
            <w:r w:rsidR="006B4B7B">
              <w:rPr>
                <w:color w:val="0D0D0D"/>
              </w:rPr>
              <w:t>y (+25 %), Tchaj-wanu (+15 %) i </w:t>
            </w:r>
            <w:r w:rsidRPr="00360DE3">
              <w:rPr>
                <w:color w:val="0D0D0D"/>
              </w:rPr>
              <w:t>zemí z Blízkého východu. Za poslední tři konjunkturní roky cestovního ruchu v ČR vz</w:t>
            </w:r>
            <w:r w:rsidR="006B4B7B">
              <w:rPr>
                <w:color w:val="0D0D0D"/>
              </w:rPr>
              <w:t xml:space="preserve">rostly absolutně nejvíce počty přenocování </w:t>
            </w:r>
            <w:r w:rsidRPr="00360DE3">
              <w:rPr>
                <w:color w:val="0D0D0D"/>
              </w:rPr>
              <w:t xml:space="preserve">hostů z Německa a Číny. </w:t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Četnost hostů v lázeňských HUZ narůstala pomaleji nežli v jiných segmentech cestovního ruch. Růst obliby lázní byl loni tažen hlavně turisty z Německa.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rPr>
                <w:szCs w:val="20"/>
              </w:rPr>
            </w:pPr>
            <w:r w:rsidRPr="00360DE3">
              <w:rPr>
                <w:szCs w:val="20"/>
              </w:rPr>
              <w:t>Do lázeňských HUZ</w:t>
            </w:r>
            <w:r w:rsidRPr="00360DE3">
              <w:rPr>
                <w:rStyle w:val="Znakapoznpodarou"/>
                <w:szCs w:val="20"/>
              </w:rPr>
              <w:footnoteReference w:id="6"/>
            </w:r>
            <w:r w:rsidR="00A35EA6">
              <w:rPr>
                <w:szCs w:val="20"/>
              </w:rPr>
              <w:t xml:space="preserve"> v Česku</w:t>
            </w:r>
            <w:r w:rsidRPr="00360DE3">
              <w:rPr>
                <w:szCs w:val="20"/>
              </w:rPr>
              <w:t xml:space="preserve"> loni zavítalo rekordních 839 tis. hostů. K meziročnímu růstu četnosti hostů (+7,6 %) přispě</w:t>
            </w:r>
            <w:r w:rsidR="00A35EA6">
              <w:rPr>
                <w:szCs w:val="20"/>
              </w:rPr>
              <w:t>la nejvíce německá klientela (v</w:t>
            </w:r>
            <w:r w:rsidR="00A35EA6" w:rsidRPr="00360DE3">
              <w:rPr>
                <w:szCs w:val="20"/>
              </w:rPr>
              <w:t> </w:t>
            </w:r>
            <w:r w:rsidRPr="00360DE3">
              <w:rPr>
                <w:szCs w:val="20"/>
              </w:rPr>
              <w:t xml:space="preserve">letech 2014-2016 to ale byli hosté z tuzemska). Zatímco hostů z ČR po roce 2012 plynule přibývá, </w:t>
            </w:r>
            <w:r w:rsidR="004B48DF">
              <w:rPr>
                <w:szCs w:val="20"/>
              </w:rPr>
              <w:t>u zahraničních byl v letech 2014 a 2015 zaznamenán pokles (v úhrnu o 15</w:t>
            </w:r>
            <w:r w:rsidRPr="00360DE3">
              <w:rPr>
                <w:szCs w:val="20"/>
              </w:rPr>
              <w:t xml:space="preserve"> %) vlivem odlivu na lázeňství více specializované ruské klientely</w:t>
            </w:r>
            <w:r w:rsidRPr="00360DE3">
              <w:rPr>
                <w:rStyle w:val="Znakapoznpodarou"/>
                <w:szCs w:val="20"/>
              </w:rPr>
              <w:footnoteReference w:id="7"/>
            </w:r>
            <w:r w:rsidRPr="00360DE3">
              <w:rPr>
                <w:szCs w:val="20"/>
              </w:rPr>
              <w:t>. Hosté z Ruska se od loňska do lázní v ČR postupně vrací, avšak s menší intenzitou než do segmentu městského cestovního ruchu. V tomto segmentu hraje specifickou roli kongresový cestovní ruch</w:t>
            </w:r>
            <w:r w:rsidRPr="00360DE3">
              <w:rPr>
                <w:rStyle w:val="Znakapoznpodarou"/>
                <w:szCs w:val="20"/>
              </w:rPr>
              <w:footnoteReference w:id="8"/>
            </w:r>
            <w:r w:rsidRPr="00360DE3">
              <w:rPr>
                <w:szCs w:val="20"/>
              </w:rPr>
              <w:t xml:space="preserve">. </w:t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Tempo růstu počtu hostů ubytovaných v HUZ bylo v Česku za poslední tři roky vyšší než v EU.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/>
              <w:rPr>
                <w:sz w:val="16"/>
                <w:szCs w:val="16"/>
              </w:rPr>
            </w:pPr>
            <w:r w:rsidRPr="00360DE3">
              <w:rPr>
                <w:szCs w:val="20"/>
              </w:rPr>
              <w:t xml:space="preserve">Počet všech hostů v HUZ v ČR roste po roce 2014 výrazně vyšším tempem než v EU (tu loni navštívilo meziročně o 5 % hostů více). Zatímco v roce 2016 </w:t>
            </w:r>
            <w:r w:rsidR="00785232">
              <w:rPr>
                <w:szCs w:val="20"/>
              </w:rPr>
              <w:t xml:space="preserve">se </w:t>
            </w:r>
            <w:r w:rsidRPr="00360DE3">
              <w:rPr>
                <w:szCs w:val="20"/>
              </w:rPr>
              <w:t>četnost hostů snižovala v šesti státech Unie, loni vykázaly mírný pokles jen Velká Británie a Lucembursko. Nejvíce se navyšovala ná</w:t>
            </w:r>
            <w:r w:rsidR="00785232">
              <w:rPr>
                <w:szCs w:val="20"/>
              </w:rPr>
              <w:t>vštěvnost ve Slovinsku, Maltě a</w:t>
            </w:r>
            <w:r w:rsidR="00785232" w:rsidRPr="00360DE3">
              <w:rPr>
                <w:szCs w:val="20"/>
              </w:rPr>
              <w:t> </w:t>
            </w:r>
            <w:r w:rsidRPr="00360DE3">
              <w:rPr>
                <w:szCs w:val="20"/>
              </w:rPr>
              <w:t>Chorvatsku (shodně o 13 %). Dařilo se i některým státům mimo EU</w:t>
            </w:r>
            <w:r w:rsidRPr="00360DE3">
              <w:rPr>
                <w:rStyle w:val="Znakapoznpodarou"/>
                <w:szCs w:val="20"/>
              </w:rPr>
              <w:footnoteReference w:id="9"/>
            </w:r>
            <w:r w:rsidRPr="00360DE3">
              <w:rPr>
                <w:szCs w:val="20"/>
              </w:rPr>
              <w:t>. Průměrná délka pobytu hostů v zemích EU loni činila 4,1 dny, o desetinu více než v ČR. Delší pobyty byly tradičně ve středomořských destinacích, ale i v Dánsku či Velké Británii (5 dní). Na Británii připadal i největší podíl celko</w:t>
            </w:r>
            <w:r w:rsidR="00785232">
              <w:rPr>
                <w:szCs w:val="20"/>
              </w:rPr>
              <w:t>vého počtu přenocování v EU (15</w:t>
            </w:r>
            <w:r w:rsidR="00785232" w:rsidRPr="00360DE3">
              <w:rPr>
                <w:szCs w:val="20"/>
              </w:rPr>
              <w:t> </w:t>
            </w:r>
            <w:r w:rsidRPr="00360DE3">
              <w:rPr>
                <w:szCs w:val="20"/>
              </w:rPr>
              <w:t>%) – spolu se Španělskem, Francií, Itálií a Německem tvořily 69 %. ČR se podílela 1,7 %a zároveň se loni umístila na chvostu první desítky států s nejvyšším růstem počtu přenocování (+7,1 %).</w:t>
            </w:r>
          </w:p>
          <w:p w:rsidR="006D64C2" w:rsidRPr="00360DE3" w:rsidRDefault="006D64C2" w:rsidP="00DC37E3">
            <w:pPr>
              <w:spacing w:after="0"/>
              <w:rPr>
                <w:sz w:val="16"/>
                <w:szCs w:val="16"/>
              </w:rPr>
            </w:pP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Aktivity související s cestovním ruchem se podílely na HDP Česka necelými 3 %.</w:t>
            </w: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Podíl čistých příjmů ČR z cestovního ruchu vztažených k HDP v posledních třech letech stagnoval.</w:t>
            </w: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Default="006D64C2" w:rsidP="00DC37E3">
            <w:pPr>
              <w:rPr>
                <w:color w:val="000000"/>
              </w:rPr>
            </w:pPr>
            <w:r w:rsidRPr="00360DE3">
              <w:rPr>
                <w:color w:val="000000"/>
              </w:rPr>
              <w:t xml:space="preserve">Makroekonomický přínos cestovního ruchu je zachycen v satelitním účtu cestovního ruchu. Dle něj dosáhl v roce 2016 podíl cestovního ruchu na </w:t>
            </w:r>
            <w:r w:rsidR="00785232">
              <w:rPr>
                <w:color w:val="000000"/>
              </w:rPr>
              <w:t xml:space="preserve">tvorbě </w:t>
            </w:r>
            <w:r w:rsidRPr="00360DE3">
              <w:rPr>
                <w:color w:val="000000"/>
              </w:rPr>
              <w:t xml:space="preserve">HDP 2,9 % (jeho váha za poslední dekádu stagnovala). Působilo v něm </w:t>
            </w:r>
            <w:r w:rsidR="00785232">
              <w:rPr>
                <w:color w:val="000000"/>
              </w:rPr>
              <w:t>přes 230</w:t>
            </w:r>
            <w:r w:rsidR="00785232" w:rsidRPr="00360DE3">
              <w:rPr>
                <w:szCs w:val="20"/>
              </w:rPr>
              <w:t> </w:t>
            </w:r>
            <w:r w:rsidRPr="00360DE3">
              <w:rPr>
                <w:color w:val="000000"/>
              </w:rPr>
              <w:t>tis. lidí (po přepočtu na plné úvazky). Počet pracovníků po roce 2014 opět mírně rostl. Poskytoval obživu 3,7 % mužů, resp. 5,4 % žen zaměstnaných v celé ekonomice. Bezmála polovina všech pracovníků v cestovním ruchu působila v</w:t>
            </w:r>
            <w:r w:rsidR="00785232" w:rsidRPr="00360DE3">
              <w:rPr>
                <w:szCs w:val="20"/>
              </w:rPr>
              <w:t> </w:t>
            </w:r>
            <w:r w:rsidRPr="00360DE3">
              <w:rPr>
                <w:color w:val="000000"/>
              </w:rPr>
              <w:t>ubytovacích či restauračních zařízeních. Význam cestovního ruchu odráží i</w:t>
            </w:r>
            <w:r w:rsidR="00785232" w:rsidRPr="00360DE3">
              <w:rPr>
                <w:szCs w:val="20"/>
              </w:rPr>
              <w:t> </w:t>
            </w:r>
            <w:r w:rsidRPr="00360DE3">
              <w:rPr>
                <w:color w:val="000000"/>
              </w:rPr>
              <w:t>statistika platební bilance, která zahrnuje mj. i údaje o výdajích rezidentů ČR v</w:t>
            </w:r>
            <w:r w:rsidR="00785232" w:rsidRPr="00360DE3">
              <w:rPr>
                <w:szCs w:val="20"/>
              </w:rPr>
              <w:t> </w:t>
            </w:r>
            <w:r w:rsidRPr="00360DE3">
              <w:rPr>
                <w:color w:val="000000"/>
              </w:rPr>
              <w:t xml:space="preserve">zahraničí. </w:t>
            </w:r>
          </w:p>
          <w:p w:rsidR="00785232" w:rsidRDefault="006D64C2" w:rsidP="00DC37E3">
            <w:pPr>
              <w:rPr>
                <w:color w:val="000000"/>
              </w:rPr>
            </w:pPr>
            <w:r w:rsidRPr="00360DE3">
              <w:rPr>
                <w:color w:val="000000"/>
              </w:rPr>
              <w:t xml:space="preserve">V roce 2017 převýšily příjmy z cestovního ruchu inkasované od nerezidentů výdaje na cestovní ruch placené rezidenty ČR o 35 mld. korun. Ve vztahu k nominálnímu HDP šlo o 0,70 % (podobnou relaci dosahovalo Česko i v letech 2014 a 2015). Zhoršení negativní bilance se státy EU (o téměř 7 mld., na </w:t>
            </w:r>
            <w:r w:rsidR="00785232">
              <w:rPr>
                <w:color w:val="000000"/>
              </w:rPr>
              <w:t>17 mld. korun) bylo kompenzováno</w:t>
            </w:r>
            <w:r w:rsidRPr="00360DE3">
              <w:rPr>
                <w:color w:val="000000"/>
              </w:rPr>
              <w:t xml:space="preserve"> posílením kladné pozice s Ruskem (o více než 2 mld., na 14 mld.) a dále i s asijskými státy. ČR patřila k devatenácti státům Unie, jež vloni dosáhly aktivního salda cestovního ruchu. Významnou roli </w:t>
            </w:r>
            <w:r w:rsidR="00785232">
              <w:rPr>
                <w:color w:val="000000"/>
              </w:rPr>
              <w:t xml:space="preserve">s pozitivním vlivem na rozpočet </w:t>
            </w:r>
            <w:r w:rsidRPr="00360DE3">
              <w:rPr>
                <w:color w:val="000000"/>
              </w:rPr>
              <w:t>má toto odvětví také v některých evropských zemích mimo EU (zejména v balkánských státech).</w:t>
            </w:r>
          </w:p>
          <w:p w:rsidR="00785232" w:rsidRPr="00785232" w:rsidRDefault="00785232" w:rsidP="00785232">
            <w:pPr>
              <w:spacing w:after="0"/>
              <w:rPr>
                <w:color w:val="000000"/>
              </w:rPr>
            </w:pP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14.3  Saldo</w:t>
            </w:r>
            <w:proofErr w:type="gramEnd"/>
            <w:r w:rsidRPr="00360DE3">
              <w:rPr>
                <w:b/>
              </w:rPr>
              <w:t xml:space="preserve"> příjmů a výdajů z cestovního ruchu k HDP </w:t>
            </w:r>
            <w:r w:rsidRPr="00360DE3">
              <w:t>(rok 2017, v %)</w:t>
            </w:r>
            <w:r w:rsidRPr="00360DE3">
              <w:rPr>
                <w:b/>
              </w:rPr>
              <w:t xml:space="preserve"> </w:t>
            </w:r>
          </w:p>
          <w:p w:rsidR="006D64C2" w:rsidRPr="00360DE3" w:rsidRDefault="006D64C2" w:rsidP="00DC37E3">
            <w:pPr>
              <w:spacing w:after="0"/>
            </w:pPr>
            <w:r w:rsidRPr="00360DE3">
              <w:rPr>
                <w:b/>
              </w:rPr>
              <w:t>a poměr příjmů z cestovního ruchu na HDP ve vybraných evropských státech</w:t>
            </w:r>
            <w:r w:rsidRPr="00360DE3">
              <w:t xml:space="preserve"> (změna mezi roky 2017 a 2013 v </w:t>
            </w:r>
            <w:proofErr w:type="spellStart"/>
            <w:proofErr w:type="gramStart"/>
            <w:r w:rsidRPr="00360DE3">
              <w:t>p.b</w:t>
            </w:r>
            <w:proofErr w:type="spellEnd"/>
            <w:r w:rsidRPr="00360DE3">
              <w:t>.)</w:t>
            </w:r>
            <w:proofErr w:type="gramEnd"/>
          </w:p>
          <w:p w:rsidR="006D64C2" w:rsidRPr="00360DE3" w:rsidRDefault="006D64C2" w:rsidP="00DC37E3">
            <w:pPr>
              <w:spacing w:after="0"/>
              <w:rPr>
                <w:sz w:val="16"/>
                <w:szCs w:val="16"/>
              </w:rPr>
            </w:pPr>
            <w:r w:rsidRPr="00360DE3">
              <w:rPr>
                <w:noProof/>
                <w:sz w:val="16"/>
                <w:szCs w:val="16"/>
              </w:rPr>
              <w:drawing>
                <wp:inline distT="0" distB="0" distL="0" distR="0">
                  <wp:extent cx="4675324" cy="3236026"/>
                  <wp:effectExtent l="19050" t="0" r="0" b="0"/>
                  <wp:docPr id="6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D64C2" w:rsidRPr="00360DE3" w:rsidTr="00DC37E3">
        <w:trPr>
          <w:trHeight w:val="170"/>
        </w:trPr>
        <w:tc>
          <w:tcPr>
            <w:tcW w:w="1976" w:type="dxa"/>
          </w:tcPr>
          <w:p w:rsidR="006D64C2" w:rsidRPr="00360DE3" w:rsidRDefault="006D64C2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D64C2" w:rsidRPr="00360DE3" w:rsidRDefault="006D64C2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D64C2" w:rsidRPr="00360DE3" w:rsidRDefault="006D64C2" w:rsidP="00DC37E3">
            <w:pPr>
              <w:spacing w:after="0" w:line="240" w:lineRule="auto"/>
              <w:rPr>
                <w:sz w:val="16"/>
                <w:szCs w:val="16"/>
              </w:rPr>
            </w:pPr>
            <w:r w:rsidRPr="00360DE3">
              <w:rPr>
                <w:sz w:val="16"/>
                <w:szCs w:val="16"/>
              </w:rPr>
              <w:t xml:space="preserve">Pozn.: U salda z cestovního ruchu jsou za Irsko, Nizozemsko, Černou Horu, Kosovo, Bosnu a Hercegovinu a Turecko uvedeny nejaktuálnější údaje za rok 2016. U vývoje příjmů z cestovního ruchu se údaje za Irsko, Černou Horu a Turecko vztahují k období 2013-2016, u Švýcarska za 2014-2017. Za Nizozemsko, Kosovo, Bosnu a Hercegovinu nebyly údaje v reprezentativní časové řadě k dispozici.                  Zdroj: </w:t>
            </w:r>
            <w:proofErr w:type="spellStart"/>
            <w:r w:rsidRPr="00360DE3">
              <w:rPr>
                <w:sz w:val="16"/>
                <w:szCs w:val="16"/>
              </w:rPr>
              <w:t>Eurostat</w:t>
            </w:r>
            <w:proofErr w:type="spellEnd"/>
          </w:p>
          <w:p w:rsidR="006D64C2" w:rsidRPr="00360DE3" w:rsidRDefault="006D64C2" w:rsidP="00DC37E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40B7" w:rsidRPr="00360DE3" w:rsidRDefault="009540B7" w:rsidP="009540B7">
      <w:pPr>
        <w:spacing w:after="0"/>
        <w:rPr>
          <w:sz w:val="2"/>
          <w:szCs w:val="2"/>
        </w:rPr>
      </w:pPr>
    </w:p>
    <w:sectPr w:rsidR="009540B7" w:rsidRPr="00360DE3" w:rsidSect="008F52F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CF" w:rsidRDefault="009436CF" w:rsidP="00E71A58">
      <w:r>
        <w:separator/>
      </w:r>
    </w:p>
  </w:endnote>
  <w:endnote w:type="continuationSeparator" w:id="0">
    <w:p w:rsidR="009436CF" w:rsidRDefault="009436C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3416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393416" w:rsidRPr="00932443">
      <w:rPr>
        <w:szCs w:val="16"/>
      </w:rPr>
      <w:fldChar w:fldCharType="separate"/>
    </w:r>
    <w:r w:rsidR="004B25F7">
      <w:rPr>
        <w:szCs w:val="16"/>
      </w:rPr>
      <w:t>74</w:t>
    </w:r>
    <w:r w:rsidR="00393416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393416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393416" w:rsidRPr="00932443">
      <w:rPr>
        <w:rStyle w:val="ZpatChar"/>
        <w:szCs w:val="16"/>
      </w:rPr>
      <w:fldChar w:fldCharType="separate"/>
    </w:r>
    <w:r w:rsidR="004B25F7">
      <w:rPr>
        <w:rStyle w:val="ZpatChar"/>
        <w:szCs w:val="16"/>
      </w:rPr>
      <w:t>73</w:t>
    </w:r>
    <w:r w:rsidR="00393416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CF" w:rsidRDefault="009436CF" w:rsidP="00E71A58">
      <w:r>
        <w:separator/>
      </w:r>
    </w:p>
  </w:footnote>
  <w:footnote w:type="continuationSeparator" w:id="0">
    <w:p w:rsidR="009436CF" w:rsidRDefault="009436CF" w:rsidP="00E71A58">
      <w:r>
        <w:continuationSeparator/>
      </w:r>
    </w:p>
  </w:footnote>
  <w:footnote w:id="1">
    <w:p w:rsidR="00C805DC" w:rsidRPr="004B6C65" w:rsidRDefault="00C805DC" w:rsidP="009540B7">
      <w:pPr>
        <w:pStyle w:val="Textpoznpodarou"/>
        <w:rPr>
          <w:sz w:val="16"/>
          <w:szCs w:val="16"/>
        </w:rPr>
      </w:pPr>
      <w:r w:rsidRPr="004B6C65">
        <w:rPr>
          <w:rStyle w:val="Znakapoznpodarou"/>
          <w:sz w:val="16"/>
          <w:szCs w:val="16"/>
        </w:rPr>
        <w:footnoteRef/>
      </w:r>
      <w:r w:rsidRPr="004B6C65">
        <w:rPr>
          <w:spacing w:val="-2"/>
          <w:sz w:val="16"/>
          <w:szCs w:val="16"/>
        </w:rPr>
        <w:t>Pokud není uvedeno jinak, vychází vše</w:t>
      </w:r>
      <w:r>
        <w:rPr>
          <w:spacing w:val="-2"/>
          <w:sz w:val="16"/>
          <w:szCs w:val="16"/>
        </w:rPr>
        <w:t>chny údaje v této kapitole</w:t>
      </w:r>
      <w:r w:rsidRPr="004B6C65">
        <w:rPr>
          <w:spacing w:val="-2"/>
          <w:sz w:val="16"/>
          <w:szCs w:val="16"/>
        </w:rPr>
        <w:t xml:space="preserve"> z dat národních účtů</w:t>
      </w:r>
      <w:r>
        <w:rPr>
          <w:spacing w:val="-2"/>
          <w:sz w:val="16"/>
          <w:szCs w:val="16"/>
        </w:rPr>
        <w:t>,</w:t>
      </w:r>
      <w:r w:rsidRPr="004B6C65">
        <w:rPr>
          <w:spacing w:val="-2"/>
          <w:sz w:val="16"/>
          <w:szCs w:val="16"/>
        </w:rPr>
        <w:t xml:space="preserve"> a </w:t>
      </w:r>
      <w:r>
        <w:rPr>
          <w:spacing w:val="-2"/>
          <w:sz w:val="16"/>
          <w:szCs w:val="16"/>
        </w:rPr>
        <w:t xml:space="preserve">kde je to relevantní, </w:t>
      </w:r>
      <w:r w:rsidRPr="004B6C65">
        <w:rPr>
          <w:spacing w:val="-2"/>
          <w:sz w:val="16"/>
          <w:szCs w:val="16"/>
        </w:rPr>
        <w:t>jsou očištěny o cenové vlivy.</w:t>
      </w:r>
    </w:p>
  </w:footnote>
  <w:footnote w:id="2">
    <w:p w:rsidR="004B25F7" w:rsidRPr="00A35142" w:rsidRDefault="004B25F7" w:rsidP="004B25F7">
      <w:pPr>
        <w:pStyle w:val="Textpoznpodarou"/>
        <w:rPr>
          <w:spacing w:val="-2"/>
          <w:sz w:val="16"/>
          <w:szCs w:val="16"/>
        </w:rPr>
      </w:pPr>
      <w:r w:rsidRPr="00A35142">
        <w:rPr>
          <w:rStyle w:val="Znakapoznpodarou"/>
          <w:spacing w:val="-2"/>
          <w:sz w:val="16"/>
          <w:szCs w:val="16"/>
        </w:rPr>
        <w:footnoteRef/>
      </w:r>
      <w:r w:rsidRPr="00A35142">
        <w:rPr>
          <w:spacing w:val="-2"/>
          <w:sz w:val="16"/>
          <w:szCs w:val="16"/>
        </w:rPr>
        <w:t xml:space="preserve">Souběžný opakovaný růst HPH jak v ubytování, tak i ve stravování (vč. pohostinství), byl naposledy zaznamenán v letech 1994 a 1995. </w:t>
      </w:r>
    </w:p>
  </w:footnote>
  <w:footnote w:id="3">
    <w:p w:rsidR="00C805DC" w:rsidRPr="00A02E81" w:rsidRDefault="00C805DC" w:rsidP="009540B7">
      <w:pPr>
        <w:pStyle w:val="Textpoznpodarou"/>
        <w:rPr>
          <w:spacing w:val="-2"/>
          <w:sz w:val="16"/>
          <w:szCs w:val="16"/>
        </w:rPr>
      </w:pPr>
      <w:r w:rsidRPr="00A02E81">
        <w:rPr>
          <w:rStyle w:val="Znakapoznpodarou"/>
          <w:spacing w:val="-2"/>
          <w:sz w:val="16"/>
          <w:szCs w:val="16"/>
        </w:rPr>
        <w:footnoteRef/>
      </w:r>
      <w:r w:rsidRPr="00A02E81">
        <w:rPr>
          <w:spacing w:val="-2"/>
          <w:sz w:val="16"/>
          <w:szCs w:val="16"/>
        </w:rPr>
        <w:t xml:space="preserve"> Nefinanční podniky vytvářely v roce 2017 jen 56 % HPH tohoto odvětví. Zatímco v ubytování byla jejich role poměrně silná (81 %), ve stravování a pohostinství se podílely jen 47 % (mírně nadpoloviční většinu zde tvořili drobní podnikatelé spadající pod sektor domácností).</w:t>
      </w:r>
    </w:p>
  </w:footnote>
  <w:footnote w:id="4">
    <w:p w:rsidR="004B25F7" w:rsidRPr="0061249B" w:rsidRDefault="004B25F7" w:rsidP="004B25F7">
      <w:pPr>
        <w:pStyle w:val="Textpoznpodarou"/>
        <w:jc w:val="both"/>
        <w:rPr>
          <w:spacing w:val="2"/>
          <w:sz w:val="16"/>
          <w:szCs w:val="16"/>
        </w:rPr>
      </w:pPr>
      <w:r w:rsidRPr="0061249B">
        <w:rPr>
          <w:rStyle w:val="Znakapoznpodarou"/>
          <w:spacing w:val="2"/>
          <w:sz w:val="16"/>
          <w:szCs w:val="16"/>
        </w:rPr>
        <w:footnoteRef/>
      </w:r>
      <w:r w:rsidRPr="0061249B">
        <w:rPr>
          <w:spacing w:val="2"/>
          <w:sz w:val="16"/>
          <w:szCs w:val="16"/>
        </w:rPr>
        <w:t xml:space="preserve"> To je patrné především ve srovnání s většinou ostatních odvětví služeb v ČR. Naopak v evropském pohledu si odvětví stálo relativně dobře, neboť míra investic v ubytování, stravování a pohostinství se v posledních pěti let v EU jako celku pohybovala mezi 8 a 9 %. Vyšší investiční aktivitu než v ČR zaznamenávají většinou jen některé novější </w:t>
      </w:r>
      <w:r>
        <w:rPr>
          <w:spacing w:val="2"/>
          <w:sz w:val="16"/>
          <w:szCs w:val="16"/>
        </w:rPr>
        <w:t xml:space="preserve">členské </w:t>
      </w:r>
      <w:r w:rsidRPr="0061249B">
        <w:rPr>
          <w:spacing w:val="2"/>
          <w:sz w:val="16"/>
          <w:szCs w:val="16"/>
        </w:rPr>
        <w:t>státy EU (Bulharsko, Rumunsko, Estonsko, Malta).</w:t>
      </w:r>
    </w:p>
  </w:footnote>
  <w:footnote w:id="5">
    <w:p w:rsidR="00C805DC" w:rsidRPr="009D6DF6" w:rsidRDefault="00C805DC" w:rsidP="009540B7">
      <w:pPr>
        <w:pStyle w:val="Textpoznpodarou"/>
        <w:jc w:val="both"/>
        <w:rPr>
          <w:sz w:val="16"/>
          <w:szCs w:val="16"/>
        </w:rPr>
      </w:pPr>
      <w:r w:rsidRPr="009D6DF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</w:t>
      </w:r>
      <w:r w:rsidRPr="009D6DF6">
        <w:rPr>
          <w:sz w:val="16"/>
          <w:szCs w:val="16"/>
        </w:rPr>
        <w:t xml:space="preserve"> šetření Ministerstva pro místní rozvoj (ve spolupráci s agenturou </w:t>
      </w:r>
      <w:proofErr w:type="spellStart"/>
      <w:r w:rsidRPr="009D6DF6">
        <w:rPr>
          <w:sz w:val="16"/>
          <w:szCs w:val="16"/>
        </w:rPr>
        <w:t>Stemmark</w:t>
      </w:r>
      <w:proofErr w:type="spellEnd"/>
      <w:r w:rsidRPr="009D6DF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v roce 2016 </w:t>
      </w:r>
      <w:r w:rsidRPr="009D6DF6">
        <w:rPr>
          <w:sz w:val="16"/>
          <w:szCs w:val="16"/>
        </w:rPr>
        <w:t>vyplynulo, že hosté ubytovaní v </w:t>
      </w:r>
      <w:r>
        <w:rPr>
          <w:sz w:val="16"/>
          <w:szCs w:val="16"/>
        </w:rPr>
        <w:t>HUZ tvořili</w:t>
      </w:r>
      <w:r w:rsidRPr="009D6DF6">
        <w:rPr>
          <w:sz w:val="16"/>
          <w:szCs w:val="16"/>
        </w:rPr>
        <w:t xml:space="preserve"> zhruba jen tři čtvrtiny celkové počtu zahraničních návštěvníků, kteří v Česku přespali</w:t>
      </w:r>
      <w:r>
        <w:rPr>
          <w:sz w:val="16"/>
          <w:szCs w:val="16"/>
        </w:rPr>
        <w:t xml:space="preserve"> alespoň jednu noc</w:t>
      </w:r>
      <w:r w:rsidRPr="009D6DF6">
        <w:rPr>
          <w:sz w:val="16"/>
          <w:szCs w:val="16"/>
        </w:rPr>
        <w:t xml:space="preserve">. Role </w:t>
      </w:r>
      <w:r>
        <w:rPr>
          <w:sz w:val="16"/>
          <w:szCs w:val="16"/>
        </w:rPr>
        <w:t>návštěvnického segmentu ubytovaného mimo HUZ</w:t>
      </w:r>
      <w:r w:rsidRPr="009D6DF6">
        <w:rPr>
          <w:sz w:val="16"/>
          <w:szCs w:val="16"/>
        </w:rPr>
        <w:t xml:space="preserve"> v posledních letech narůstá (</w:t>
      </w:r>
      <w:r>
        <w:rPr>
          <w:sz w:val="16"/>
          <w:szCs w:val="16"/>
        </w:rPr>
        <w:t xml:space="preserve">hlavně </w:t>
      </w:r>
      <w:r w:rsidRPr="009D6DF6">
        <w:rPr>
          <w:sz w:val="16"/>
          <w:szCs w:val="16"/>
        </w:rPr>
        <w:t xml:space="preserve">s rozvojem služeb sdílené ekonomiky). Vedle toho přispívají k rozvoji cestovního ruchu v ČR i jednodenní návštěvníci (v roce 2016 jich bylo dle </w:t>
      </w:r>
      <w:r>
        <w:rPr>
          <w:sz w:val="16"/>
          <w:szCs w:val="16"/>
        </w:rPr>
        <w:t>Satelitního účtu cestovního ruchu17,0</w:t>
      </w:r>
      <w:r w:rsidRPr="009D6DF6">
        <w:rPr>
          <w:sz w:val="16"/>
          <w:szCs w:val="16"/>
        </w:rPr>
        <w:t> mil.) a v menš</w:t>
      </w:r>
      <w:r>
        <w:rPr>
          <w:sz w:val="16"/>
          <w:szCs w:val="16"/>
        </w:rPr>
        <w:t>í míře i tranzitující osoby (2,7</w:t>
      </w:r>
      <w:r w:rsidRPr="009D6DF6">
        <w:rPr>
          <w:sz w:val="16"/>
          <w:szCs w:val="16"/>
        </w:rPr>
        <w:t xml:space="preserve"> mil.). Souhrnný odhad četnosti zahraničních návštěvníků </w:t>
      </w:r>
      <w:r>
        <w:rPr>
          <w:sz w:val="16"/>
          <w:szCs w:val="16"/>
        </w:rPr>
        <w:t>Česka za rok 2016 tak přesáhl 32,5</w:t>
      </w:r>
      <w:r w:rsidRPr="009D6DF6">
        <w:rPr>
          <w:sz w:val="16"/>
          <w:szCs w:val="16"/>
        </w:rPr>
        <w:t xml:space="preserve"> mil osob a byl tak více než trojnásobný oproti hostům registrovaným v HUZ (9,3 mil.).</w:t>
      </w:r>
    </w:p>
  </w:footnote>
  <w:footnote w:id="6">
    <w:p w:rsidR="00C805DC" w:rsidRPr="003B74D6" w:rsidRDefault="00C805DC" w:rsidP="009540B7">
      <w:pPr>
        <w:pStyle w:val="Textpoznpodarou"/>
        <w:jc w:val="both"/>
        <w:rPr>
          <w:sz w:val="16"/>
          <w:szCs w:val="16"/>
        </w:rPr>
      </w:pPr>
      <w:r w:rsidRPr="003B74D6">
        <w:rPr>
          <w:rStyle w:val="Znakapoznpodarou"/>
          <w:sz w:val="16"/>
          <w:szCs w:val="16"/>
        </w:rPr>
        <w:footnoteRef/>
      </w:r>
      <w:r w:rsidRPr="003B74D6">
        <w:rPr>
          <w:sz w:val="16"/>
          <w:szCs w:val="16"/>
        </w:rPr>
        <w:t xml:space="preserve"> Lázeňství představuje pro Česko významný segment cestovního ruchu. Realizuje se v něm </w:t>
      </w:r>
      <w:r>
        <w:rPr>
          <w:sz w:val="16"/>
          <w:szCs w:val="16"/>
        </w:rPr>
        <w:t>sedmina</w:t>
      </w:r>
      <w:r w:rsidRPr="003B74D6">
        <w:rPr>
          <w:sz w:val="16"/>
          <w:szCs w:val="16"/>
        </w:rPr>
        <w:t xml:space="preserve"> všech přenocování v HUZ. V samotném Karlovarském kraji se na celkovém počtu ubytovaných hostů loni podílel</w:t>
      </w:r>
      <w:r>
        <w:rPr>
          <w:sz w:val="16"/>
          <w:szCs w:val="16"/>
        </w:rPr>
        <w:t>o lázeňství</w:t>
      </w:r>
      <w:r w:rsidRPr="003B74D6">
        <w:rPr>
          <w:sz w:val="16"/>
          <w:szCs w:val="16"/>
        </w:rPr>
        <w:t xml:space="preserve"> 48 %, u přenocování dokonc</w:t>
      </w:r>
      <w:r>
        <w:rPr>
          <w:sz w:val="16"/>
          <w:szCs w:val="16"/>
        </w:rPr>
        <w:t>e 72 %. Významnější postavení má</w:t>
      </w:r>
      <w:r w:rsidRPr="003B74D6">
        <w:rPr>
          <w:sz w:val="16"/>
          <w:szCs w:val="16"/>
        </w:rPr>
        <w:t xml:space="preserve"> také v rámci Olomouckého a Zlínského kraje.</w:t>
      </w:r>
    </w:p>
  </w:footnote>
  <w:footnote w:id="7">
    <w:p w:rsidR="00C805DC" w:rsidRPr="00692DA0" w:rsidRDefault="00C805DC" w:rsidP="009540B7">
      <w:pPr>
        <w:pStyle w:val="Textpoznpodarou"/>
        <w:jc w:val="both"/>
        <w:rPr>
          <w:sz w:val="16"/>
          <w:szCs w:val="16"/>
        </w:rPr>
      </w:pPr>
      <w:r w:rsidRPr="00692DA0">
        <w:rPr>
          <w:rStyle w:val="Znakapoznpodarou"/>
          <w:sz w:val="16"/>
          <w:szCs w:val="16"/>
        </w:rPr>
        <w:footnoteRef/>
      </w:r>
      <w:r w:rsidRPr="00692DA0">
        <w:rPr>
          <w:sz w:val="16"/>
          <w:szCs w:val="16"/>
        </w:rPr>
        <w:t xml:space="preserve"> Svou silnou vazbou na lázeňství jsou typičtí také hosté ze zemí Blízkého východu. Bezmála pětina všech hostů ze Saudské Arábie ubytovaných v HUZ v Česku mířila loni do segmentu lázeňství.</w:t>
      </w:r>
      <w:r>
        <w:rPr>
          <w:sz w:val="16"/>
          <w:szCs w:val="16"/>
        </w:rPr>
        <w:t xml:space="preserve"> Ti také v lázních zůstávají v průměru nejdéle (20 dní), s odstupem následují Izraelci (13,4), Rusové (12,8) a Ukrajinci (12,0). U váhově nejvýznamnější skupiny nerezidentů – Němců (tvořících polovinu lázeňských hostů ze zahraničí) to bylo loni 8,0 dní, u dominantní skupiny klientů – z Česka (454 tis. hostů) pak 10,9 dne. Zatímco délka pobytu nerezidentů v lázeňských HUZ dlouhodobě mírně klesá, u hostů z Česka po propadu v roce 2013 (vlivem změn v systému úhrad lázeňské péče ze zdravotního pojištění) začala opět růst a loni se tak vrátila na úroveň roku 2012.</w:t>
      </w:r>
    </w:p>
  </w:footnote>
  <w:footnote w:id="8">
    <w:p w:rsidR="00C805DC" w:rsidRPr="00BB64FC" w:rsidRDefault="00C805DC" w:rsidP="009540B7">
      <w:pPr>
        <w:pStyle w:val="Textpoznpodarou"/>
        <w:jc w:val="both"/>
        <w:rPr>
          <w:spacing w:val="-2"/>
          <w:sz w:val="16"/>
          <w:szCs w:val="16"/>
        </w:rPr>
      </w:pPr>
      <w:r w:rsidRPr="00BB64FC">
        <w:rPr>
          <w:rStyle w:val="Znakapoznpodarou"/>
          <w:spacing w:val="-2"/>
          <w:sz w:val="16"/>
          <w:szCs w:val="16"/>
        </w:rPr>
        <w:footnoteRef/>
      </w:r>
      <w:r w:rsidRPr="00BB64FC">
        <w:rPr>
          <w:spacing w:val="-2"/>
          <w:sz w:val="16"/>
          <w:szCs w:val="16"/>
        </w:rPr>
        <w:t xml:space="preserve"> Více než třetina všech konferencí (s 50 a více účastníky) skutečných v HUZ v ČR připadá dlouhodobě na Prahu, sedmina na Jihomoravský kraj. </w:t>
      </w:r>
      <w:r>
        <w:rPr>
          <w:spacing w:val="-2"/>
          <w:sz w:val="16"/>
          <w:szCs w:val="16"/>
        </w:rPr>
        <w:t>Počet účastníků konferencí v ČR po roce 2010 spíše stagnuje (loni šlo o 1,36 mil. osob). Průměrný počet účastníků na 1</w:t>
      </w:r>
      <w:r w:rsidRPr="009D6DF6">
        <w:rPr>
          <w:sz w:val="16"/>
          <w:szCs w:val="16"/>
        </w:rPr>
        <w:t> </w:t>
      </w:r>
      <w:r>
        <w:rPr>
          <w:spacing w:val="-2"/>
          <w:sz w:val="16"/>
          <w:szCs w:val="16"/>
        </w:rPr>
        <w:t>akci klesá (v roce 2010 dosahoval 128 osob, loni 108).</w:t>
      </w:r>
    </w:p>
  </w:footnote>
  <w:footnote w:id="9">
    <w:p w:rsidR="00C805DC" w:rsidRPr="00D67E9A" w:rsidRDefault="00C805DC" w:rsidP="009540B7">
      <w:pPr>
        <w:pStyle w:val="Textpoznpodarou"/>
        <w:rPr>
          <w:sz w:val="16"/>
          <w:szCs w:val="16"/>
        </w:rPr>
      </w:pPr>
      <w:r w:rsidRPr="00D67E9A">
        <w:rPr>
          <w:rStyle w:val="Znakapoznpodarou"/>
          <w:sz w:val="16"/>
          <w:szCs w:val="16"/>
        </w:rPr>
        <w:footnoteRef/>
      </w:r>
      <w:r w:rsidRPr="00D67E9A">
        <w:rPr>
          <w:sz w:val="16"/>
          <w:szCs w:val="16"/>
        </w:rPr>
        <w:t xml:space="preserve"> Např. na Islandu vzrostl mezi roky 2012 a 2017 počet hostů z 2,1 n</w:t>
      </w:r>
      <w:r>
        <w:rPr>
          <w:sz w:val="16"/>
          <w:szCs w:val="16"/>
        </w:rPr>
        <w:t>a 5,3 mil. Cestovní ruch byl jedním z faktorů, jež pomohl této zemi k zotavení z hluboké recese za konci předchozí dekády. Dařilo se dosud málo „objeveným“ turistickým destinacím (Srbsko, Makedonie).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93416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25F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2FB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36CF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5-Ubytov&#225;n&#237;%20a%20pohostinstv&#237;\Cestovn&#237;%20ruch-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5-Ubytov&#225;n&#237;%20a%20pohostinstv&#237;\Cestovn&#237;%20ruch-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5-Ubytov&#225;n&#237;%20a%20pohostinstv&#237;\Cestovn&#237;%20ruch-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2921E-2"/>
          <c:w val="0.88956025070613787"/>
          <c:h val="0.76155690645052365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účty-souhrnné'!$A$39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účty-souhrnné'!$G$39:$S$39</c:f>
              <c:numCache>
                <c:formatCode>#,##0.0</c:formatCode>
                <c:ptCount val="13"/>
                <c:pt idx="0">
                  <c:v>109.5</c:v>
                </c:pt>
                <c:pt idx="1">
                  <c:v>109.7</c:v>
                </c:pt>
                <c:pt idx="2">
                  <c:v>122.6</c:v>
                </c:pt>
                <c:pt idx="3">
                  <c:v>118.3</c:v>
                </c:pt>
                <c:pt idx="4">
                  <c:v>105.2</c:v>
                </c:pt>
                <c:pt idx="5">
                  <c:v>100</c:v>
                </c:pt>
                <c:pt idx="6">
                  <c:v>104.8</c:v>
                </c:pt>
                <c:pt idx="7">
                  <c:v>98.8</c:v>
                </c:pt>
                <c:pt idx="8">
                  <c:v>97.6</c:v>
                </c:pt>
                <c:pt idx="9">
                  <c:v>94.6</c:v>
                </c:pt>
                <c:pt idx="10">
                  <c:v>102.8</c:v>
                </c:pt>
                <c:pt idx="11">
                  <c:v>103.7</c:v>
                </c:pt>
                <c:pt idx="12">
                  <c:v>107.4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3A-45D5-90C6-79E1CB478DF9}"/>
            </c:ext>
          </c:extLst>
        </c:ser>
        <c:gapWidth val="30"/>
        <c:axId val="116103040"/>
        <c:axId val="118693248"/>
      </c:barChart>
      <c:lineChart>
        <c:grouping val="standard"/>
        <c:ser>
          <c:idx val="3"/>
          <c:order val="1"/>
          <c:tx>
            <c:strRef>
              <c:f>'Graf-Národní účty-souhrnné'!$A$40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účty-souhrnné'!$G$40:$S$40</c:f>
              <c:numCache>
                <c:formatCode>0.0</c:formatCode>
                <c:ptCount val="13"/>
                <c:pt idx="0">
                  <c:v>90.313979338620371</c:v>
                </c:pt>
                <c:pt idx="1">
                  <c:v>97.598816178167709</c:v>
                </c:pt>
                <c:pt idx="2">
                  <c:v>101.49201731535717</c:v>
                </c:pt>
                <c:pt idx="3">
                  <c:v>98.620823646580419</c:v>
                </c:pt>
                <c:pt idx="4">
                  <c:v>100.77850400570757</c:v>
                </c:pt>
                <c:pt idx="5">
                  <c:v>100</c:v>
                </c:pt>
                <c:pt idx="6">
                  <c:v>99.37625007974691</c:v>
                </c:pt>
                <c:pt idx="7">
                  <c:v>104.11842740190184</c:v>
                </c:pt>
                <c:pt idx="8">
                  <c:v>105.67473665245318</c:v>
                </c:pt>
                <c:pt idx="9">
                  <c:v>106.33569751403876</c:v>
                </c:pt>
                <c:pt idx="10">
                  <c:v>114.59279083198275</c:v>
                </c:pt>
                <c:pt idx="11">
                  <c:v>121.78485108779056</c:v>
                </c:pt>
                <c:pt idx="12">
                  <c:v>130.27499298709481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3A-45D5-90C6-79E1CB478DF9}"/>
            </c:ext>
          </c:extLst>
        </c:ser>
        <c:ser>
          <c:idx val="1"/>
          <c:order val="2"/>
          <c:tx>
            <c:strRef>
              <c:f>'Graf-Národní účty-souhrnné'!$A$41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účty-souhrnné'!$G$41:$S$41</c:f>
              <c:numCache>
                <c:formatCode>0.0</c:formatCode>
                <c:ptCount val="13"/>
                <c:pt idx="0">
                  <c:v>118.91058464364149</c:v>
                </c:pt>
                <c:pt idx="1">
                  <c:v>118.02955132972905</c:v>
                </c:pt>
                <c:pt idx="2">
                  <c:v>129.03568706844752</c:v>
                </c:pt>
                <c:pt idx="3">
                  <c:v>119.02958965124382</c:v>
                </c:pt>
                <c:pt idx="4">
                  <c:v>101.34581767154427</c:v>
                </c:pt>
                <c:pt idx="5">
                  <c:v>100</c:v>
                </c:pt>
                <c:pt idx="6">
                  <c:v>103.42815986690719</c:v>
                </c:pt>
                <c:pt idx="7">
                  <c:v>102.15025255596781</c:v>
                </c:pt>
                <c:pt idx="8">
                  <c:v>102.4517089294352</c:v>
                </c:pt>
                <c:pt idx="9">
                  <c:v>103.00526706890498</c:v>
                </c:pt>
                <c:pt idx="10">
                  <c:v>111.43367046111725</c:v>
                </c:pt>
                <c:pt idx="11">
                  <c:v>109.07370892641968</c:v>
                </c:pt>
                <c:pt idx="12">
                  <c:v>109.48740937256743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3A-45D5-90C6-79E1CB478DF9}"/>
            </c:ext>
          </c:extLst>
        </c:ser>
        <c:ser>
          <c:idx val="7"/>
          <c:order val="3"/>
          <c:tx>
            <c:strRef>
              <c:f>'Graf-Národní účty-souhrnné'!$A$42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účty-souhrnné'!$G$42:$S$42</c:f>
              <c:numCache>
                <c:formatCode>0.0</c:formatCode>
                <c:ptCount val="13"/>
                <c:pt idx="0">
                  <c:v>88.627149950823949</c:v>
                </c:pt>
                <c:pt idx="1">
                  <c:v>90.245400244680582</c:v>
                </c:pt>
                <c:pt idx="2">
                  <c:v>93.372034447188838</c:v>
                </c:pt>
                <c:pt idx="3">
                  <c:v>96.523136709285879</c:v>
                </c:pt>
                <c:pt idx="4">
                  <c:v>101.88547988581573</c:v>
                </c:pt>
                <c:pt idx="5">
                  <c:v>100</c:v>
                </c:pt>
                <c:pt idx="6">
                  <c:v>99.902607527526158</c:v>
                </c:pt>
                <c:pt idx="7">
                  <c:v>98.660013913210364</c:v>
                </c:pt>
                <c:pt idx="8">
                  <c:v>97.627557751817122</c:v>
                </c:pt>
                <c:pt idx="9">
                  <c:v>93.767841293448782</c:v>
                </c:pt>
                <c:pt idx="10">
                  <c:v>95.261352459999515</c:v>
                </c:pt>
                <c:pt idx="11">
                  <c:v>96.644037709597711</c:v>
                </c:pt>
                <c:pt idx="12">
                  <c:v>99.751001511262501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3A-45D5-90C6-79E1CB478DF9}"/>
            </c:ext>
          </c:extLst>
        </c:ser>
        <c:marker val="1"/>
        <c:axId val="116103040"/>
        <c:axId val="118693248"/>
      </c:lineChart>
      <c:lineChart>
        <c:grouping val="standard"/>
        <c:ser>
          <c:idx val="2"/>
          <c:order val="4"/>
          <c:tx>
            <c:strRef>
              <c:f>'Graf-Národní účty-souhrnné'!$A$43</c:f>
              <c:strCache>
                <c:ptCount val="1"/>
                <c:pt idx="0">
                  <c:v>Míra investic (v %, pravá osa)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účty-souhrnné'!$G$43:$S$43</c:f>
              <c:numCache>
                <c:formatCode>0.0</c:formatCode>
                <c:ptCount val="13"/>
                <c:pt idx="0">
                  <c:v>19.39668597769889</c:v>
                </c:pt>
                <c:pt idx="1">
                  <c:v>20.038855685239291</c:v>
                </c:pt>
                <c:pt idx="2">
                  <c:v>16.870995074935127</c:v>
                </c:pt>
                <c:pt idx="3">
                  <c:v>13.42695083771075</c:v>
                </c:pt>
                <c:pt idx="4">
                  <c:v>12.955935350005554</c:v>
                </c:pt>
                <c:pt idx="5">
                  <c:v>10.354344358921111</c:v>
                </c:pt>
                <c:pt idx="6">
                  <c:v>14.762119534763036</c:v>
                </c:pt>
                <c:pt idx="7">
                  <c:v>14.477387354752416</c:v>
                </c:pt>
                <c:pt idx="8">
                  <c:v>14.167036502829374</c:v>
                </c:pt>
                <c:pt idx="9">
                  <c:v>12.648167180541181</c:v>
                </c:pt>
                <c:pt idx="10">
                  <c:v>11.499852739053606</c:v>
                </c:pt>
                <c:pt idx="11">
                  <c:v>13.598414179104479</c:v>
                </c:pt>
                <c:pt idx="12">
                  <c:v>13.005021565645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3A-45D5-90C6-79E1CB478DF9}"/>
            </c:ext>
          </c:extLst>
        </c:ser>
        <c:ser>
          <c:idx val="5"/>
          <c:order val="5"/>
          <c:tx>
            <c:strRef>
              <c:f>'Graf-Národní účty-souhrnné'!$A$44</c:f>
              <c:strCache>
                <c:ptCount val="1"/>
                <c:pt idx="0">
                  <c:v>Míra zisku nefinančních podniků (v %, pravá osa)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účty-souhrnné'!$G$38:$S$38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účty-souhrnné'!$G$44:$S$44</c:f>
              <c:numCache>
                <c:formatCode>0.0</c:formatCode>
                <c:ptCount val="13"/>
                <c:pt idx="0">
                  <c:v>37.302725968436157</c:v>
                </c:pt>
                <c:pt idx="1">
                  <c:v>39.786349740665685</c:v>
                </c:pt>
                <c:pt idx="2">
                  <c:v>43.865160906852338</c:v>
                </c:pt>
                <c:pt idx="3">
                  <c:v>42.944768171299067</c:v>
                </c:pt>
                <c:pt idx="4">
                  <c:v>28.839479392624728</c:v>
                </c:pt>
                <c:pt idx="5">
                  <c:v>38.250117389262797</c:v>
                </c:pt>
                <c:pt idx="6">
                  <c:v>34.450238890797245</c:v>
                </c:pt>
                <c:pt idx="7">
                  <c:v>31.209850107066391</c:v>
                </c:pt>
                <c:pt idx="8">
                  <c:v>33.512208210356853</c:v>
                </c:pt>
                <c:pt idx="9">
                  <c:v>37.914604611982114</c:v>
                </c:pt>
                <c:pt idx="10">
                  <c:v>39.012510743959922</c:v>
                </c:pt>
                <c:pt idx="11">
                  <c:v>39.421659585536894</c:v>
                </c:pt>
                <c:pt idx="12">
                  <c:v>38.62383963904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3A-45D5-90C6-79E1CB478DF9}"/>
            </c:ext>
          </c:extLst>
        </c:ser>
        <c:marker val="1"/>
        <c:axId val="125289216"/>
        <c:axId val="125196928"/>
      </c:lineChart>
      <c:catAx>
        <c:axId val="11610304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8693248"/>
        <c:crossesAt val="100"/>
        <c:lblAlgn val="ctr"/>
        <c:lblOffset val="0"/>
        <c:tickLblSkip val="1"/>
        <c:tickMarkSkip val="4"/>
      </c:catAx>
      <c:valAx>
        <c:axId val="118693248"/>
        <c:scaling>
          <c:orientation val="minMax"/>
          <c:max val="130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6103040"/>
        <c:crosses val="autoZero"/>
        <c:crossBetween val="between"/>
        <c:majorUnit val="5"/>
      </c:valAx>
      <c:valAx>
        <c:axId val="125196928"/>
        <c:scaling>
          <c:orientation val="minMax"/>
          <c:max val="50"/>
          <c:min val="0"/>
        </c:scaling>
        <c:axPos val="r"/>
        <c:numFmt formatCode="0" sourceLinked="0"/>
        <c:tickLblPos val="nextTo"/>
        <c:crossAx val="125289216"/>
        <c:crosses val="max"/>
        <c:crossBetween val="between"/>
      </c:valAx>
      <c:catAx>
        <c:axId val="125289216"/>
        <c:scaling>
          <c:orientation val="minMax"/>
        </c:scaling>
        <c:delete val="1"/>
        <c:axPos val="b"/>
        <c:numFmt formatCode="General" sourceLinked="1"/>
        <c:tickLblPos val="none"/>
        <c:crossAx val="125196928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82924800180119362"/>
          <c:w val="0.88531755998340733"/>
          <c:h val="0.1671777552628617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402259241214903E-2"/>
          <c:y val="1.6434241361665363E-2"/>
          <c:w val="0.87833403286788581"/>
          <c:h val="0.68734901278841065"/>
        </c:manualLayout>
      </c:layout>
      <c:barChart>
        <c:barDir val="col"/>
        <c:grouping val="stacked"/>
        <c:ser>
          <c:idx val="0"/>
          <c:order val="0"/>
          <c:tx>
            <c:strRef>
              <c:f>'GRAF-přenocování-zahr.'!$B$26</c:f>
              <c:strCache>
                <c:ptCount val="1"/>
                <c:pt idx="0">
                  <c:v>Ostatní státy světa (v p. b.)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'GRAF-přenocování-zahr.'!$B$27:$B$38</c:f>
              <c:numCache>
                <c:formatCode>#,##0.0</c:formatCode>
                <c:ptCount val="12"/>
                <c:pt idx="0">
                  <c:v>0.24928253509115941</c:v>
                </c:pt>
                <c:pt idx="1">
                  <c:v>0.18082314950443074</c:v>
                </c:pt>
                <c:pt idx="2">
                  <c:v>0.21313732927980325</c:v>
                </c:pt>
                <c:pt idx="3">
                  <c:v>-0.22483089276631604</c:v>
                </c:pt>
                <c:pt idx="4">
                  <c:v>0.46321347629694981</c:v>
                </c:pt>
                <c:pt idx="5">
                  <c:v>0.36844819382306127</c:v>
                </c:pt>
                <c:pt idx="6">
                  <c:v>0.51985501655895938</c:v>
                </c:pt>
                <c:pt idx="7">
                  <c:v>0.26327906530173428</c:v>
                </c:pt>
                <c:pt idx="8">
                  <c:v>0.21379192749426373</c:v>
                </c:pt>
                <c:pt idx="9">
                  <c:v>4.8968544347491323E-2</c:v>
                </c:pt>
                <c:pt idx="10">
                  <c:v>5.4207338453177774E-2</c:v>
                </c:pt>
                <c:pt idx="11">
                  <c:v>0.22527470059624224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8F-4269-98FF-4E3C040CBB7E}"/>
            </c:ext>
          </c:extLst>
        </c:ser>
        <c:ser>
          <c:idx val="1"/>
          <c:order val="1"/>
          <c:tx>
            <c:strRef>
              <c:f>'GRAF-přenocování-zahr.'!$C$26</c:f>
              <c:strCache>
                <c:ptCount val="1"/>
                <c:pt idx="0">
                  <c:v>Ost. asijské státy (v p. b.)</c:v>
                </c:pt>
              </c:strCache>
            </c:strRef>
          </c:tx>
          <c:spPr>
            <a:solidFill>
              <a:srgbClr val="808080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'GRAF-přenocování-zahr.'!$C$27:$C$38</c:f>
              <c:numCache>
                <c:formatCode>#,##0.0</c:formatCode>
                <c:ptCount val="12"/>
                <c:pt idx="0">
                  <c:v>0.46805734207670369</c:v>
                </c:pt>
                <c:pt idx="1">
                  <c:v>8.1526711234668717E-2</c:v>
                </c:pt>
                <c:pt idx="2">
                  <c:v>6.9286128713249113E-3</c:v>
                </c:pt>
                <c:pt idx="3">
                  <c:v>-2.6797388825608951E-2</c:v>
                </c:pt>
                <c:pt idx="4">
                  <c:v>0.38538013386343684</c:v>
                </c:pt>
                <c:pt idx="5">
                  <c:v>0.38984104658474888</c:v>
                </c:pt>
                <c:pt idx="6">
                  <c:v>0.41193134213364685</c:v>
                </c:pt>
                <c:pt idx="7">
                  <c:v>0.23952021624315217</c:v>
                </c:pt>
                <c:pt idx="8">
                  <c:v>0.26258872473368222</c:v>
                </c:pt>
                <c:pt idx="9">
                  <c:v>1.1224230795393517</c:v>
                </c:pt>
                <c:pt idx="10">
                  <c:v>0.41477224050056472</c:v>
                </c:pt>
                <c:pt idx="11">
                  <c:v>0.70615191953865075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8F-4269-98FF-4E3C040CBB7E}"/>
            </c:ext>
          </c:extLst>
        </c:ser>
        <c:ser>
          <c:idx val="2"/>
          <c:order val="2"/>
          <c:tx>
            <c:strRef>
              <c:f>'GRAF-přenocování-zahr.'!$D$26</c:f>
              <c:strCache>
                <c:ptCount val="1"/>
                <c:pt idx="0">
                  <c:v>Čína Japonsko, J. Korea  (v p. b.)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'GRAF-přenocování-zahr.'!$D$27:$D$38</c:f>
              <c:numCache>
                <c:formatCode>#,##0.0</c:formatCode>
                <c:ptCount val="12"/>
                <c:pt idx="0">
                  <c:v>0.1494715370500739</c:v>
                </c:pt>
                <c:pt idx="1">
                  <c:v>3.7391089492327459E-2</c:v>
                </c:pt>
                <c:pt idx="2">
                  <c:v>-0.19743635501397191</c:v>
                </c:pt>
                <c:pt idx="3">
                  <c:v>-0.16325593677737657</c:v>
                </c:pt>
                <c:pt idx="4">
                  <c:v>0.47751457114211887</c:v>
                </c:pt>
                <c:pt idx="5">
                  <c:v>0.33006737959115545</c:v>
                </c:pt>
                <c:pt idx="6">
                  <c:v>0.64363982630693306</c:v>
                </c:pt>
                <c:pt idx="7">
                  <c:v>0.27128586167238655</c:v>
                </c:pt>
                <c:pt idx="8">
                  <c:v>0.54117210575293329</c:v>
                </c:pt>
                <c:pt idx="9">
                  <c:v>1.0839293803667738</c:v>
                </c:pt>
                <c:pt idx="10">
                  <c:v>0.69688830638676569</c:v>
                </c:pt>
                <c:pt idx="11">
                  <c:v>1.3605446381592579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8F-4269-98FF-4E3C040CBB7E}"/>
            </c:ext>
          </c:extLst>
        </c:ser>
        <c:ser>
          <c:idx val="3"/>
          <c:order val="3"/>
          <c:tx>
            <c:strRef>
              <c:f>'GRAF-přenocování-zahr.'!$E$26</c:f>
              <c:strCache>
                <c:ptCount val="1"/>
                <c:pt idx="0">
                  <c:v>Izrael  (v p. b.)</c:v>
                </c:pt>
              </c:strCache>
            </c:strRef>
          </c:tx>
          <c:spPr>
            <a:solidFill>
              <a:srgbClr val="D2E7B6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'GRAF-přenocování-zahr.'!$E$27:$E$38</c:f>
              <c:numCache>
                <c:formatCode>#,##0.0</c:formatCode>
                <c:ptCount val="12"/>
                <c:pt idx="0">
                  <c:v>0.1155037487812612</c:v>
                </c:pt>
                <c:pt idx="1">
                  <c:v>-6.9849462040179874E-2</c:v>
                </c:pt>
                <c:pt idx="2">
                  <c:v>0.12456947258991322</c:v>
                </c:pt>
                <c:pt idx="3">
                  <c:v>0.37598397600203176</c:v>
                </c:pt>
                <c:pt idx="4">
                  <c:v>0.10012456828358739</c:v>
                </c:pt>
                <c:pt idx="5">
                  <c:v>-3.5195571456239076E-2</c:v>
                </c:pt>
                <c:pt idx="6">
                  <c:v>6.1931015232610222E-2</c:v>
                </c:pt>
                <c:pt idx="7">
                  <c:v>0.13621189516281851</c:v>
                </c:pt>
                <c:pt idx="8">
                  <c:v>0.24333823920419412</c:v>
                </c:pt>
                <c:pt idx="9">
                  <c:v>0.48741498912353226</c:v>
                </c:pt>
                <c:pt idx="10">
                  <c:v>0.37894034379983876</c:v>
                </c:pt>
                <c:pt idx="11">
                  <c:v>0.23494993375885526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8F-4269-98FF-4E3C040CBB7E}"/>
            </c:ext>
          </c:extLst>
        </c:ser>
        <c:ser>
          <c:idx val="4"/>
          <c:order val="4"/>
          <c:tx>
            <c:strRef>
              <c:f>'GRAF-přenocování-zahr.'!$F$26</c:f>
              <c:strCache>
                <c:ptCount val="1"/>
                <c:pt idx="0">
                  <c:v>USA a Kanada  (v p. b.)</c:v>
                </c:pt>
              </c:strCache>
            </c:strRef>
          </c:tx>
          <c:spPr>
            <a:solidFill>
              <a:srgbClr val="80BB2D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'GRAF-přenocování-zahr.'!$F$27:$F$38</c:f>
              <c:numCache>
                <c:formatCode>#,##0.0</c:formatCode>
                <c:ptCount val="12"/>
                <c:pt idx="0">
                  <c:v>0.429430210254793</c:v>
                </c:pt>
                <c:pt idx="1">
                  <c:v>-0.12309891297054719</c:v>
                </c:pt>
                <c:pt idx="2">
                  <c:v>-0.48136392364436026</c:v>
                </c:pt>
                <c:pt idx="3">
                  <c:v>-0.55633100318796858</c:v>
                </c:pt>
                <c:pt idx="4">
                  <c:v>0.61106470862251772</c:v>
                </c:pt>
                <c:pt idx="5">
                  <c:v>3.8990638489809416E-2</c:v>
                </c:pt>
                <c:pt idx="6">
                  <c:v>0.52271218309711132</c:v>
                </c:pt>
                <c:pt idx="7">
                  <c:v>0.16752328681514744</c:v>
                </c:pt>
                <c:pt idx="8">
                  <c:v>0.34500952273607244</c:v>
                </c:pt>
                <c:pt idx="9">
                  <c:v>0.97063280366920413</c:v>
                </c:pt>
                <c:pt idx="10">
                  <c:v>-4.8435757776550056E-2</c:v>
                </c:pt>
                <c:pt idx="11">
                  <c:v>0.31742841203093303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8F-4269-98FF-4E3C040CBB7E}"/>
            </c:ext>
          </c:extLst>
        </c:ser>
        <c:ser>
          <c:idx val="5"/>
          <c:order val="5"/>
          <c:tx>
            <c:strRef>
              <c:f>'GRAF-přenocování-zahr.'!$G$26</c:f>
              <c:strCache>
                <c:ptCount val="1"/>
                <c:pt idx="0">
                  <c:v>Ost. evrops. státy  (v p. b.)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'GRAF-přenocování-zahr.'!$G$27:$G$38</c:f>
              <c:numCache>
                <c:formatCode>#,##0.0</c:formatCode>
                <c:ptCount val="12"/>
                <c:pt idx="0">
                  <c:v>0.83600769276502773</c:v>
                </c:pt>
                <c:pt idx="1">
                  <c:v>1.4060134747292621</c:v>
                </c:pt>
                <c:pt idx="2">
                  <c:v>-0.58606457991208016</c:v>
                </c:pt>
                <c:pt idx="3">
                  <c:v>-0.80427189203074378</c:v>
                </c:pt>
                <c:pt idx="4">
                  <c:v>0.42963576779327201</c:v>
                </c:pt>
                <c:pt idx="5">
                  <c:v>0.12672910359591041</c:v>
                </c:pt>
                <c:pt idx="6">
                  <c:v>7.4147332701187438E-2</c:v>
                </c:pt>
                <c:pt idx="7">
                  <c:v>0.23365162451933483</c:v>
                </c:pt>
                <c:pt idx="8">
                  <c:v>-0.19577874739172321</c:v>
                </c:pt>
                <c:pt idx="9">
                  <c:v>0.39782249859250396</c:v>
                </c:pt>
                <c:pt idx="10">
                  <c:v>-7.0384082805005924E-2</c:v>
                </c:pt>
                <c:pt idx="11">
                  <c:v>0.19388788160151788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8F-4269-98FF-4E3C040CBB7E}"/>
            </c:ext>
          </c:extLst>
        </c:ser>
        <c:ser>
          <c:idx val="6"/>
          <c:order val="6"/>
          <c:tx>
            <c:strRef>
              <c:f>'GRAF-přenocování-zahr.'!$H$26</c:f>
              <c:strCache>
                <c:ptCount val="1"/>
                <c:pt idx="0">
                  <c:v>Rusko  (v p. b.)</c:v>
                </c:pt>
              </c:strCache>
            </c:strRef>
          </c:tx>
          <c:spPr>
            <a:solidFill>
              <a:srgbClr val="BD1B21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'GRAF-přenocování-zahr.'!$H$27:$H$38</c:f>
              <c:numCache>
                <c:formatCode>#,##0.0</c:formatCode>
                <c:ptCount val="12"/>
                <c:pt idx="0">
                  <c:v>1.5865498581655979</c:v>
                </c:pt>
                <c:pt idx="1">
                  <c:v>1.7418911807799327</c:v>
                </c:pt>
                <c:pt idx="2">
                  <c:v>1.9626605989873123</c:v>
                </c:pt>
                <c:pt idx="3">
                  <c:v>-2.2452319310000255</c:v>
                </c:pt>
                <c:pt idx="4">
                  <c:v>2.4219619738508587</c:v>
                </c:pt>
                <c:pt idx="5">
                  <c:v>4.2061266974145113</c:v>
                </c:pt>
                <c:pt idx="6">
                  <c:v>3.0032063586215823</c:v>
                </c:pt>
                <c:pt idx="7">
                  <c:v>1.6559477305320762</c:v>
                </c:pt>
                <c:pt idx="8">
                  <c:v>-2.5847987725930226</c:v>
                </c:pt>
                <c:pt idx="9">
                  <c:v>-5.8197489004126641</c:v>
                </c:pt>
                <c:pt idx="10">
                  <c:v>-0.96962555367345682</c:v>
                </c:pt>
                <c:pt idx="11">
                  <c:v>2.7462786716860834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68F-4269-98FF-4E3C040CBB7E}"/>
            </c:ext>
          </c:extLst>
        </c:ser>
        <c:ser>
          <c:idx val="7"/>
          <c:order val="7"/>
          <c:tx>
            <c:strRef>
              <c:f>'GRAF-přenocování-zahr.'!$I$26</c:f>
              <c:strCache>
                <c:ptCount val="1"/>
                <c:pt idx="0">
                  <c:v>Ost. státy EU  (v p. b.)</c:v>
                </c:pt>
              </c:strCache>
            </c:strRef>
          </c:tx>
          <c:spPr>
            <a:solidFill>
              <a:srgbClr val="E8AFB2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'GRAF-přenocování-zahr.'!$I$27:$I$38</c:f>
              <c:numCache>
                <c:formatCode>#,##0.0</c:formatCode>
                <c:ptCount val="12"/>
                <c:pt idx="0">
                  <c:v>-0.81740093855408191</c:v>
                </c:pt>
                <c:pt idx="1">
                  <c:v>-0.11362670273307506</c:v>
                </c:pt>
                <c:pt idx="2">
                  <c:v>0.27298637673624454</c:v>
                </c:pt>
                <c:pt idx="3">
                  <c:v>-1.6222276635308661</c:v>
                </c:pt>
                <c:pt idx="4">
                  <c:v>-0.16318912837306218</c:v>
                </c:pt>
                <c:pt idx="5">
                  <c:v>-0.20346350776249325</c:v>
                </c:pt>
                <c:pt idx="6">
                  <c:v>0.2153119518776988</c:v>
                </c:pt>
                <c:pt idx="7">
                  <c:v>9.0667218500885046E-3</c:v>
                </c:pt>
                <c:pt idx="8">
                  <c:v>9.7548437346465233E-2</c:v>
                </c:pt>
                <c:pt idx="9">
                  <c:v>1.4027246899518178</c:v>
                </c:pt>
                <c:pt idx="10">
                  <c:v>0.94025662491789841</c:v>
                </c:pt>
                <c:pt idx="11">
                  <c:v>0.79209584546394474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68F-4269-98FF-4E3C040CBB7E}"/>
            </c:ext>
          </c:extLst>
        </c:ser>
        <c:ser>
          <c:idx val="8"/>
          <c:order val="8"/>
          <c:tx>
            <c:strRef>
              <c:f>'GRAF-přenocování-zahr.'!$J$26</c:f>
              <c:strCache>
                <c:ptCount val="1"/>
                <c:pt idx="0">
                  <c:v>Velká Británie a Irsko  (v p. b.)</c:v>
                </c:pt>
              </c:strCache>
            </c:strRef>
          </c:tx>
          <c:spPr>
            <a:solidFill>
              <a:srgbClr val="7030A0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'GRAF-přenocování-zahr.'!$J$27:$J$38</c:f>
              <c:numCache>
                <c:formatCode>#,##0.0</c:formatCode>
                <c:ptCount val="12"/>
                <c:pt idx="0">
                  <c:v>-1.39117383561703</c:v>
                </c:pt>
                <c:pt idx="1">
                  <c:v>7.8365989479127193E-2</c:v>
                </c:pt>
                <c:pt idx="2">
                  <c:v>-1.2402896315443224</c:v>
                </c:pt>
                <c:pt idx="3">
                  <c:v>-1.7723400714723783</c:v>
                </c:pt>
                <c:pt idx="4">
                  <c:v>-0.251655317919593</c:v>
                </c:pt>
                <c:pt idx="5">
                  <c:v>-0.76642386041950905</c:v>
                </c:pt>
                <c:pt idx="6">
                  <c:v>0.18364630975834745</c:v>
                </c:pt>
                <c:pt idx="7">
                  <c:v>0.15937883778483089</c:v>
                </c:pt>
                <c:pt idx="8">
                  <c:v>0.30702785869935972</c:v>
                </c:pt>
                <c:pt idx="9">
                  <c:v>0.94286270463035049</c:v>
                </c:pt>
                <c:pt idx="10">
                  <c:v>0.33041011074435633</c:v>
                </c:pt>
                <c:pt idx="11">
                  <c:v>-5.0152156227489753E-2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68F-4269-98FF-4E3C040CBB7E}"/>
            </c:ext>
          </c:extLst>
        </c:ser>
        <c:ser>
          <c:idx val="9"/>
          <c:order val="9"/>
          <c:tx>
            <c:strRef>
              <c:f>'GRAF-přenocování-zahr.'!$K$26</c:f>
              <c:strCache>
                <c:ptCount val="1"/>
                <c:pt idx="0">
                  <c:v>Francie, Itálie, Španělsko  (v p. b.)</c:v>
                </c:pt>
              </c:strCache>
            </c:strRef>
          </c:tx>
          <c:spPr>
            <a:solidFill>
              <a:srgbClr val="BCA6E8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'GRAF-přenocování-zahr.'!$K$27:$K$38</c:f>
              <c:numCache>
                <c:formatCode>#,##0.0</c:formatCode>
                <c:ptCount val="12"/>
                <c:pt idx="0">
                  <c:v>-0.45912650832213281</c:v>
                </c:pt>
                <c:pt idx="1">
                  <c:v>0.93094455108493124</c:v>
                </c:pt>
                <c:pt idx="2">
                  <c:v>-1.0424068953089478</c:v>
                </c:pt>
                <c:pt idx="3">
                  <c:v>-1.2626693461387093</c:v>
                </c:pt>
                <c:pt idx="4">
                  <c:v>4.4858556368148492E-2</c:v>
                </c:pt>
                <c:pt idx="5">
                  <c:v>0.93642326202944992</c:v>
                </c:pt>
                <c:pt idx="6">
                  <c:v>-0.5237366446126015</c:v>
                </c:pt>
                <c:pt idx="7">
                  <c:v>-0.80267101220820192</c:v>
                </c:pt>
                <c:pt idx="8">
                  <c:v>-0.11235997676394538</c:v>
                </c:pt>
                <c:pt idx="9">
                  <c:v>0.39038246391516035</c:v>
                </c:pt>
                <c:pt idx="10">
                  <c:v>0.25998308463074032</c:v>
                </c:pt>
                <c:pt idx="11">
                  <c:v>0.60717856973763629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68F-4269-98FF-4E3C040CBB7E}"/>
            </c:ext>
          </c:extLst>
        </c:ser>
        <c:ser>
          <c:idx val="10"/>
          <c:order val="10"/>
          <c:tx>
            <c:strRef>
              <c:f>'GRAF-přenocování-zahr.'!$L$26</c:f>
              <c:strCache>
                <c:ptCount val="1"/>
                <c:pt idx="0">
                  <c:v>Polsko a Slovensko  (v p. b.)</c:v>
                </c:pt>
              </c:strCache>
            </c:strRef>
          </c:tx>
          <c:spPr>
            <a:solidFill>
              <a:srgbClr val="F8A12E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'GRAF-přenocování-zahr.'!$L$27:$L$38</c:f>
              <c:numCache>
                <c:formatCode>#,##0.0</c:formatCode>
                <c:ptCount val="12"/>
                <c:pt idx="0">
                  <c:v>0.5072917705939276</c:v>
                </c:pt>
                <c:pt idx="1">
                  <c:v>0.53007543721990946</c:v>
                </c:pt>
                <c:pt idx="2">
                  <c:v>-0.3896180267368784</c:v>
                </c:pt>
                <c:pt idx="3">
                  <c:v>-0.70801443056399871</c:v>
                </c:pt>
                <c:pt idx="4">
                  <c:v>0.33481917088248092</c:v>
                </c:pt>
                <c:pt idx="5">
                  <c:v>0.54464929034152965</c:v>
                </c:pt>
                <c:pt idx="6">
                  <c:v>0.41766626740123852</c:v>
                </c:pt>
                <c:pt idx="7">
                  <c:v>0.24015800689961089</c:v>
                </c:pt>
                <c:pt idx="8">
                  <c:v>0.51741945412613088</c:v>
                </c:pt>
                <c:pt idx="9">
                  <c:v>1.5303495522772552</c:v>
                </c:pt>
                <c:pt idx="10">
                  <c:v>0.92489580342959588</c:v>
                </c:pt>
                <c:pt idx="11">
                  <c:v>0.49730616043275866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68F-4269-98FF-4E3C040CBB7E}"/>
            </c:ext>
          </c:extLst>
        </c:ser>
        <c:ser>
          <c:idx val="11"/>
          <c:order val="11"/>
          <c:tx>
            <c:strRef>
              <c:f>'GRAF-přenocování-zahr.'!$M$26</c:f>
              <c:strCache>
                <c:ptCount val="1"/>
                <c:pt idx="0">
                  <c:v>Německo  (v p. b.)</c:v>
                </c:pt>
              </c:strCache>
            </c:strRef>
          </c:tx>
          <c:spPr>
            <a:solidFill>
              <a:srgbClr val="FDDEB3"/>
            </a:solidFill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'GRAF-přenocování-zahr.'!$M$27:$M$38</c:f>
              <c:numCache>
                <c:formatCode>#,##0.0</c:formatCode>
                <c:ptCount val="12"/>
                <c:pt idx="0">
                  <c:v>0.85385405027345462</c:v>
                </c:pt>
                <c:pt idx="1">
                  <c:v>-2.0929552838009577</c:v>
                </c:pt>
                <c:pt idx="2">
                  <c:v>-1.6666758854092791</c:v>
                </c:pt>
                <c:pt idx="3">
                  <c:v>-2.1979312375800917</c:v>
                </c:pt>
                <c:pt idx="4">
                  <c:v>-1.3654897226235601</c:v>
                </c:pt>
                <c:pt idx="5">
                  <c:v>-0.17067456418119895</c:v>
                </c:pt>
                <c:pt idx="6">
                  <c:v>0.11697394248673174</c:v>
                </c:pt>
                <c:pt idx="7">
                  <c:v>-0.96322448602218425</c:v>
                </c:pt>
                <c:pt idx="8">
                  <c:v>0.20796665741848491</c:v>
                </c:pt>
                <c:pt idx="9">
                  <c:v>2.7628941906761915</c:v>
                </c:pt>
                <c:pt idx="10">
                  <c:v>1.3035527213926181</c:v>
                </c:pt>
                <c:pt idx="11">
                  <c:v>0.56442293971410751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68F-4269-98FF-4E3C040CBB7E}"/>
            </c:ext>
          </c:extLst>
        </c:ser>
        <c:ser>
          <c:idx val="12"/>
          <c:order val="12"/>
          <c:tx>
            <c:strRef>
              <c:f>'GRAF-přenocování-zahr.'!$N$26</c:f>
              <c:strCache>
                <c:ptCount val="1"/>
                <c:pt idx="0">
                  <c:v>Přenocování (přísp. v meziroč. změně)</c:v>
                </c:pt>
              </c:strCache>
            </c:strRef>
          </c:tx>
          <c:spPr>
            <a:noFill/>
            <a:ln>
              <a:noFill/>
            </a:ln>
          </c:spP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'GRAF-přenocování-zahr.'!$N$27:$N$38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68F-4269-98FF-4E3C040CBB7E}"/>
            </c:ext>
          </c:extLst>
        </c:ser>
        <c:gapWidth val="42"/>
        <c:overlap val="100"/>
        <c:axId val="134361472"/>
        <c:axId val="134363392"/>
      </c:barChart>
      <c:lineChart>
        <c:grouping val="standard"/>
        <c:ser>
          <c:idx val="13"/>
          <c:order val="13"/>
          <c:tx>
            <c:strRef>
              <c:f>'GRAF-přenocování-zahr.'!$O$26</c:f>
              <c:strCache>
                <c:ptCount val="1"/>
                <c:pt idx="0">
                  <c:v>Nerezidenti celkem (příspěvek v  p. b.)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rgbClr val="FFFFFF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'GRAF-přenocování-zahr.'!$O$27:$O$38</c:f>
              <c:numCache>
                <c:formatCode>#,##0.0</c:formatCode>
                <c:ptCount val="12"/>
                <c:pt idx="0">
                  <c:v>2.5277474625587502</c:v>
                </c:pt>
                <c:pt idx="1">
                  <c:v>2.5875012219798412</c:v>
                </c:pt>
                <c:pt idx="2">
                  <c:v>-3.0235729071052475</c:v>
                </c:pt>
                <c:pt idx="3">
                  <c:v>-11.207917817872017</c:v>
                </c:pt>
                <c:pt idx="4">
                  <c:v>3.4882387581871637</c:v>
                </c:pt>
                <c:pt idx="5">
                  <c:v>5.7655181080507285</c:v>
                </c:pt>
                <c:pt idx="6">
                  <c:v>5.6472849015633955</c:v>
                </c:pt>
                <c:pt idx="7">
                  <c:v>1.6101277485508101</c:v>
                </c:pt>
                <c:pt idx="8">
                  <c:v>-0.15707456923708138</c:v>
                </c:pt>
                <c:pt idx="9">
                  <c:v>5.320655996676944</c:v>
                </c:pt>
                <c:pt idx="10">
                  <c:v>4.2154611800005748</c:v>
                </c:pt>
                <c:pt idx="11">
                  <c:v>8.195367516492496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68F-4269-98FF-4E3C040CBB7E}"/>
            </c:ext>
          </c:extLst>
        </c:ser>
        <c:marker val="1"/>
        <c:axId val="134361472"/>
        <c:axId val="134363392"/>
      </c:lineChart>
      <c:lineChart>
        <c:grouping val="standard"/>
        <c:ser>
          <c:idx val="14"/>
          <c:order val="14"/>
          <c:tx>
            <c:strRef>
              <c:f>'GRAF-přenocování-zahr.'!$P$26</c:f>
              <c:strCache>
                <c:ptCount val="1"/>
                <c:pt idx="0">
                  <c:v>Prům. doba pobytu nerezid. (pr.osa)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triangle"/>
            <c:size val="4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'GRAF-přenocování-zahr.'!$P$27:$P$38</c:f>
              <c:numCache>
                <c:formatCode>0.0</c:formatCode>
                <c:ptCount val="12"/>
                <c:pt idx="0">
                  <c:v>4.1218132494979542</c:v>
                </c:pt>
                <c:pt idx="1">
                  <c:v>4.0854939081132935</c:v>
                </c:pt>
                <c:pt idx="2">
                  <c:v>4.0058339010528794</c:v>
                </c:pt>
                <c:pt idx="3">
                  <c:v>3.9419437136647777</c:v>
                </c:pt>
                <c:pt idx="4">
                  <c:v>3.8995829804755164</c:v>
                </c:pt>
                <c:pt idx="5">
                  <c:v>3.8927245253100229</c:v>
                </c:pt>
                <c:pt idx="6">
                  <c:v>3.8499881784386227</c:v>
                </c:pt>
                <c:pt idx="7">
                  <c:v>3.8203358055697594</c:v>
                </c:pt>
                <c:pt idx="8">
                  <c:v>3.731030887914045</c:v>
                </c:pt>
                <c:pt idx="9">
                  <c:v>3.6744857792882377</c:v>
                </c:pt>
                <c:pt idx="10">
                  <c:v>3.6034763942051873</c:v>
                </c:pt>
                <c:pt idx="11">
                  <c:v>3.5842326357407948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68F-4269-98FF-4E3C040CBB7E}"/>
            </c:ext>
          </c:extLst>
        </c:ser>
        <c:ser>
          <c:idx val="15"/>
          <c:order val="15"/>
          <c:tx>
            <c:strRef>
              <c:f>'GRAF-přenocování-zahr.'!$Q$26</c:f>
              <c:strCache>
                <c:ptCount val="1"/>
                <c:pt idx="0">
                  <c:v>Prům. doba pobytu rezidentů (pr.osa)</c:v>
                </c:pt>
              </c:strCache>
            </c:strRef>
          </c:tx>
          <c:spPr>
            <a:ln w="19050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triangle"/>
            <c:size val="4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marker>
          <c:cat>
            <c:numRef>
              <c:f>'GRAF-přenocování-zahr.'!$A$27:$A$38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'GRAF-přenocování-zahr.'!$Q$27:$Q$38</c:f>
              <c:numCache>
                <c:formatCode>0.0</c:formatCode>
                <c:ptCount val="12"/>
                <c:pt idx="0">
                  <c:v>4.3957567368349375</c:v>
                </c:pt>
                <c:pt idx="1">
                  <c:v>4.2192624454783996</c:v>
                </c:pt>
                <c:pt idx="2">
                  <c:v>4.1191347060911445</c:v>
                </c:pt>
                <c:pt idx="3">
                  <c:v>4.1771521107025587</c:v>
                </c:pt>
                <c:pt idx="4">
                  <c:v>4.1546846295995161</c:v>
                </c:pt>
                <c:pt idx="5">
                  <c:v>4.0419354603959246</c:v>
                </c:pt>
                <c:pt idx="6">
                  <c:v>3.8831355973940802</c:v>
                </c:pt>
                <c:pt idx="7">
                  <c:v>3.8009431422670201</c:v>
                </c:pt>
                <c:pt idx="8">
                  <c:v>3.7815092419883918</c:v>
                </c:pt>
                <c:pt idx="9">
                  <c:v>3.8046188098277733</c:v>
                </c:pt>
                <c:pt idx="10">
                  <c:v>3.8044170922842047</c:v>
                </c:pt>
                <c:pt idx="11">
                  <c:v>3.7400535746969092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468F-4269-98FF-4E3C040CBB7E}"/>
            </c:ext>
          </c:extLst>
        </c:ser>
        <c:marker val="1"/>
        <c:axId val="134378624"/>
        <c:axId val="134364544"/>
      </c:lineChart>
      <c:catAx>
        <c:axId val="134361472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4363392"/>
        <c:crosses val="autoZero"/>
        <c:auto val="1"/>
        <c:lblAlgn val="ctr"/>
        <c:lblOffset val="0"/>
      </c:catAx>
      <c:valAx>
        <c:axId val="134363392"/>
        <c:scaling>
          <c:orientation val="minMax"/>
          <c:max val="15"/>
          <c:min val="-12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4361472"/>
        <c:crosses val="autoZero"/>
        <c:crossBetween val="between"/>
        <c:majorUnit val="3"/>
      </c:valAx>
      <c:valAx>
        <c:axId val="134364544"/>
        <c:scaling>
          <c:orientation val="minMax"/>
          <c:max val="4.5"/>
          <c:min val="0"/>
        </c:scaling>
        <c:axPos val="r"/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34378624"/>
        <c:crosses val="max"/>
        <c:crossBetween val="between"/>
      </c:valAx>
      <c:catAx>
        <c:axId val="134378624"/>
        <c:scaling>
          <c:orientation val="minMax"/>
        </c:scaling>
        <c:delete val="1"/>
        <c:axPos val="b"/>
        <c:numFmt formatCode="General" sourceLinked="1"/>
        <c:tickLblPos val="none"/>
        <c:crossAx val="134364544"/>
        <c:crosses val="autoZero"/>
        <c:auto val="1"/>
        <c:lblAlgn val="ctr"/>
        <c:lblOffset val="100"/>
      </c:catAx>
      <c:spPr>
        <a:ln w="6350"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3.1086066324294691E-2"/>
          <c:y val="0.74733929423707701"/>
          <c:w val="0.92692186416624811"/>
          <c:h val="0.2420478746797132"/>
        </c:manualLayout>
      </c:layout>
      <c:spPr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493E-2"/>
          <c:y val="1.643251153889452E-2"/>
          <c:w val="0.92433548575002356"/>
          <c:h val="0.70436901947540265"/>
        </c:manualLayout>
      </c:layout>
      <c:barChart>
        <c:barDir val="col"/>
        <c:grouping val="clustered"/>
        <c:ser>
          <c:idx val="0"/>
          <c:order val="0"/>
          <c:tx>
            <c:strRef>
              <c:f>'Platební bilance-graf'!$N$99</c:f>
              <c:strCache>
                <c:ptCount val="1"/>
                <c:pt idx="0">
                  <c:v>Bilance příjmů a výdajů z cestovního ruchu k HDP (rok 2017, v %)</c:v>
                </c:pt>
              </c:strCache>
            </c:strRef>
          </c:tx>
          <c:spPr>
            <a:solidFill>
              <a:srgbClr val="A6A6A6"/>
            </a:solidFill>
            <a:ln w="12700">
              <a:noFill/>
              <a:prstDash val="solid"/>
            </a:ln>
          </c:spPr>
          <c:cat>
            <c:strRef>
              <c:f>'Platební bilance-graf'!$M$100:$M$137</c:f>
              <c:strCache>
                <c:ptCount val="38"/>
                <c:pt idx="0">
                  <c:v>Chorvatsko</c:v>
                </c:pt>
                <c:pt idx="1">
                  <c:v>Malta</c:v>
                </c:pt>
                <c:pt idx="2">
                  <c:v>Kypr</c:v>
                </c:pt>
                <c:pt idx="3">
                  <c:v>Řecko</c:v>
                </c:pt>
                <c:pt idx="4">
                  <c:v>Portugalsko</c:v>
                </c:pt>
                <c:pt idx="5">
                  <c:v>Bulharsko</c:v>
                </c:pt>
                <c:pt idx="6">
                  <c:v>Slovinsko</c:v>
                </c:pt>
                <c:pt idx="7">
                  <c:v>Španělsko</c:v>
                </c:pt>
                <c:pt idx="8">
                  <c:v>Maďarsko</c:v>
                </c:pt>
                <c:pt idx="9">
                  <c:v>Lucembursko</c:v>
                </c:pt>
                <c:pt idx="10">
                  <c:v>Rakousko</c:v>
                </c:pt>
                <c:pt idx="11">
                  <c:v>Estonsko</c:v>
                </c:pt>
                <c:pt idx="12">
                  <c:v>Itálie</c:v>
                </c:pt>
                <c:pt idx="13">
                  <c:v>Francie</c:v>
                </c:pt>
                <c:pt idx="14">
                  <c:v>Polsko</c:v>
                </c:pt>
                <c:pt idx="15">
                  <c:v>ČR</c:v>
                </c:pt>
                <c:pt idx="16">
                  <c:v>Slovensko</c:v>
                </c:pt>
                <c:pt idx="17">
                  <c:v>Lotyšsko</c:v>
                </c:pt>
                <c:pt idx="18">
                  <c:v>Litva</c:v>
                </c:pt>
                <c:pt idx="19">
                  <c:v>Irsko</c:v>
                </c:pt>
                <c:pt idx="20">
                  <c:v>Rumunsko</c:v>
                </c:pt>
                <c:pt idx="21">
                  <c:v>Švédsko</c:v>
                </c:pt>
                <c:pt idx="22">
                  <c:v>Nizozemsko</c:v>
                </c:pt>
                <c:pt idx="23">
                  <c:v>Dánsko</c:v>
                </c:pt>
                <c:pt idx="24">
                  <c:v>V. Británie</c:v>
                </c:pt>
                <c:pt idx="25">
                  <c:v>Finsko</c:v>
                </c:pt>
                <c:pt idx="26">
                  <c:v>Německo</c:v>
                </c:pt>
                <c:pt idx="27">
                  <c:v>Belgie</c:v>
                </c:pt>
                <c:pt idx="29">
                  <c:v>Černá Hora</c:v>
                </c:pt>
                <c:pt idx="30">
                  <c:v>Kosovo</c:v>
                </c:pt>
                <c:pt idx="31">
                  <c:v>Island</c:v>
                </c:pt>
                <c:pt idx="32">
                  <c:v>Albánie</c:v>
                </c:pt>
                <c:pt idx="33">
                  <c:v>Bosna a Herz.</c:v>
                </c:pt>
                <c:pt idx="34">
                  <c:v>Turecko</c:v>
                </c:pt>
                <c:pt idx="35">
                  <c:v>Makedonie</c:v>
                </c:pt>
                <c:pt idx="36">
                  <c:v>Švýcarsko</c:v>
                </c:pt>
                <c:pt idx="37">
                  <c:v>Srbsko</c:v>
                </c:pt>
              </c:strCache>
            </c:strRef>
          </c:cat>
          <c:val>
            <c:numRef>
              <c:f>'Platební bilance-graf'!$N$100:$N$137</c:f>
              <c:numCache>
                <c:formatCode>#,##0.0</c:formatCode>
                <c:ptCount val="38"/>
                <c:pt idx="0">
                  <c:v>16.995478622970229</c:v>
                </c:pt>
                <c:pt idx="1">
                  <c:v>9.9847204745640852</c:v>
                </c:pt>
                <c:pt idx="2">
                  <c:v>8.4626674577648267</c:v>
                </c:pt>
                <c:pt idx="3">
                  <c:v>7.1595231785694775</c:v>
                </c:pt>
                <c:pt idx="4">
                  <c:v>5.6253625590453256</c:v>
                </c:pt>
                <c:pt idx="5">
                  <c:v>4.1542650123636484</c:v>
                </c:pt>
                <c:pt idx="6">
                  <c:v>3.5861093717145622</c:v>
                </c:pt>
                <c:pt idx="7">
                  <c:v>3.4742906445342379</c:v>
                </c:pt>
                <c:pt idx="8">
                  <c:v>2.6759874520829516</c:v>
                </c:pt>
                <c:pt idx="9">
                  <c:v>2.4684982068626802</c:v>
                </c:pt>
                <c:pt idx="10">
                  <c:v>2.3744481463858564</c:v>
                </c:pt>
                <c:pt idx="11">
                  <c:v>1.4763741017202641</c:v>
                </c:pt>
                <c:pt idx="12">
                  <c:v>0.8610694396240075</c:v>
                </c:pt>
                <c:pt idx="13">
                  <c:v>0.74372574131488434</c:v>
                </c:pt>
                <c:pt idx="14">
                  <c:v>0.74307637226326462</c:v>
                </c:pt>
                <c:pt idx="15">
                  <c:v>0.69812171393864064</c:v>
                </c:pt>
                <c:pt idx="16">
                  <c:v>0.54433007158893554</c:v>
                </c:pt>
                <c:pt idx="17">
                  <c:v>0.53245757095089996</c:v>
                </c:pt>
                <c:pt idx="18">
                  <c:v>0.40280000955634682</c:v>
                </c:pt>
                <c:pt idx="19">
                  <c:v>-0.34365619448525131</c:v>
                </c:pt>
                <c:pt idx="20">
                  <c:v>-0.44663214144521729</c:v>
                </c:pt>
                <c:pt idx="21">
                  <c:v>-0.53554483506953565</c:v>
                </c:pt>
                <c:pt idx="22">
                  <c:v>-0.66690007722314126</c:v>
                </c:pt>
                <c:pt idx="23">
                  <c:v>-0.68097926195122238</c:v>
                </c:pt>
                <c:pt idx="24">
                  <c:v>-0.76854707240733289</c:v>
                </c:pt>
                <c:pt idx="25">
                  <c:v>-1.028846110890222</c:v>
                </c:pt>
                <c:pt idx="26">
                  <c:v>-1.1899428501386611</c:v>
                </c:pt>
                <c:pt idx="27">
                  <c:v>-1.7268822501893175</c:v>
                </c:pt>
                <c:pt idx="29">
                  <c:v>19.624702847605079</c:v>
                </c:pt>
                <c:pt idx="30">
                  <c:v>10.32602428296075</c:v>
                </c:pt>
                <c:pt idx="31">
                  <c:v>5.6981885271814567</c:v>
                </c:pt>
                <c:pt idx="32">
                  <c:v>3.849476485020185</c:v>
                </c:pt>
                <c:pt idx="33">
                  <c:v>3.4020369050033037</c:v>
                </c:pt>
                <c:pt idx="34">
                  <c:v>1.6163544639500855</c:v>
                </c:pt>
                <c:pt idx="35">
                  <c:v>1.0292481322524238</c:v>
                </c:pt>
                <c:pt idx="36">
                  <c:v>-1.9955880873369332E-3</c:v>
                </c:pt>
                <c:pt idx="37">
                  <c:v>-9.7838316746114998E-2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8E-4243-8414-77DCB2943247}"/>
            </c:ext>
          </c:extLst>
        </c:ser>
        <c:gapWidth val="30"/>
        <c:axId val="134441600"/>
        <c:axId val="134472448"/>
      </c:barChart>
      <c:lineChart>
        <c:grouping val="standard"/>
        <c:ser>
          <c:idx val="3"/>
          <c:order val="1"/>
          <c:tx>
            <c:strRef>
              <c:f>'Platební bilance-graf'!$O$99</c:f>
              <c:strCache>
                <c:ptCount val="1"/>
                <c:pt idx="0">
                  <c:v>Příjmy z cestovního ruchu k HDP (2017-2013, v p. b., pravá osa)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iamond"/>
            <c:size val="5"/>
            <c:spPr>
              <a:solidFill>
                <a:srgbClr val="0071BC"/>
              </a:solidFill>
              <a:ln>
                <a:noFill/>
              </a:ln>
            </c:spPr>
          </c:marker>
          <c:cat>
            <c:strRef>
              <c:f>'Platební bilance-graf'!$M$100:$M$137</c:f>
              <c:strCache>
                <c:ptCount val="38"/>
                <c:pt idx="0">
                  <c:v>Chorvatsko</c:v>
                </c:pt>
                <c:pt idx="1">
                  <c:v>Malta</c:v>
                </c:pt>
                <c:pt idx="2">
                  <c:v>Kypr</c:v>
                </c:pt>
                <c:pt idx="3">
                  <c:v>Řecko</c:v>
                </c:pt>
                <c:pt idx="4">
                  <c:v>Portugalsko</c:v>
                </c:pt>
                <c:pt idx="5">
                  <c:v>Bulharsko</c:v>
                </c:pt>
                <c:pt idx="6">
                  <c:v>Slovinsko</c:v>
                </c:pt>
                <c:pt idx="7">
                  <c:v>Španělsko</c:v>
                </c:pt>
                <c:pt idx="8">
                  <c:v>Maďarsko</c:v>
                </c:pt>
                <c:pt idx="9">
                  <c:v>Lucembursko</c:v>
                </c:pt>
                <c:pt idx="10">
                  <c:v>Rakousko</c:v>
                </c:pt>
                <c:pt idx="11">
                  <c:v>Estonsko</c:v>
                </c:pt>
                <c:pt idx="12">
                  <c:v>Itálie</c:v>
                </c:pt>
                <c:pt idx="13">
                  <c:v>Francie</c:v>
                </c:pt>
                <c:pt idx="14">
                  <c:v>Polsko</c:v>
                </c:pt>
                <c:pt idx="15">
                  <c:v>ČR</c:v>
                </c:pt>
                <c:pt idx="16">
                  <c:v>Slovensko</c:v>
                </c:pt>
                <c:pt idx="17">
                  <c:v>Lotyšsko</c:v>
                </c:pt>
                <c:pt idx="18">
                  <c:v>Litva</c:v>
                </c:pt>
                <c:pt idx="19">
                  <c:v>Irsko</c:v>
                </c:pt>
                <c:pt idx="20">
                  <c:v>Rumunsko</c:v>
                </c:pt>
                <c:pt idx="21">
                  <c:v>Švédsko</c:v>
                </c:pt>
                <c:pt idx="22">
                  <c:v>Nizozemsko</c:v>
                </c:pt>
                <c:pt idx="23">
                  <c:v>Dánsko</c:v>
                </c:pt>
                <c:pt idx="24">
                  <c:v>V. Británie</c:v>
                </c:pt>
                <c:pt idx="25">
                  <c:v>Finsko</c:v>
                </c:pt>
                <c:pt idx="26">
                  <c:v>Německo</c:v>
                </c:pt>
                <c:pt idx="27">
                  <c:v>Belgie</c:v>
                </c:pt>
                <c:pt idx="29">
                  <c:v>Černá Hora</c:v>
                </c:pt>
                <c:pt idx="30">
                  <c:v>Kosovo</c:v>
                </c:pt>
                <c:pt idx="31">
                  <c:v>Island</c:v>
                </c:pt>
                <c:pt idx="32">
                  <c:v>Albánie</c:v>
                </c:pt>
                <c:pt idx="33">
                  <c:v>Bosna a Herz.</c:v>
                </c:pt>
                <c:pt idx="34">
                  <c:v>Turecko</c:v>
                </c:pt>
                <c:pt idx="35">
                  <c:v>Makedonie</c:v>
                </c:pt>
                <c:pt idx="36">
                  <c:v>Švýcarsko</c:v>
                </c:pt>
                <c:pt idx="37">
                  <c:v>Srbsko</c:v>
                </c:pt>
              </c:strCache>
            </c:strRef>
          </c:cat>
          <c:val>
            <c:numRef>
              <c:f>'Platební bilance-graf'!$O$100:$O$137</c:f>
              <c:numCache>
                <c:formatCode>#,##0.0</c:formatCode>
                <c:ptCount val="38"/>
                <c:pt idx="0">
                  <c:v>3.0481933151649652</c:v>
                </c:pt>
                <c:pt idx="1">
                  <c:v>-0.12429409527827309</c:v>
                </c:pt>
                <c:pt idx="2">
                  <c:v>2.3997199141090397</c:v>
                </c:pt>
                <c:pt idx="3">
                  <c:v>1.5045713644502401</c:v>
                </c:pt>
                <c:pt idx="4">
                  <c:v>2.4163147503371611</c:v>
                </c:pt>
                <c:pt idx="5">
                  <c:v>0.23640326192114641</c:v>
                </c:pt>
                <c:pt idx="6">
                  <c:v>-1.3263853731479541E-2</c:v>
                </c:pt>
                <c:pt idx="7">
                  <c:v>0.57171505322620064</c:v>
                </c:pt>
                <c:pt idx="8">
                  <c:v>0.47020687419726376</c:v>
                </c:pt>
                <c:pt idx="9">
                  <c:v>-0.94504590843391834</c:v>
                </c:pt>
                <c:pt idx="10">
                  <c:v>0.18060568060805782</c:v>
                </c:pt>
                <c:pt idx="11">
                  <c:v>-0.21443815812051842</c:v>
                </c:pt>
                <c:pt idx="12">
                  <c:v>0.21815386839807788</c:v>
                </c:pt>
                <c:pt idx="13">
                  <c:v>0.33221126233710208</c:v>
                </c:pt>
                <c:pt idx="14">
                  <c:v>0.25440613808506735</c:v>
                </c:pt>
                <c:pt idx="15">
                  <c:v>-0.14838677732460415</c:v>
                </c:pt>
                <c:pt idx="16">
                  <c:v>0.44758592233204403</c:v>
                </c:pt>
                <c:pt idx="17">
                  <c:v>6.0112414140677521E-2</c:v>
                </c:pt>
                <c:pt idx="18">
                  <c:v>-0.21368262840254937</c:v>
                </c:pt>
                <c:pt idx="19">
                  <c:v>-0.15840854409163088</c:v>
                </c:pt>
                <c:pt idx="20">
                  <c:v>0.35711601622965844</c:v>
                </c:pt>
                <c:pt idx="21">
                  <c:v>0.75107771743300633</c:v>
                </c:pt>
                <c:pt idx="23">
                  <c:v>0.19007788540837733</c:v>
                </c:pt>
                <c:pt idx="24">
                  <c:v>0.32460891643187445</c:v>
                </c:pt>
                <c:pt idx="25">
                  <c:v>-0.32017408071967796</c:v>
                </c:pt>
                <c:pt idx="26">
                  <c:v>-1.9520688480844105E-2</c:v>
                </c:pt>
                <c:pt idx="27">
                  <c:v>-9.7403892406460205E-2</c:v>
                </c:pt>
                <c:pt idx="29">
                  <c:v>1.3353853293068254</c:v>
                </c:pt>
                <c:pt idx="31">
                  <c:v>5.7361308661420845</c:v>
                </c:pt>
                <c:pt idx="32">
                  <c:v>3.2469290212270856</c:v>
                </c:pt>
                <c:pt idx="34">
                  <c:v>-0.7810249239674194</c:v>
                </c:pt>
                <c:pt idx="35">
                  <c:v>0.38439044345387902</c:v>
                </c:pt>
                <c:pt idx="36">
                  <c:v>-1.6723556993594201E-3</c:v>
                </c:pt>
                <c:pt idx="37">
                  <c:v>0.89538446845466058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8E-4243-8414-77DCB2943247}"/>
            </c:ext>
          </c:extLst>
        </c:ser>
        <c:marker val="1"/>
        <c:axId val="140996608"/>
        <c:axId val="134473984"/>
      </c:lineChart>
      <c:catAx>
        <c:axId val="134441600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4472448"/>
        <c:crossesAt val="0"/>
        <c:lblAlgn val="ctr"/>
        <c:lblOffset val="0"/>
        <c:tickLblSkip val="1"/>
        <c:tickMarkSkip val="4"/>
      </c:catAx>
      <c:valAx>
        <c:axId val="134472448"/>
        <c:scaling>
          <c:orientation val="minMax"/>
          <c:max val="21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4441600"/>
        <c:crosses val="autoZero"/>
        <c:crossBetween val="between"/>
        <c:majorUnit val="3"/>
      </c:valAx>
      <c:valAx>
        <c:axId val="134473984"/>
        <c:scaling>
          <c:orientation val="minMax"/>
          <c:max val="7"/>
          <c:min val="-1"/>
        </c:scaling>
        <c:axPos val="r"/>
        <c:numFmt formatCode="#,##0" sourceLinked="0"/>
        <c:tickLblPos val="nextTo"/>
        <c:crossAx val="140996608"/>
        <c:crosses val="max"/>
        <c:crossBetween val="between"/>
      </c:valAx>
      <c:catAx>
        <c:axId val="140996608"/>
        <c:scaling>
          <c:orientation val="minMax"/>
        </c:scaling>
        <c:delete val="1"/>
        <c:axPos val="b"/>
        <c:numFmt formatCode="General" sourceLinked="1"/>
        <c:tickLblPos val="none"/>
        <c:crossAx val="134473984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27544755463E-2"/>
          <c:y val="0.9078813463919847"/>
          <c:w val="0.89188411739456364"/>
          <c:h val="8.2890915231340734E-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FF4-94B4-40F2-81C3-3346DC83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8</TotalTime>
  <Pages>5</Pages>
  <Words>1673</Words>
  <Characters>9875</Characters>
  <Application>Microsoft Office Word</Application>
  <DocSecurity>0</DocSecurity>
  <Lines>82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11525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2014-07-17T14:07:00Z</cp:lastPrinted>
  <dcterms:created xsi:type="dcterms:W3CDTF">2018-10-29T16:18:00Z</dcterms:created>
  <dcterms:modified xsi:type="dcterms:W3CDTF">2018-10-29T16:26:00Z</dcterms:modified>
</cp:coreProperties>
</file>