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2" w:rsidRPr="00360DE3" w:rsidRDefault="00E212C9" w:rsidP="00141782">
      <w:pPr>
        <w:pStyle w:val="Nadpis1"/>
        <w:rPr>
          <w:lang w:eastAsia="en-US"/>
        </w:rPr>
      </w:pPr>
      <w:bookmarkStart w:id="0" w:name="_Toc527639483"/>
      <w:r w:rsidRPr="00360DE3">
        <w:rPr>
          <w:lang w:eastAsia="en-US"/>
        </w:rPr>
        <w:t>11</w:t>
      </w:r>
      <w:r w:rsidR="00141782" w:rsidRPr="00360DE3">
        <w:rPr>
          <w:lang w:eastAsia="en-US"/>
        </w:rPr>
        <w:t>. Zpracovatelský průmysl, těžba a dobývání, energetika</w:t>
      </w:r>
      <w:bookmarkEnd w:id="0"/>
      <w:r w:rsidR="00141782" w:rsidRPr="00360DE3">
        <w:rPr>
          <w:lang w:eastAsia="en-US"/>
        </w:rPr>
        <w:t xml:space="preserve"> </w:t>
      </w:r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3F3890" w:rsidRPr="00360DE3" w:rsidTr="001A0D6B">
        <w:trPr>
          <w:trHeight w:val="145"/>
        </w:trPr>
        <w:tc>
          <w:tcPr>
            <w:tcW w:w="1976" w:type="dxa"/>
          </w:tcPr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Průmyslu se vloni dařilo. Hrubá přidaná hodnota vzrostla o 9 %, nejvíce po roce 2006. Ve výkonech se odrážela rostoucí domácí i zahraniční poptávka. </w:t>
            </w: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3F3890" w:rsidRPr="00360DE3" w:rsidRDefault="003F3890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7B4459" w:rsidRDefault="003F3890" w:rsidP="001A0D6B">
            <w:pPr>
              <w:rPr>
                <w:spacing w:val="-4"/>
              </w:rPr>
            </w:pPr>
            <w:r w:rsidRPr="007B4459">
              <w:rPr>
                <w:spacing w:val="-4"/>
              </w:rPr>
              <w:t>Průmyslu</w:t>
            </w:r>
            <w:r w:rsidRPr="007B4459">
              <w:rPr>
                <w:rStyle w:val="Znakapoznpodarou"/>
                <w:spacing w:val="-4"/>
              </w:rPr>
              <w:footnoteReference w:id="1"/>
            </w:r>
            <w:r w:rsidRPr="007B4459">
              <w:rPr>
                <w:spacing w:val="-4"/>
              </w:rPr>
              <w:t xml:space="preserve"> jako klíčovému odvětví tuzemské ekonomiky se vloni mimořádně dařilo. Profitoval jak ze zrychleného ekonomického růstu v </w:t>
            </w:r>
            <w:proofErr w:type="spellStart"/>
            <w:r w:rsidRPr="007B4459">
              <w:rPr>
                <w:spacing w:val="-4"/>
              </w:rPr>
              <w:t>Eurozóně</w:t>
            </w:r>
            <w:proofErr w:type="spellEnd"/>
            <w:r w:rsidRPr="007B4459">
              <w:rPr>
                <w:spacing w:val="-4"/>
              </w:rPr>
              <w:t xml:space="preserve">, tak i pokračujícího příznivého vývoje v drtivé většině tradičních mimoevropských exportních </w:t>
            </w:r>
            <w:proofErr w:type="gramStart"/>
            <w:r w:rsidRPr="007B4459">
              <w:rPr>
                <w:spacing w:val="-4"/>
              </w:rPr>
              <w:t>teritoriích</w:t>
            </w:r>
            <w:proofErr w:type="gramEnd"/>
            <w:r w:rsidRPr="007B4459">
              <w:rPr>
                <w:spacing w:val="-4"/>
              </w:rPr>
              <w:t xml:space="preserve">. Meziroční tempo růstu produkce se ve srovnání s rokem 2016 téměř zdvojnásobilo (na 6,6 %). Dynamika </w:t>
            </w:r>
            <w:proofErr w:type="spellStart"/>
            <w:r w:rsidRPr="007B4459">
              <w:rPr>
                <w:spacing w:val="-4"/>
              </w:rPr>
              <w:t>mezispotřeby</w:t>
            </w:r>
            <w:proofErr w:type="spellEnd"/>
            <w:r w:rsidRPr="007B4459">
              <w:rPr>
                <w:spacing w:val="-4"/>
              </w:rPr>
              <w:t>, jež má v průmyslu vlivem energeticky i materiálově náročného charakteru výroby významnější roli než v jiných odvětvích</w:t>
            </w:r>
            <w:r w:rsidRPr="007B4459">
              <w:rPr>
                <w:rStyle w:val="Znakapoznpodarou"/>
                <w:spacing w:val="-4"/>
              </w:rPr>
              <w:footnoteReference w:id="2"/>
            </w:r>
            <w:r w:rsidRPr="007B4459">
              <w:rPr>
                <w:spacing w:val="-4"/>
              </w:rPr>
              <w:t>, nebyla ale ve srovnání s produkcí tak výrazná (</w:t>
            </w:r>
            <w:proofErr w:type="gramStart"/>
            <w:r w:rsidRPr="007B4459">
              <w:rPr>
                <w:spacing w:val="-4"/>
              </w:rPr>
              <w:t>posílila z 4,0</w:t>
            </w:r>
            <w:proofErr w:type="gramEnd"/>
            <w:r w:rsidRPr="007B4459">
              <w:rPr>
                <w:spacing w:val="-4"/>
              </w:rPr>
              <w:t xml:space="preserve"> % v roce 2016 na loňských 5,7 %). To vyústilo v citelnou akceleraci hrubé přidané hodnoty (HPH</w:t>
            </w:r>
            <w:r w:rsidR="007B4459">
              <w:rPr>
                <w:spacing w:val="-4"/>
              </w:rPr>
              <w:t>). Ta loni vzrostla o rovných 9</w:t>
            </w:r>
            <w:r w:rsidR="007B4459" w:rsidRPr="007B4459">
              <w:rPr>
                <w:spacing w:val="-4"/>
              </w:rPr>
              <w:t> </w:t>
            </w:r>
            <w:r w:rsidRPr="007B4459">
              <w:rPr>
                <w:spacing w:val="-4"/>
              </w:rPr>
              <w:t xml:space="preserve">%, nejvíce po roce 2006. Přispěl k tomu především vývoj v první polovině loňského roku, kdy </w:t>
            </w:r>
            <w:proofErr w:type="spellStart"/>
            <w:r w:rsidRPr="007B4459">
              <w:rPr>
                <w:spacing w:val="-4"/>
              </w:rPr>
              <w:t>mezičtvrtletní</w:t>
            </w:r>
            <w:proofErr w:type="spellEnd"/>
            <w:r w:rsidRPr="007B4459">
              <w:rPr>
                <w:spacing w:val="-4"/>
              </w:rPr>
              <w:t xml:space="preserve"> tempa HPH přesahovala 3,5 %. Výkon průmyslu rostl již čtvrtým rokem v řadě, v úhrnu za toto období stoupl o 21,5 %, což byl čtvrtý nejlepší výsledek mezi členy EU (po Irsku, Slovensku a Rumunsku). </w:t>
            </w:r>
          </w:p>
        </w:tc>
      </w:tr>
      <w:tr w:rsidR="001A0D6B" w:rsidRPr="00360DE3" w:rsidTr="001A0D6B">
        <w:trPr>
          <w:trHeight w:val="145"/>
        </w:trPr>
        <w:tc>
          <w:tcPr>
            <w:tcW w:w="1976" w:type="dxa"/>
          </w:tcPr>
          <w:p w:rsidR="001A0D6B" w:rsidRPr="00360DE3" w:rsidRDefault="001A0D6B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Kladné saldo důvěry podnikatelů v průmyslu během roku mírně posilovalo a na jeho konci dosáhlo 6,5letého maxima.</w:t>
            </w:r>
          </w:p>
        </w:tc>
        <w:tc>
          <w:tcPr>
            <w:tcW w:w="277" w:type="dxa"/>
          </w:tcPr>
          <w:p w:rsidR="001A0D6B" w:rsidRPr="00360DE3" w:rsidRDefault="001A0D6B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1A0D6B" w:rsidRPr="007B4459" w:rsidRDefault="001A0D6B" w:rsidP="00DC37E3">
            <w:pPr>
              <w:rPr>
                <w:spacing w:val="-2"/>
              </w:rPr>
            </w:pPr>
            <w:r w:rsidRPr="007B4459">
              <w:rPr>
                <w:spacing w:val="-2"/>
              </w:rPr>
              <w:t>Tuzemský průmysl se loni opíral nejen o své tradiční obchodní partnery v zahraničí, ale i o výrazně oživenou domácí poptávku. Dokládají to i údaje z podnikových statistik. Nominální tržby průmyslových podniků z přímého vývozu loni posílily o</w:t>
            </w:r>
            <w:r w:rsidR="007B4459" w:rsidRPr="007B4459">
              <w:rPr>
                <w:spacing w:val="-4"/>
              </w:rPr>
              <w:t> </w:t>
            </w:r>
            <w:r w:rsidRPr="007B4459">
              <w:rPr>
                <w:spacing w:val="-2"/>
              </w:rPr>
              <w:t>5,3</w:t>
            </w:r>
            <w:r w:rsidR="007B4459" w:rsidRPr="007B4459">
              <w:rPr>
                <w:spacing w:val="-4"/>
              </w:rPr>
              <w:t> </w:t>
            </w:r>
            <w:r w:rsidRPr="007B4459">
              <w:rPr>
                <w:spacing w:val="-2"/>
              </w:rPr>
              <w:t>%, domácí tržby pak téměř o desetinu. Obdobná tendence byla patrná i u</w:t>
            </w:r>
            <w:r w:rsidR="007B4459" w:rsidRPr="007B4459">
              <w:rPr>
                <w:spacing w:val="-4"/>
              </w:rPr>
              <w:t> </w:t>
            </w:r>
            <w:r w:rsidRPr="007B4459">
              <w:rPr>
                <w:spacing w:val="-2"/>
              </w:rPr>
              <w:t>nových zakázek</w:t>
            </w:r>
            <w:r w:rsidRPr="007B4459">
              <w:rPr>
                <w:rStyle w:val="Znakapoznpodarou"/>
                <w:spacing w:val="-2"/>
              </w:rPr>
              <w:footnoteReference w:id="3"/>
            </w:r>
            <w:r w:rsidRPr="007B4459">
              <w:rPr>
                <w:spacing w:val="-2"/>
              </w:rPr>
              <w:t>. Výše uvedené vlivy se odrazily také v náladách manažerů průmyslových podniků – kladné saldo důvěry v odvětví během roku mírně posilovalo a na jeho konci dosáhlo 6,5letého maxima. V prosinci 2017 očekávala růst výrobní činnosti v nejbližším období téměř čtvrtina podniků (o rok dříve pětina), pokles jen 6,5 % (v prosinci 2016 pak desetina). K pozitivnímu meziročnímu vývoji přispěly hlavně obory více orientované na tuzemský trh.</w:t>
            </w:r>
          </w:p>
        </w:tc>
      </w:tr>
      <w:tr w:rsidR="003F3890" w:rsidRPr="00360DE3" w:rsidTr="001A0D6B">
        <w:trPr>
          <w:trHeight w:val="145"/>
        </w:trPr>
        <w:tc>
          <w:tcPr>
            <w:tcW w:w="1976" w:type="dxa"/>
          </w:tcPr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Míra zisku nefinančních podniků v průmyslu již třetím rokem v řadě klesala. Stále však převyšovala úroveň celé ekonomiky.</w:t>
            </w: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Default="003F3890" w:rsidP="00DC37E3">
            <w:pPr>
              <w:pStyle w:val="Marginlie"/>
              <w:rPr>
                <w:spacing w:val="0"/>
              </w:rPr>
            </w:pPr>
          </w:p>
          <w:p w:rsidR="007B4459" w:rsidRPr="00360DE3" w:rsidRDefault="007B4459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Nová pracovní místa obsazovaly průmyslové podniky vhodnými uchazeči s výraznými obtížemi. Produktivita práce v průmyslu vloni výrazně posílila.</w:t>
            </w:r>
          </w:p>
        </w:tc>
        <w:tc>
          <w:tcPr>
            <w:tcW w:w="277" w:type="dxa"/>
          </w:tcPr>
          <w:p w:rsidR="003F3890" w:rsidRPr="00360DE3" w:rsidRDefault="003F3890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DC37E3">
            <w:pPr>
              <w:spacing w:after="200"/>
            </w:pPr>
            <w:r w:rsidRPr="00360DE3">
              <w:t>Míra zisku nefinančních podniků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 xml:space="preserve"> v průmyslu se </w:t>
            </w:r>
            <w:proofErr w:type="gramStart"/>
            <w:r w:rsidRPr="00360DE3">
              <w:t>snižovala</w:t>
            </w:r>
            <w:proofErr w:type="gramEnd"/>
            <w:r w:rsidRPr="00360DE3">
              <w:t xml:space="preserve"> již třetím rokem v řadě a roce 2017 se </w:t>
            </w:r>
            <w:proofErr w:type="gramStart"/>
            <w:r w:rsidRPr="00360DE3">
              <w:t>rovnala</w:t>
            </w:r>
            <w:proofErr w:type="gramEnd"/>
            <w:r w:rsidRPr="00360DE3">
              <w:t xml:space="preserve"> 51,4 % (nejméně po roce 2002). I tak ale loni převyšovala úroveň národního hospodářství (o 2,1 p. </w:t>
            </w:r>
            <w:proofErr w:type="spellStart"/>
            <w:r w:rsidRPr="00360DE3">
              <w:t>b</w:t>
            </w:r>
            <w:proofErr w:type="spellEnd"/>
            <w:r w:rsidRPr="00360DE3">
              <w:t>.). Redukce míry ziskovosti byla ovlivněna nejen sílícími mzdovými náklady firem, ale i velmi vysokou srovnávací základnu. V prvních letech silného oživení ekonomiky (2014 a 2015) pomohlo proexportním podnikům řízené oslabení české koruny. Firmy také ve zvýšené míře využívaly levnější agenturní pracovníky a stavy kmenových pracovníků (i po zkušenostech s vleklou recesí) navyšovaly opatrněji. V následujících letech se však rezervoár potenciální pracovní síly z tuzemska z větší části vyčerpal, což společně s administrativně náročným náborem zaměstnanců z třetích zemí vedlo k sílícím tlakům na růst průměrných výdělků. Ty loni vzrostly (v pojetí národních účtů)</w:t>
            </w:r>
            <w:r w:rsidRPr="00360DE3">
              <w:rPr>
                <w:rStyle w:val="Znakapoznpodarou"/>
              </w:rPr>
              <w:footnoteReference w:id="5"/>
            </w:r>
            <w:r w:rsidRPr="00360DE3">
              <w:t xml:space="preserve"> nominálně o 7,3 % (v celé ekonomice o 6,8 %). Nepatrně nad úrovní národního hospodářství se nacházela rovněž hladina průměrného hrubého měsíčního výdělku (29,9 tis.). V průmyslu loni pracovalo 1,391 mil. zaměstnanců (po přepočtu na celé úvazky). Meziroční přírůstek zaměstnanců se loni ve srovnání předešlými dvěma </w:t>
            </w:r>
            <w:r w:rsidRPr="00360DE3">
              <w:lastRenderedPageBreak/>
              <w:t xml:space="preserve">lety citelně zmenšil (+16 tis.), přesto se zaměstnanost již téměř vyrovnala úrovni z vrcholu konjunktury minulé dekády. Zvolnění růstu zaměstnanosti souvisí se stále obtížnějším obsazováním volných míst vhodnými uchazeči. </w:t>
            </w:r>
          </w:p>
        </w:tc>
      </w:tr>
      <w:tr w:rsidR="003F3890" w:rsidRPr="00360DE3" w:rsidTr="001A0D6B">
        <w:tc>
          <w:tcPr>
            <w:tcW w:w="1976" w:type="dxa"/>
            <w:vMerge w:val="restart"/>
          </w:tcPr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3F3890" w:rsidRPr="00360DE3" w:rsidRDefault="003F3890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3F3890" w:rsidRPr="00360DE3" w:rsidRDefault="003F3890" w:rsidP="00DC37E3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 xml:space="preserve">11.1  </w:t>
            </w:r>
            <w:r w:rsidRPr="00360DE3">
              <w:rPr>
                <w:b/>
                <w:bCs/>
              </w:rPr>
              <w:t>Základní</w:t>
            </w:r>
            <w:proofErr w:type="gramEnd"/>
            <w:r w:rsidRPr="00360DE3">
              <w:rPr>
                <w:b/>
                <w:bCs/>
              </w:rPr>
              <w:t xml:space="preserve"> ukazatele odvětví průmyslu</w:t>
            </w:r>
            <w:r w:rsidRPr="00360DE3">
              <w:rPr>
                <w:bCs/>
              </w:rPr>
              <w:t xml:space="preserve"> (NACE B až E)</w:t>
            </w:r>
          </w:p>
          <w:p w:rsidR="003F3890" w:rsidRPr="00360DE3" w:rsidRDefault="003F3890" w:rsidP="00DC37E3">
            <w:pPr>
              <w:spacing w:after="0"/>
              <w:rPr>
                <w:b/>
              </w:rPr>
            </w:pPr>
            <w:r w:rsidRPr="00360DE3">
              <w:rPr>
                <w:b/>
                <w:noProof/>
              </w:rPr>
              <w:drawing>
                <wp:inline distT="0" distB="0" distL="0" distR="0">
                  <wp:extent cx="4641576" cy="3553200"/>
                  <wp:effectExtent l="19050" t="0" r="6624" b="0"/>
                  <wp:docPr id="5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F3890" w:rsidRPr="00360DE3" w:rsidTr="001A0D6B">
        <w:trPr>
          <w:trHeight w:val="284"/>
        </w:trPr>
        <w:tc>
          <w:tcPr>
            <w:tcW w:w="1976" w:type="dxa"/>
            <w:vMerge/>
          </w:tcPr>
          <w:p w:rsidR="003F3890" w:rsidRPr="00360DE3" w:rsidRDefault="003F3890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3F3890" w:rsidRPr="00360DE3" w:rsidRDefault="003F3890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B4459" w:rsidRDefault="003F3890" w:rsidP="007B4459">
            <w:pPr>
              <w:pStyle w:val="Zhlav"/>
              <w:spacing w:before="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>*Do reálného vyjádření převedeno deflátorem výdajů na kon</w:t>
            </w:r>
            <w:r w:rsidR="007B4459">
              <w:rPr>
                <w:rFonts w:cs="Arial"/>
                <w:sz w:val="14"/>
                <w:szCs w:val="14"/>
                <w:lang w:eastAsia="cs-CZ"/>
              </w:rPr>
              <w:t>ečnou spotřebu domácností.</w:t>
            </w:r>
          </w:p>
          <w:p w:rsidR="003F3890" w:rsidRPr="00360DE3" w:rsidRDefault="003F3890" w:rsidP="003F3890">
            <w:pPr>
              <w:pStyle w:val="Zhlav"/>
              <w:spacing w:before="40" w:after="240" w:line="240" w:lineRule="auto"/>
              <w:rPr>
                <w:rFonts w:cs="Arial"/>
                <w:sz w:val="14"/>
                <w:szCs w:val="14"/>
                <w:lang w:eastAsia="cs-CZ"/>
              </w:rPr>
            </w:pPr>
            <w:r w:rsidRPr="00360DE3">
              <w:rPr>
                <w:rFonts w:cs="Arial"/>
                <w:sz w:val="14"/>
                <w:szCs w:val="14"/>
                <w:lang w:eastAsia="cs-CZ"/>
              </w:rPr>
              <w:t xml:space="preserve">Zdroj: ČSÚ (národní účty) 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Hodinová produktivit práce v průmyslu zůstává zhruba osminu nad úrovní celé ekonomiky.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rPr>
                <w:rFonts w:cs="Arial"/>
                <w:sz w:val="14"/>
                <w:szCs w:val="14"/>
              </w:rPr>
            </w:pPr>
            <w:r w:rsidRPr="00360DE3">
              <w:t>„Ztenčení“ volných rezerv na pracovním trhu se loni v průmyslu projevilo posílením hodinové produktivity práce (o 7,4 %). Výraznější meziroční nárůst si přitom průmysl připsal naposledy v letech 2005 a 2006. Za posledních deset let narostla reálná hodinová produktivita práce v průmyslu téměř o pětinu (v celé ekonomice zhruba o osminu). Dosažená nominální úroveň hodinové produktivity práce v průmyslu loni převyšovala hodnotu v národním hospodářství o 13 %.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Mezi investicemi v průmyslu dlouhodobě dominují ostatní stroje a zařízení. Nejvyšší dynamiky vykazují po roce 2010 výdaje na ICT a na vědu a výzkum.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222FFB" w:rsidRDefault="000C1D78" w:rsidP="007B4459">
            <w:pPr>
              <w:spacing w:after="0"/>
              <w:rPr>
                <w:rFonts w:cs="Arial"/>
                <w:spacing w:val="-2"/>
                <w:szCs w:val="20"/>
              </w:rPr>
            </w:pPr>
            <w:r w:rsidRPr="00222FFB">
              <w:rPr>
                <w:rFonts w:cs="Arial"/>
                <w:spacing w:val="-2"/>
                <w:szCs w:val="20"/>
              </w:rPr>
              <w:t>Míra investic v průmyslu má po roce 2013 klesající trend, neboť výdaje na tvorbu hrubého fixního kapitálu se zvyšovaly pomaleji než nominální HPH. Investiční aktivita v tomto odvětví tak loni dosáhla 26,8 % a pohybovala se těsně pod úrovní národního hospodářství. Z hlediska skladby investic v průmyslu tradičně dominují ostatní stroje a zařízení</w:t>
            </w:r>
            <w:r w:rsidRPr="00222FFB">
              <w:rPr>
                <w:rStyle w:val="Znakapoznpodarou"/>
                <w:rFonts w:cs="Arial"/>
                <w:spacing w:val="-2"/>
                <w:szCs w:val="20"/>
              </w:rPr>
              <w:footnoteReference w:id="6"/>
            </w:r>
            <w:r w:rsidRPr="00222FFB">
              <w:rPr>
                <w:rFonts w:cs="Arial"/>
                <w:spacing w:val="-2"/>
                <w:szCs w:val="20"/>
              </w:rPr>
              <w:t>, které se zde v roce 2017 na celkových investicích podílely 47 % (nejvíce ze všech odvětví ekonomiky). Pětina investic směřovala na budovy a stavby (vyšší váhu měly v těžbě a energetice). Nejdynamičtěji rostoucí investiční položku v celém odvětví představují po roce 2010 výdaje na výzkum a vývoj a též do oblas</w:t>
            </w:r>
            <w:r w:rsidR="00E711D1" w:rsidRPr="00222FFB">
              <w:rPr>
                <w:rFonts w:cs="Arial"/>
                <w:spacing w:val="-2"/>
                <w:szCs w:val="20"/>
              </w:rPr>
              <w:t>ti ICT, což s</w:t>
            </w:r>
            <w:r w:rsidRPr="00222FFB">
              <w:rPr>
                <w:rFonts w:cs="Arial"/>
                <w:spacing w:val="-2"/>
                <w:szCs w:val="20"/>
              </w:rPr>
              <w:t xml:space="preserve">ouvisí </w:t>
            </w:r>
            <w:r w:rsidR="00E711D1" w:rsidRPr="00222FFB">
              <w:rPr>
                <w:rFonts w:cs="Arial"/>
                <w:spacing w:val="-2"/>
                <w:szCs w:val="20"/>
              </w:rPr>
              <w:t xml:space="preserve">především </w:t>
            </w:r>
            <w:r w:rsidRPr="00222FFB">
              <w:rPr>
                <w:rFonts w:cs="Arial"/>
                <w:spacing w:val="-2"/>
                <w:szCs w:val="20"/>
              </w:rPr>
              <w:t>se sílícími tlaky v oblasti konkurenceschopnosti i produktivity umocněné v posledních letech obtížemi při náboru nových pracovníků. Prostředky do ICT</w:t>
            </w:r>
            <w:r w:rsidR="00E711D1" w:rsidRPr="00222FFB">
              <w:rPr>
                <w:rFonts w:cs="Arial"/>
                <w:spacing w:val="-2"/>
                <w:szCs w:val="20"/>
              </w:rPr>
              <w:t>, které jsou důležité hlavně ve zpracovatelském průmyslu,</w:t>
            </w:r>
            <w:r w:rsidRPr="00222FFB">
              <w:rPr>
                <w:rFonts w:cs="Arial"/>
                <w:spacing w:val="-2"/>
                <w:szCs w:val="20"/>
              </w:rPr>
              <w:t xml:space="preserve"> vytvářily loni již téměř sedminu všech průmyslových investic, u výzkumu a vývoje šlo o desetinu. Naopak význam dopravních prostředků a zařízení mezi novými inv</w:t>
            </w:r>
            <w:r w:rsidR="00E711D1" w:rsidRPr="00222FFB">
              <w:rPr>
                <w:rFonts w:cs="Arial"/>
                <w:spacing w:val="-2"/>
                <w:szCs w:val="20"/>
              </w:rPr>
              <w:t>esticemi v průmyslu klesal (loni tvořily jen 2,9 </w:t>
            </w:r>
            <w:r w:rsidRPr="00222FFB">
              <w:rPr>
                <w:rFonts w:cs="Arial"/>
                <w:spacing w:val="-2"/>
                <w:szCs w:val="20"/>
              </w:rPr>
              <w:t>%)</w:t>
            </w:r>
            <w:r w:rsidRPr="00222FFB">
              <w:rPr>
                <w:rStyle w:val="Znakapoznpodarou"/>
                <w:rFonts w:cs="Arial"/>
                <w:spacing w:val="-2"/>
                <w:szCs w:val="20"/>
              </w:rPr>
              <w:footnoteReference w:id="7"/>
            </w:r>
            <w:r w:rsidRPr="00222FFB">
              <w:rPr>
                <w:rFonts w:cs="Arial"/>
                <w:spacing w:val="-2"/>
                <w:szCs w:val="20"/>
              </w:rPr>
              <w:t xml:space="preserve">. 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spacing w:after="0"/>
              <w:rPr>
                <w:rFonts w:cs="Arial"/>
                <w:szCs w:val="20"/>
              </w:rPr>
            </w:pPr>
            <w:r w:rsidRPr="00360DE3">
              <w:rPr>
                <w:rFonts w:cs="Arial"/>
                <w:b/>
                <w:szCs w:val="20"/>
              </w:rPr>
              <w:t xml:space="preserve">Graf </w:t>
            </w:r>
            <w:proofErr w:type="gramStart"/>
            <w:r w:rsidRPr="00360DE3">
              <w:rPr>
                <w:rFonts w:cs="Arial"/>
                <w:b/>
                <w:szCs w:val="20"/>
              </w:rPr>
              <w:t>11.2  Hlavní</w:t>
            </w:r>
            <w:proofErr w:type="gramEnd"/>
            <w:r w:rsidRPr="00360DE3">
              <w:rPr>
                <w:rFonts w:cs="Arial"/>
                <w:b/>
                <w:szCs w:val="20"/>
              </w:rPr>
              <w:t xml:space="preserve"> položky tvorby hrubého fixního kapitálu ve zpracovatelském průmyslu</w:t>
            </w:r>
            <w:r w:rsidRPr="00360DE3">
              <w:rPr>
                <w:rFonts w:cs="Arial"/>
                <w:szCs w:val="20"/>
              </w:rPr>
              <w:t xml:space="preserve"> (v mil. korun, v cenách roku 2010)</w:t>
            </w:r>
          </w:p>
          <w:p w:rsidR="000C1D78" w:rsidRPr="00360DE3" w:rsidRDefault="000C1D78" w:rsidP="00DC37E3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07653" cy="3456633"/>
                  <wp:effectExtent l="0" t="0" r="0" b="0"/>
                  <wp:docPr id="7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spacing w:after="180"/>
            </w:pPr>
            <w:r w:rsidRPr="00360DE3">
              <w:rPr>
                <w:rFonts w:cs="Arial"/>
                <w:sz w:val="14"/>
                <w:szCs w:val="14"/>
              </w:rPr>
              <w:t>Zdroj: ČSÚ (národní účty)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V severských státech a zemích Beneluxu stály za vysokou mírou investic v průmyslu výdaje do duševního vlastnictví. </w:t>
            </w: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 novějších členských zemích Unie měly vyšší váhu investice do budov, strojů a zařízení.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spacing w:after="20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Míra investic v tuzemském průmyslu dlouhodobě mírně převyšuje úroveň EU. V roce 2016 ale Česko mezi desítku investičně nejaktivnějších států Unie nepatřilo. Vysokou mírou investic se vyznačovaly hlavně menší a středně velké ekonomiky (vyjma Francie). Jednalo se o země Beneluxu, severské státy a ze zemí střední a východní Evropy hlavně o Rumunsko, Slovensko (oba 36 %) a Maďarsko (29 %). Na rozdíl od ČR se na vysoké investiční aktivitě v těchto novějších členských státech podílely výdaje na ICT jen minimálně. Výdaje do duševního vlastnictví (především vědy a výzkumu) tvořily v Německu, Rakousku, Dánsku, Belgii, Švédsku a Finsku kolem 40 % investic v průmyslu (ve Francii téměř 50 %). 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Loňský silný růst HPH v průmyslu měl podobně jako v letech 2005 i 2006 převážně plošný charakter. 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Zatímco v roce 2016 nepřesáhl růst HPH v průmyslu 2 %, loni prudce zrychlil na rovných 9 %. Přispěla k tomu primárně akcelerace výkonu váhově dominantní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8"/>
            </w:r>
            <w:r w:rsidRPr="00360DE3">
              <w:rPr>
                <w:rFonts w:cs="Arial"/>
                <w:szCs w:val="20"/>
              </w:rPr>
              <w:t xml:space="preserve"> výroby motorových vozidel i nejbližších návazných oborů (gumárenství, výroby elektrických zařízení). Podstatné bylo i významné posílení výkonu strojírenství a obnovení v minulosti dočasně utlumených výrobních kapacit v chemickém průmyslu a energetice. Vyjma těžby a dobývání, hutnictví i vodního hospodářství tak k loňskému vysokému růstu přidané hodnoty průmyslu přispěly všechny jeho významné obory. Analogická situace nastala naposledy v letech 2005 a 2006. 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K růstu HPH v průmyslu přispěly z poloviny automobilový průmysl a nejbližší návazné obory.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Velmi úspěšný rok zažila loni výroba motorových vozidel. Tempo meziročního růstu HPH se zde oproti roku 2016 zdvojnásobilo a činilo bezmála 20 %. K navýšení HPH v celém průmyslu přispělo toto odvětví 3,5 p. </w:t>
            </w:r>
            <w:proofErr w:type="spellStart"/>
            <w:r w:rsidRPr="00360DE3">
              <w:rPr>
                <w:rFonts w:cs="Arial"/>
                <w:szCs w:val="20"/>
              </w:rPr>
              <w:t>b</w:t>
            </w:r>
            <w:proofErr w:type="spellEnd"/>
            <w:r w:rsidRPr="00360DE3">
              <w:rPr>
                <w:rFonts w:cs="Arial"/>
                <w:szCs w:val="20"/>
              </w:rPr>
              <w:t>. (nejsilnější vliv za posledních sedm let). Z podnikových statistik vyplynulo, že váhově převažující tržby z přímého vývozu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9"/>
            </w:r>
            <w:r w:rsidRPr="00360DE3">
              <w:rPr>
                <w:rFonts w:cs="Arial"/>
                <w:szCs w:val="20"/>
              </w:rPr>
              <w:t xml:space="preserve"> zde loni rostly pomaleji než domácí tržby (ty mohou zahrnovat i nepřímý vývoz). Rekordu dosáhlo i fyzické množství vyrobené produkce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0"/>
            </w:r>
            <w:r w:rsidRPr="00360DE3">
              <w:rPr>
                <w:rFonts w:cs="Arial"/>
                <w:szCs w:val="20"/>
              </w:rPr>
              <w:t xml:space="preserve">. I přes napjatou situaci na pracovním trhu se odvětví dařilo obsazovat nová místa. Počet </w:t>
            </w:r>
            <w:r w:rsidRPr="00360DE3">
              <w:rPr>
                <w:rFonts w:cs="Arial"/>
                <w:szCs w:val="20"/>
              </w:rPr>
              <w:lastRenderedPageBreak/>
              <w:t>pracovníků se loni rozšířil o 2,8 %, od konce poslední recese (rok 2013) o čtvrtinu (resp. 40 tis.). Tempo růstu průměrných zaměstnaneckých výdělků (+9,1 %, dle údajů národních účtů) řadilo loni odvětví ke špičce mezi všemi průmyslovými obory, jejich dosažená výše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1"/>
            </w:r>
            <w:r w:rsidRPr="00360DE3">
              <w:rPr>
                <w:rFonts w:cs="Arial"/>
                <w:szCs w:val="20"/>
              </w:rPr>
              <w:t xml:space="preserve"> převyšovala úroveň celé ekonomiky o více než čtvrtinu.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spacing w:after="0"/>
              <w:jc w:val="left"/>
            </w:pPr>
            <w:r w:rsidRPr="00360DE3">
              <w:rPr>
                <w:b/>
              </w:rPr>
              <w:t xml:space="preserve">Graf </w:t>
            </w:r>
            <w:proofErr w:type="gramStart"/>
            <w:r w:rsidRPr="00360DE3">
              <w:rPr>
                <w:b/>
              </w:rPr>
              <w:t>11.3  Příspěvky</w:t>
            </w:r>
            <w:proofErr w:type="gramEnd"/>
            <w:r w:rsidRPr="00360DE3">
              <w:rPr>
                <w:b/>
              </w:rPr>
              <w:t xml:space="preserve"> odvětvových oddílů k meziroční změně HPH v celém průmyslu </w:t>
            </w:r>
            <w:r w:rsidRPr="00360DE3">
              <w:t>(reálně, v procentních bodech)</w:t>
            </w:r>
          </w:p>
          <w:p w:rsidR="000C1D78" w:rsidRPr="00360DE3" w:rsidRDefault="000C1D78" w:rsidP="00DC37E3">
            <w:pPr>
              <w:spacing w:after="0"/>
              <w:rPr>
                <w:rFonts w:cs="Arial"/>
                <w:szCs w:val="20"/>
              </w:rPr>
            </w:pPr>
            <w:r w:rsidRPr="00360DE3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4673600" cy="3409950"/>
                  <wp:effectExtent l="19050" t="0" r="0" b="0"/>
                  <wp:docPr id="7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spacing w:line="240" w:lineRule="auto"/>
              <w:rPr>
                <w:spacing w:val="0"/>
              </w:rPr>
            </w:pP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7B4459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>Zdroj: ČSÚ (národní účty)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Zatímco ve výrobě elektronických a optických přístrojů přetrvával dynamický růst již čtvrtým rokem v řadě, k výraznému oživení ve strojírenství došlo teprve vloni.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DC37E3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Ve strojírenství – třetím váhově nejvýznamnějším zpracovatelském </w:t>
            </w:r>
            <w:proofErr w:type="gramStart"/>
            <w:r w:rsidRPr="00360DE3">
              <w:rPr>
                <w:rFonts w:cs="Arial"/>
                <w:szCs w:val="20"/>
              </w:rPr>
              <w:t>oboru</w:t>
            </w:r>
            <w:proofErr w:type="gramEnd"/>
            <w:r w:rsidRPr="00360DE3">
              <w:rPr>
                <w:rFonts w:cs="Arial"/>
                <w:szCs w:val="20"/>
              </w:rPr>
              <w:t xml:space="preserve"> – vzrostla loni HPH o 13 %. Stalo se tak po pěti předešlých slabších letech. K jeho oživení výrazně přispěla tuzemská poptávka (růst domácích tržeb o 28 %). Ve výrazně proexportní výrobě počítačů, elektronických a optických přístrojů přetrvával silný růst již čtvrtým rokem v řadě. Od konce poslední recese tak výkon odvětví vzrostl o více než polovinu, což bylo společně s chemickým průmyslem nejvíce ze všech zpracovatelských oborů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2"/>
            </w:r>
            <w:r w:rsidRPr="00360DE3">
              <w:rPr>
                <w:rFonts w:cs="Arial"/>
                <w:szCs w:val="20"/>
              </w:rPr>
              <w:t>. Loni se dařilo i potravinářství, kde i nikterak dramatický 8% růst HPH znamenal nejlepší výsledek po roce 2005. Tomuto na tuzemský trh více orientovanému oboru pomohla i dobrá úroda v předešlém roce, jakož i stabilizace v živočišné produkci. Pokračoval i rozvoj malých oborů v čele s nábytkářstvím (kde se za poslední dva roky HPH navýšila o čtvrtinu) a dále také výrobou nápojů, tabáku papíru, jakož i textilního, oděvního, kožedělného či dřevozpracujícího průmyslu. Přestože tyto malé obory vytváří méně než desetinu přidané hodnoty celého průmyslu, na jeho meziročním růstu se loni podílely téměř celým procentním bodem.</w:t>
            </w:r>
          </w:p>
        </w:tc>
      </w:tr>
      <w:tr w:rsidR="000C1D78" w:rsidRPr="00360DE3" w:rsidTr="001A0D6B">
        <w:trPr>
          <w:trHeight w:val="170"/>
        </w:trPr>
        <w:tc>
          <w:tcPr>
            <w:tcW w:w="1976" w:type="dxa"/>
          </w:tcPr>
          <w:p w:rsidR="000C1D78" w:rsidRPr="00360DE3" w:rsidRDefault="000C1D78" w:rsidP="00DC37E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 xml:space="preserve">Ukončení neplánovaných odstávek v chemickém průmyslu a energetice vyústilo vloni v plné </w:t>
            </w:r>
            <w:r w:rsidRPr="00360DE3">
              <w:rPr>
                <w:spacing w:val="0"/>
              </w:rPr>
              <w:lastRenderedPageBreak/>
              <w:t xml:space="preserve">obnovení jejich výrobních kapacit. Růst HPH průmyslu podpořily 1 p. </w:t>
            </w:r>
            <w:proofErr w:type="spellStart"/>
            <w:r w:rsidRPr="00360DE3">
              <w:rPr>
                <w:spacing w:val="0"/>
              </w:rPr>
              <w:t>b</w:t>
            </w:r>
            <w:proofErr w:type="spellEnd"/>
            <w:r w:rsidRPr="00360DE3">
              <w:rPr>
                <w:spacing w:val="0"/>
              </w:rPr>
              <w:t xml:space="preserve">. </w:t>
            </w:r>
          </w:p>
        </w:tc>
        <w:tc>
          <w:tcPr>
            <w:tcW w:w="277" w:type="dxa"/>
          </w:tcPr>
          <w:p w:rsidR="000C1D78" w:rsidRPr="00360DE3" w:rsidRDefault="000C1D7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C1D78" w:rsidRPr="00360DE3" w:rsidRDefault="000C1D78" w:rsidP="001A0D6B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Důležitým impulsem pro loňskou akceleraci průmyslu bylo citelné oživení ve významných strategických odvětvích – energetice i chemickém </w:t>
            </w:r>
            <w:proofErr w:type="gramStart"/>
            <w:r w:rsidRPr="00360DE3">
              <w:rPr>
                <w:rFonts w:cs="Arial"/>
                <w:szCs w:val="20"/>
              </w:rPr>
              <w:t>průmyslu</w:t>
            </w:r>
            <w:proofErr w:type="gramEnd"/>
            <w:r w:rsidRPr="00360DE3">
              <w:rPr>
                <w:rFonts w:cs="Arial"/>
                <w:szCs w:val="20"/>
              </w:rPr>
              <w:t xml:space="preserve">. Po skončení neplánovaných odstávek vlivem havárií v letech 2015 i 2016 výkony </w:t>
            </w:r>
            <w:r w:rsidRPr="00360DE3">
              <w:rPr>
                <w:rFonts w:cs="Arial"/>
                <w:szCs w:val="20"/>
              </w:rPr>
              <w:lastRenderedPageBreak/>
              <w:t xml:space="preserve">v těchto odvětví loni prudce vzrostly. Zatímco v roce 2016 přispívaly k růstu HPH celého průmyslu negativně (-1,0 p. </w:t>
            </w:r>
            <w:proofErr w:type="spellStart"/>
            <w:r w:rsidRPr="00360DE3">
              <w:rPr>
                <w:rFonts w:cs="Arial"/>
                <w:szCs w:val="20"/>
              </w:rPr>
              <w:t>b</w:t>
            </w:r>
            <w:proofErr w:type="spellEnd"/>
            <w:r w:rsidRPr="00360DE3">
              <w:rPr>
                <w:rFonts w:cs="Arial"/>
                <w:szCs w:val="20"/>
              </w:rPr>
              <w:t>.), loni se stejnou intenzitou, ale v pozitivním směru. V obou odvětvích přetrvává dlouhodobý trend posilování zaměstnanosti a výší průměrných mezd se řadí k nejlépe hodnoceným průmyslovým oborům. Z hlediska výkonů se však odlišují. Jestliže v chemickém průmyslu se HPH za posledních deset navýšila o 55 %, v energetice se zredukovala o 30 %. Pokles výkonu energetiky v poslední dekádě souvisel s proměnami odvětvové skladby ekonomiky, tlaky na redukci energetické náročnosti výrob či energetickými úsporami v domácnostech či vládním sektoru.</w:t>
            </w:r>
          </w:p>
        </w:tc>
      </w:tr>
      <w:tr w:rsidR="001A0D6B" w:rsidRPr="00360DE3" w:rsidTr="001A0D6B">
        <w:trPr>
          <w:trHeight w:val="170"/>
        </w:trPr>
        <w:tc>
          <w:tcPr>
            <w:tcW w:w="1976" w:type="dxa"/>
          </w:tcPr>
          <w:p w:rsidR="001A0D6B" w:rsidRPr="00360DE3" w:rsidRDefault="001A0D6B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Produkce v těžebním průmyslu klesala již desátým rokem v řadě. Útlum těžby černého uhlí a uranu nebyl kompenzován růstem těžby některých stavebních surovin.</w:t>
            </w:r>
          </w:p>
        </w:tc>
        <w:tc>
          <w:tcPr>
            <w:tcW w:w="277" w:type="dxa"/>
          </w:tcPr>
          <w:p w:rsidR="001A0D6B" w:rsidRPr="00360DE3" w:rsidRDefault="001A0D6B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1A0D6B" w:rsidRPr="00360DE3" w:rsidRDefault="001A0D6B" w:rsidP="00F162B3">
            <w:pPr>
              <w:spacing w:after="22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I v roce 2017 pokračoval vleklý útlum v těžebním průmyslu. Produkce zde klesala již desátým rokem v řadě (v úhrnu za celé období o 37 %). Přidaná hodnota se loni snížila bezmála o desetinu, především vlivem řízeného útlumu těžby černého uhlí, z menší části také uranu. Celkový vývoj v odvětví již nemohly zvrátit vyšší výkony v okrajovém segmentu těžby některých surovin (kámen, písky, jíly) užívaných ve stavebnictví. Hloubce redukce výkonových ukazatelů v celém o</w:t>
            </w:r>
            <w:r w:rsidR="00274037">
              <w:rPr>
                <w:rFonts w:cs="Arial"/>
                <w:szCs w:val="20"/>
              </w:rPr>
              <w:t>dvětví odpovídal i</w:t>
            </w:r>
            <w:r w:rsidR="00274037" w:rsidRPr="00360DE3">
              <w:t> </w:t>
            </w:r>
            <w:r w:rsidRPr="00360DE3">
              <w:rPr>
                <w:rFonts w:cs="Arial"/>
                <w:szCs w:val="20"/>
              </w:rPr>
              <w:t>úbytek pracovních míst. Rok 2017 přinesl i pozitivní zprávu – nominální tržby podniků v těžbě a dobývání poprvé po roce 2011 vzrostly (+8,7 %), když se prudký pokles cen uhlí zastavil.</w:t>
            </w:r>
          </w:p>
        </w:tc>
      </w:tr>
      <w:tr w:rsidR="001A0D6B" w:rsidRPr="00360DE3" w:rsidTr="001A0D6B">
        <w:trPr>
          <w:trHeight w:val="170"/>
        </w:trPr>
        <w:tc>
          <w:tcPr>
            <w:tcW w:w="1976" w:type="dxa"/>
          </w:tcPr>
          <w:p w:rsidR="001A0D6B" w:rsidRPr="00360DE3" w:rsidRDefault="001A0D6B" w:rsidP="00F162B3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Výkony i zaměstnanost v hutnictví a slévárenství po roce 2010 stagnovaly.</w:t>
            </w:r>
          </w:p>
        </w:tc>
        <w:tc>
          <w:tcPr>
            <w:tcW w:w="277" w:type="dxa"/>
          </w:tcPr>
          <w:p w:rsidR="001A0D6B" w:rsidRPr="00360DE3" w:rsidRDefault="001A0D6B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1A0D6B" w:rsidRPr="00360DE3" w:rsidRDefault="001A0D6B" w:rsidP="00F162B3">
            <w:pPr>
              <w:spacing w:after="22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S dílčími problémy se potýkalo i hutnictví a slévárenství. V roce 2017 jeho HPH klesla o 13 %. Z pohledu celého období po roce 2010 výkon odvětví spíše stagnuje – ať již jde o produkci, přidanou hodnotu i celkovou zaměstnanost. Ovlivňují ho dlouhodobější strukturální změny v celém průmyslu (vč. tlaků na snižování materiálové i energetické náročnosti), ale i důsledky sílících dovozů oceli a příbuzných výrobků z Číny.</w:t>
            </w:r>
          </w:p>
        </w:tc>
      </w:tr>
      <w:tr w:rsidR="00B57338" w:rsidRPr="00360DE3" w:rsidTr="001A0D6B">
        <w:trPr>
          <w:trHeight w:val="170"/>
        </w:trPr>
        <w:tc>
          <w:tcPr>
            <w:tcW w:w="1976" w:type="dxa"/>
          </w:tcPr>
          <w:p w:rsidR="00B57338" w:rsidRPr="00360DE3" w:rsidRDefault="00B5733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B57338" w:rsidRPr="00360DE3" w:rsidRDefault="00B5733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B57338" w:rsidRPr="00360DE3" w:rsidRDefault="00B57338" w:rsidP="00DC37E3">
            <w:pPr>
              <w:spacing w:after="0"/>
              <w:rPr>
                <w:rFonts w:cs="Arial"/>
                <w:szCs w:val="20"/>
              </w:rPr>
            </w:pPr>
            <w:r w:rsidRPr="00360DE3">
              <w:rPr>
                <w:rFonts w:cs="Arial"/>
                <w:b/>
                <w:szCs w:val="20"/>
              </w:rPr>
              <w:t xml:space="preserve">Graf </w:t>
            </w:r>
            <w:proofErr w:type="gramStart"/>
            <w:r w:rsidRPr="00360DE3">
              <w:rPr>
                <w:rFonts w:cs="Arial"/>
                <w:b/>
                <w:szCs w:val="20"/>
              </w:rPr>
              <w:t>11.4  Míra</w:t>
            </w:r>
            <w:proofErr w:type="gramEnd"/>
            <w:r w:rsidRPr="00360DE3">
              <w:rPr>
                <w:rFonts w:cs="Arial"/>
                <w:b/>
                <w:szCs w:val="20"/>
              </w:rPr>
              <w:t xml:space="preserve"> investic, míra zisku*v roce 2017 a podíl podniků pod zahraniční kontrolou na HPH vytvořené všemi nefinančními podniky</w:t>
            </w:r>
            <w:r w:rsidRPr="00360DE3">
              <w:rPr>
                <w:rFonts w:cs="Arial"/>
                <w:szCs w:val="20"/>
              </w:rPr>
              <w:t xml:space="preserve"> </w:t>
            </w:r>
            <w:r w:rsidRPr="00360DE3">
              <w:rPr>
                <w:rFonts w:cs="Arial"/>
                <w:b/>
                <w:szCs w:val="20"/>
              </w:rPr>
              <w:t xml:space="preserve">v roce 2016 </w:t>
            </w:r>
            <w:r w:rsidRPr="00360DE3">
              <w:rPr>
                <w:rFonts w:cs="Arial"/>
                <w:szCs w:val="20"/>
              </w:rPr>
              <w:t>(v %)</w:t>
            </w:r>
          </w:p>
          <w:p w:rsidR="00B57338" w:rsidRPr="00360DE3" w:rsidRDefault="00B57338" w:rsidP="00DC37E3">
            <w:pPr>
              <w:spacing w:after="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>
                  <wp:extent cx="4703673" cy="3467405"/>
                  <wp:effectExtent l="0" t="0" r="0" b="0"/>
                  <wp:docPr id="49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B57338" w:rsidRPr="00360DE3" w:rsidTr="001A0D6B">
        <w:trPr>
          <w:trHeight w:val="170"/>
        </w:trPr>
        <w:tc>
          <w:tcPr>
            <w:tcW w:w="1976" w:type="dxa"/>
          </w:tcPr>
          <w:p w:rsidR="00B57338" w:rsidRPr="00360DE3" w:rsidRDefault="00B57338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B57338" w:rsidRPr="00360DE3" w:rsidRDefault="00B57338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B4459" w:rsidRDefault="00B57338" w:rsidP="007B4459">
            <w:pPr>
              <w:spacing w:after="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>*Míra zisku se vztahuje jen k nefinančním podnikům, nezahrnuje tedy všechny ekonomické subjekty působící v příslušném odvětví. U popisů jednotlivých průmyslových oddílů či sekcí je v závorce uveden příslušný kód dle klasifikace CZ-NAC</w:t>
            </w:r>
            <w:r w:rsidR="007B4459">
              <w:rPr>
                <w:rFonts w:cs="Arial"/>
                <w:sz w:val="14"/>
                <w:szCs w:val="14"/>
              </w:rPr>
              <w:t>E.</w:t>
            </w:r>
          </w:p>
          <w:p w:rsidR="00B57338" w:rsidRPr="00360DE3" w:rsidRDefault="00B57338" w:rsidP="00DC37E3">
            <w:pPr>
              <w:spacing w:after="20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>Zdroj: ČSÚ (národní účty)</w:t>
            </w:r>
          </w:p>
        </w:tc>
      </w:tr>
      <w:tr w:rsidR="007B4459" w:rsidRPr="00360DE3" w:rsidTr="001A0D6B">
        <w:trPr>
          <w:trHeight w:val="170"/>
        </w:trPr>
        <w:tc>
          <w:tcPr>
            <w:tcW w:w="1976" w:type="dxa"/>
          </w:tcPr>
          <w:p w:rsidR="007B4459" w:rsidRPr="00360DE3" w:rsidRDefault="007B4459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Dílčí průmyslové obory se dlouhodobě liší investiční náročností, produktivitou práce, ziskovostí, ale i vlastnickou skladbou podniků.</w:t>
            </w:r>
          </w:p>
          <w:p w:rsidR="007B4459" w:rsidRPr="00360DE3" w:rsidRDefault="007B4459" w:rsidP="00467485">
            <w:pPr>
              <w:pStyle w:val="Marginlie"/>
              <w:rPr>
                <w:spacing w:val="0"/>
              </w:rPr>
            </w:pPr>
          </w:p>
          <w:p w:rsidR="007B4459" w:rsidRPr="00360DE3" w:rsidRDefault="007B4459" w:rsidP="00467485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7B4459" w:rsidRPr="00360DE3" w:rsidRDefault="007B4459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B4459" w:rsidRPr="00360DE3" w:rsidRDefault="007B4459" w:rsidP="007B4459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Charakter výrobní činnosti odlišuje jednotlivé průmyslové obory z hlediska požadavků na pracovní sílu či investiční náročnosti. Obory se liší také organizační strukturou (velikostní i vlastnickou skladbou podniků). Tyto vlivy se promítají do výrazných rozdílů mezi průmyslovými obory z pohledu dosahované produktivity práce, míry investic či ziskovosti. Nejvyšší míry ziskovosti dlouhodobě dosahují nefinanční podniky v energetice, v nápojovém, tabákovém průmyslu a také odvětví výroby počítačů, elektronických a optických přístrojů. Toto odvětví vykazuje společně s energetikou, těžbou i petrochemickým průmyslem nejvyšší investiční nenáročnost. </w:t>
            </w:r>
          </w:p>
        </w:tc>
      </w:tr>
      <w:tr w:rsidR="007B4459" w:rsidRPr="00360DE3" w:rsidTr="001A0D6B">
        <w:trPr>
          <w:trHeight w:val="170"/>
        </w:trPr>
        <w:tc>
          <w:tcPr>
            <w:tcW w:w="1976" w:type="dxa"/>
          </w:tcPr>
          <w:p w:rsidR="007B4459" w:rsidRPr="00360DE3" w:rsidRDefault="007B4459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Vztah mezi mírou ziskovosti a rolí zahraničního kapitálu je na úrovni odvětvových oddílů průmyslu v ČR silný.</w:t>
            </w:r>
          </w:p>
        </w:tc>
        <w:tc>
          <w:tcPr>
            <w:tcW w:w="277" w:type="dxa"/>
          </w:tcPr>
          <w:p w:rsidR="007B4459" w:rsidRPr="00360DE3" w:rsidRDefault="007B4459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B4459" w:rsidRPr="00360DE3" w:rsidRDefault="007B4459" w:rsidP="00467485">
            <w:pPr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Vztah mezi mírou investic a zisku je v průmyslových odvětvích poměrně volný. Těsnost vazby mezi investiční aktivitou a podílem podniků pod zahraniční kontrolou (na HPH vytvořené podnikovou sférou) byla ještě slabší. Naopak vazba mezi ziskovostí podniků a rolí zahraničního kapitálu se ukázala jako významná. Zčásti je to způsobeno selektivností zahraničních investic, které v minulosti proudily především do perspektivních oborů.</w:t>
            </w:r>
          </w:p>
        </w:tc>
      </w:tr>
      <w:tr w:rsidR="007B4459" w:rsidRPr="00360DE3" w:rsidTr="001A0D6B">
        <w:trPr>
          <w:trHeight w:val="170"/>
        </w:trPr>
        <w:tc>
          <w:tcPr>
            <w:tcW w:w="1976" w:type="dxa"/>
          </w:tcPr>
          <w:p w:rsidR="007B4459" w:rsidRPr="00360DE3" w:rsidRDefault="00042F4A" w:rsidP="00F162B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Energetika </w:t>
            </w:r>
            <w:r w:rsidR="007B4459" w:rsidRPr="00360DE3">
              <w:rPr>
                <w:spacing w:val="0"/>
              </w:rPr>
              <w:t>je v ČR významný</w:t>
            </w:r>
            <w:r>
              <w:rPr>
                <w:spacing w:val="0"/>
              </w:rPr>
              <w:t>m</w:t>
            </w:r>
            <w:r w:rsidR="007B4459" w:rsidRPr="00360DE3">
              <w:rPr>
                <w:spacing w:val="0"/>
              </w:rPr>
              <w:t xml:space="preserve"> obor</w:t>
            </w:r>
            <w:r>
              <w:rPr>
                <w:spacing w:val="0"/>
              </w:rPr>
              <w:t>em</w:t>
            </w:r>
            <w:r w:rsidR="007B4459" w:rsidRPr="00360DE3">
              <w:rPr>
                <w:spacing w:val="0"/>
              </w:rPr>
              <w:t xml:space="preserve"> z hlediska ekonomických výkonů, z pohledu</w:t>
            </w:r>
            <w:r>
              <w:rPr>
                <w:spacing w:val="0"/>
              </w:rPr>
              <w:t xml:space="preserve"> zaměstnanosti mezi průmysl.</w:t>
            </w:r>
            <w:r w:rsidR="007B4459" w:rsidRPr="00360DE3">
              <w:rPr>
                <w:spacing w:val="0"/>
              </w:rPr>
              <w:t xml:space="preserve"> </w:t>
            </w:r>
            <w:proofErr w:type="gramStart"/>
            <w:r w:rsidR="007B4459" w:rsidRPr="00360DE3">
              <w:rPr>
                <w:spacing w:val="0"/>
              </w:rPr>
              <w:t>obory</w:t>
            </w:r>
            <w:proofErr w:type="gramEnd"/>
            <w:r w:rsidR="007B4459" w:rsidRPr="00360DE3">
              <w:rPr>
                <w:spacing w:val="0"/>
              </w:rPr>
              <w:t xml:space="preserve"> nevyčnívá. </w:t>
            </w:r>
          </w:p>
          <w:p w:rsidR="007B4459" w:rsidRPr="00360DE3" w:rsidRDefault="007B4459" w:rsidP="00F162B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7B4459" w:rsidRPr="00360DE3" w:rsidRDefault="007B4459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7B4459" w:rsidRPr="00360DE3" w:rsidRDefault="007B4459" w:rsidP="00042F4A">
            <w:pPr>
              <w:spacing w:after="22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Energetika představuje v Česku z pohledu přidané hodnoty druhý nejvýznamnější průmyslový obor (na jeho HPH se podílí desetinou)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3"/>
            </w:r>
            <w:r w:rsidRPr="00360DE3">
              <w:rPr>
                <w:rFonts w:cs="Arial"/>
                <w:szCs w:val="20"/>
              </w:rPr>
              <w:t>, z hlediska zaměstnanosti ale mezi průmyslovými obory nevybočuje</w:t>
            </w:r>
            <w:r w:rsidRPr="00360DE3">
              <w:rPr>
                <w:rStyle w:val="Znakapoznpodarou"/>
                <w:rFonts w:cs="Arial"/>
                <w:szCs w:val="20"/>
              </w:rPr>
              <w:footnoteReference w:id="14"/>
            </w:r>
            <w:r w:rsidRPr="00360DE3">
              <w:rPr>
                <w:rFonts w:cs="Arial"/>
                <w:szCs w:val="20"/>
              </w:rPr>
              <w:t xml:space="preserve">. Dle údajů Energetického regulačního úřadu se vloni po čtyřech letech zastavil pokles tuzemské hrubé výroby elektřiny. Ta vzrostla meziročně o 4,5 % (na 83 </w:t>
            </w:r>
            <w:proofErr w:type="spellStart"/>
            <w:r w:rsidRPr="00360DE3">
              <w:rPr>
                <w:rFonts w:cs="Arial"/>
                <w:szCs w:val="20"/>
              </w:rPr>
              <w:t>TWh</w:t>
            </w:r>
            <w:proofErr w:type="spellEnd"/>
            <w:r w:rsidRPr="00360DE3">
              <w:rPr>
                <w:rFonts w:cs="Arial"/>
                <w:szCs w:val="20"/>
              </w:rPr>
              <w:t xml:space="preserve">). </w:t>
            </w:r>
          </w:p>
        </w:tc>
      </w:tr>
      <w:tr w:rsidR="00042F4A" w:rsidRPr="00360DE3" w:rsidTr="001A0D6B">
        <w:trPr>
          <w:trHeight w:val="170"/>
        </w:trPr>
        <w:tc>
          <w:tcPr>
            <w:tcW w:w="1976" w:type="dxa"/>
          </w:tcPr>
          <w:p w:rsidR="00042F4A" w:rsidRPr="00360DE3" w:rsidRDefault="00042F4A" w:rsidP="00F162B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 xml:space="preserve">Pokles tuzemské výroby elektřiny </w:t>
            </w:r>
            <w:r w:rsidRPr="00360DE3">
              <w:rPr>
                <w:spacing w:val="0"/>
              </w:rPr>
              <w:t>se v Česku loni po čtyřech letech zastavil. Klíčovou roli sehrálo plné obnovení výrobních kapacit v jaderných elektrárnách.</w:t>
            </w:r>
          </w:p>
        </w:tc>
        <w:tc>
          <w:tcPr>
            <w:tcW w:w="277" w:type="dxa"/>
          </w:tcPr>
          <w:p w:rsidR="00042F4A" w:rsidRPr="00360DE3" w:rsidRDefault="00042F4A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42F4A" w:rsidRPr="00360DE3" w:rsidRDefault="00042F4A" w:rsidP="00042F4A">
            <w:pPr>
              <w:spacing w:after="22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Za loňským růstem (i poklesem v letech 2015 i 2016) stály téměř výhradně jaderné elektrárny, které loni zvýšily produkci o šestinu a dosáhly třetí nejvyšší výroby v historii (28,3 </w:t>
            </w:r>
            <w:proofErr w:type="spellStart"/>
            <w:r w:rsidRPr="00360DE3">
              <w:rPr>
                <w:rFonts w:cs="Arial"/>
                <w:szCs w:val="20"/>
              </w:rPr>
              <w:t>GWh</w:t>
            </w:r>
            <w:proofErr w:type="spellEnd"/>
            <w:r w:rsidRPr="00360DE3">
              <w:rPr>
                <w:rFonts w:cs="Arial"/>
                <w:szCs w:val="20"/>
              </w:rPr>
              <w:t>). Výroba v parních elektrárnác</w:t>
            </w:r>
            <w:r>
              <w:rPr>
                <w:rFonts w:cs="Arial"/>
                <w:szCs w:val="20"/>
              </w:rPr>
              <w:t xml:space="preserve">h (45,4 </w:t>
            </w:r>
            <w:proofErr w:type="spellStart"/>
            <w:r>
              <w:rPr>
                <w:rFonts w:cs="Arial"/>
                <w:szCs w:val="20"/>
              </w:rPr>
              <w:t>TWh</w:t>
            </w:r>
            <w:proofErr w:type="spellEnd"/>
            <w:r>
              <w:rPr>
                <w:rFonts w:cs="Arial"/>
                <w:szCs w:val="20"/>
              </w:rPr>
              <w:t>), loni klesla o</w:t>
            </w:r>
            <w:r w:rsidRPr="00360DE3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0,6</w:t>
            </w:r>
            <w:r w:rsidRPr="00360DE3">
              <w:rPr>
                <w:rFonts w:cs="Arial"/>
                <w:szCs w:val="20"/>
              </w:rPr>
              <w:t> %, neboť téměř čtvrtinový pokles výroby elektřiny z černého uhlí nebyl plně kompenzován vyšším užitím biomasy a klíčové položky – hnědého uhlí. Podíl výroby elektřiny z obnovitelných zdrojů na tuzemské spotřebě v posledních pěti letech stagnuje na 13 %. Výroba z větrných elektráren i biomasy byla loni nejvyšší v novodobé historii, naopak produkce z vodních elektráren o 6,5 % klesla.</w:t>
            </w:r>
          </w:p>
        </w:tc>
      </w:tr>
      <w:tr w:rsidR="00042F4A" w:rsidRPr="00360DE3" w:rsidTr="001A0D6B">
        <w:trPr>
          <w:trHeight w:val="170"/>
        </w:trPr>
        <w:tc>
          <w:tcPr>
            <w:tcW w:w="1976" w:type="dxa"/>
          </w:tcPr>
          <w:p w:rsidR="00042F4A" w:rsidRPr="00360DE3" w:rsidRDefault="00042F4A" w:rsidP="00F162B3">
            <w:pPr>
              <w:pStyle w:val="Marginlie"/>
              <w:rPr>
                <w:spacing w:val="0"/>
              </w:rPr>
            </w:pPr>
            <w:r>
              <w:rPr>
                <w:spacing w:val="0"/>
              </w:rPr>
              <w:t>Dlouhodobá pozice Česka jako čistého vývozce elektřiny se loni ještě posílila.</w:t>
            </w:r>
          </w:p>
        </w:tc>
        <w:tc>
          <w:tcPr>
            <w:tcW w:w="277" w:type="dxa"/>
          </w:tcPr>
          <w:p w:rsidR="00042F4A" w:rsidRPr="00360DE3" w:rsidRDefault="00042F4A" w:rsidP="00F162B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42F4A" w:rsidRPr="00360DE3" w:rsidRDefault="00042F4A" w:rsidP="00F162B3">
            <w:pPr>
              <w:spacing w:after="22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>Celková hrubá spotřeba elektřiny v tuzemsku zásluhou všech kategorií odběratelů</w:t>
            </w:r>
            <w:r>
              <w:rPr>
                <w:rFonts w:cs="Arial"/>
                <w:szCs w:val="20"/>
              </w:rPr>
              <w:t xml:space="preserve"> nadále rostla (loni o 1,9 %) a</w:t>
            </w:r>
            <w:r w:rsidRPr="00360DE3">
              <w:t> </w:t>
            </w:r>
            <w:r w:rsidRPr="00360DE3">
              <w:rPr>
                <w:rFonts w:cs="Arial"/>
                <w:szCs w:val="20"/>
              </w:rPr>
              <w:t xml:space="preserve">dosáhla rekordní výše (73,8 </w:t>
            </w:r>
            <w:proofErr w:type="spellStart"/>
            <w:r w:rsidRPr="00360DE3">
              <w:rPr>
                <w:rFonts w:cs="Arial"/>
                <w:szCs w:val="20"/>
              </w:rPr>
              <w:t>TWh</w:t>
            </w:r>
            <w:proofErr w:type="spellEnd"/>
            <w:r w:rsidRPr="00360DE3">
              <w:rPr>
                <w:rFonts w:cs="Arial"/>
                <w:szCs w:val="20"/>
              </w:rPr>
              <w:t xml:space="preserve">). Mezi domácnosti spotřebovaly (v přepočtu na obyvatele) nejvíc elektřiny ve Středočeském </w:t>
            </w:r>
            <w:r>
              <w:rPr>
                <w:rFonts w:cs="Arial"/>
                <w:szCs w:val="20"/>
              </w:rPr>
              <w:t>a</w:t>
            </w:r>
            <w:r w:rsidRPr="00360DE3">
              <w:rPr>
                <w:rFonts w:cs="Arial"/>
                <w:szCs w:val="20"/>
              </w:rPr>
              <w:t xml:space="preserve"> Jihočeském kraji (o třetinu nad úrovní ČR). Česko je dlouhodobě čistým vývozcem elektřiny. Kladné saldo obchodu s elektřinou se meziročně zvýšilo skoro o pětinu (na 13 </w:t>
            </w:r>
            <w:proofErr w:type="spellStart"/>
            <w:r w:rsidRPr="00360DE3">
              <w:rPr>
                <w:rFonts w:cs="Arial"/>
                <w:szCs w:val="20"/>
              </w:rPr>
              <w:t>TWh</w:t>
            </w:r>
            <w:proofErr w:type="spellEnd"/>
            <w:r w:rsidRPr="00360DE3">
              <w:rPr>
                <w:rFonts w:cs="Arial"/>
                <w:szCs w:val="20"/>
              </w:rPr>
              <w:t>), neboť po propadu vývozu z roku 2016 se jeho výše vrátila na obvyklou úroveň.</w:t>
            </w:r>
          </w:p>
        </w:tc>
      </w:tr>
      <w:tr w:rsidR="00042F4A" w:rsidRPr="00360DE3" w:rsidTr="001A0D6B">
        <w:trPr>
          <w:trHeight w:val="170"/>
        </w:trPr>
        <w:tc>
          <w:tcPr>
            <w:tcW w:w="1976" w:type="dxa"/>
          </w:tcPr>
          <w:p w:rsidR="00042F4A" w:rsidRPr="00360DE3" w:rsidRDefault="00042F4A" w:rsidP="00467485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Mírný růst spotřeby zemního plynu po roce 2014 vedl k přerušení dlouhodobého klesajícího trendu.</w:t>
            </w:r>
          </w:p>
        </w:tc>
        <w:tc>
          <w:tcPr>
            <w:tcW w:w="277" w:type="dxa"/>
          </w:tcPr>
          <w:p w:rsidR="00042F4A" w:rsidRPr="00360DE3" w:rsidRDefault="00042F4A" w:rsidP="00467485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42F4A" w:rsidRPr="00360DE3" w:rsidRDefault="00042F4A" w:rsidP="00042F4A">
            <w:pPr>
              <w:spacing w:after="360"/>
              <w:rPr>
                <w:rFonts w:cs="Arial"/>
                <w:szCs w:val="20"/>
              </w:rPr>
            </w:pPr>
            <w:r w:rsidRPr="00360DE3">
              <w:rPr>
                <w:rFonts w:cs="Arial"/>
                <w:szCs w:val="20"/>
              </w:rPr>
              <w:t xml:space="preserve">Spotřeba zemního plynu ČR v posledních třech letech mírně roste, dlouhodobý trend poklesu se tak narušil. Loni byla spotřeba vyšší o 3,3 % a činila 91 </w:t>
            </w:r>
            <w:proofErr w:type="spellStart"/>
            <w:r w:rsidRPr="00360DE3">
              <w:rPr>
                <w:rFonts w:cs="Arial"/>
                <w:szCs w:val="20"/>
              </w:rPr>
              <w:t>GWh</w:t>
            </w:r>
            <w:proofErr w:type="spellEnd"/>
            <w:r w:rsidRPr="00360DE3">
              <w:rPr>
                <w:rFonts w:cs="Arial"/>
                <w:szCs w:val="20"/>
              </w:rPr>
              <w:t>. Vzrostla u všech kategorií odběratelů, z toho v domácnostech o 2,5 %. Ty mají v přepočtu na 1 odběratele dlouhodobě nejvyšší spotřebu ve Středočeském a Jihomoravském kraji (25 až 30 % nad úrovní ČR). Přepočtená spotřeba (na dlouhodobý teplotní normál) byla loni proti roku 2014 o 8,6 % vyšší, ale za maximem z roku 2004 zaostávala o 11,1 %.</w:t>
            </w:r>
          </w:p>
        </w:tc>
      </w:tr>
      <w:tr w:rsidR="00042F4A" w:rsidRPr="00360DE3" w:rsidTr="001A0D6B">
        <w:trPr>
          <w:trHeight w:val="170"/>
        </w:trPr>
        <w:tc>
          <w:tcPr>
            <w:tcW w:w="1976" w:type="dxa"/>
          </w:tcPr>
          <w:p w:rsidR="00042F4A" w:rsidRPr="00360DE3" w:rsidRDefault="00042F4A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42F4A" w:rsidRPr="00360DE3" w:rsidRDefault="00042F4A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42F4A" w:rsidRPr="00360DE3" w:rsidRDefault="00F20156" w:rsidP="00DC37E3">
            <w:pPr>
              <w:spacing w:after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Graf </w:t>
            </w:r>
            <w:proofErr w:type="gramStart"/>
            <w:r>
              <w:rPr>
                <w:rFonts w:cs="Arial"/>
                <w:b/>
                <w:szCs w:val="20"/>
              </w:rPr>
              <w:t>11.5  Zdroje</w:t>
            </w:r>
            <w:proofErr w:type="gramEnd"/>
            <w:r>
              <w:rPr>
                <w:rFonts w:cs="Arial"/>
                <w:b/>
                <w:szCs w:val="20"/>
              </w:rPr>
              <w:t xml:space="preserve"> výroby elektrické</w:t>
            </w:r>
            <w:r w:rsidR="00042F4A" w:rsidRPr="00360DE3">
              <w:rPr>
                <w:rFonts w:cs="Arial"/>
                <w:b/>
                <w:szCs w:val="20"/>
              </w:rPr>
              <w:t xml:space="preserve"> energie v ČR</w:t>
            </w:r>
            <w:r>
              <w:rPr>
                <w:rFonts w:cs="Arial"/>
                <w:szCs w:val="20"/>
              </w:rPr>
              <w:t xml:space="preserve"> (příspěvek k </w:t>
            </w:r>
            <w:r w:rsidR="00042F4A">
              <w:rPr>
                <w:rFonts w:cs="Arial"/>
                <w:szCs w:val="20"/>
              </w:rPr>
              <w:t>meziroční změně, v procentních bodech</w:t>
            </w:r>
            <w:r w:rsidR="00042F4A" w:rsidRPr="00360DE3">
              <w:rPr>
                <w:rFonts w:cs="Arial"/>
                <w:szCs w:val="20"/>
              </w:rPr>
              <w:t xml:space="preserve">) </w:t>
            </w:r>
            <w:r w:rsidR="00042F4A" w:rsidRPr="00360DE3">
              <w:rPr>
                <w:rFonts w:cs="Arial"/>
                <w:b/>
                <w:szCs w:val="20"/>
              </w:rPr>
              <w:t>a tuz</w:t>
            </w:r>
            <w:r>
              <w:rPr>
                <w:rFonts w:cs="Arial"/>
                <w:b/>
                <w:szCs w:val="20"/>
              </w:rPr>
              <w:t>emská spotřeba elektřiny dle hlavních</w:t>
            </w:r>
            <w:r w:rsidR="00042F4A" w:rsidRPr="00360DE3">
              <w:rPr>
                <w:rFonts w:cs="Arial"/>
                <w:b/>
                <w:szCs w:val="20"/>
              </w:rPr>
              <w:t xml:space="preserve"> odběratelů</w:t>
            </w:r>
            <w:r>
              <w:rPr>
                <w:rFonts w:cs="Arial"/>
                <w:szCs w:val="20"/>
              </w:rPr>
              <w:t xml:space="preserve"> (v </w:t>
            </w:r>
            <w:proofErr w:type="spellStart"/>
            <w:r>
              <w:rPr>
                <w:rFonts w:cs="Arial"/>
                <w:szCs w:val="20"/>
              </w:rPr>
              <w:t>GWh</w:t>
            </w:r>
            <w:proofErr w:type="spellEnd"/>
            <w:r>
              <w:rPr>
                <w:rFonts w:cs="Arial"/>
                <w:szCs w:val="20"/>
              </w:rPr>
              <w:t>, rok 2005=100, pravá</w:t>
            </w:r>
            <w:r w:rsidR="00042F4A" w:rsidRPr="00360DE3">
              <w:rPr>
                <w:rFonts w:cs="Arial"/>
                <w:szCs w:val="20"/>
              </w:rPr>
              <w:t xml:space="preserve"> osa) </w:t>
            </w:r>
          </w:p>
          <w:p w:rsidR="00042F4A" w:rsidRPr="00360DE3" w:rsidRDefault="00042F4A" w:rsidP="00DC37E3">
            <w:pPr>
              <w:spacing w:after="0"/>
              <w:rPr>
                <w:rFonts w:cs="Arial"/>
                <w:szCs w:val="20"/>
              </w:rPr>
            </w:pPr>
            <w:r w:rsidRPr="00360DE3">
              <w:rPr>
                <w:rFonts w:cs="Arial"/>
                <w:noProof/>
                <w:szCs w:val="20"/>
              </w:rPr>
              <w:drawing>
                <wp:inline distT="0" distB="0" distL="0" distR="0">
                  <wp:extent cx="4660112" cy="3511296"/>
                  <wp:effectExtent l="0" t="0" r="7138" b="0"/>
                  <wp:docPr id="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42F4A" w:rsidRPr="00360DE3" w:rsidTr="001A0D6B">
        <w:trPr>
          <w:trHeight w:val="170"/>
        </w:trPr>
        <w:tc>
          <w:tcPr>
            <w:tcW w:w="1976" w:type="dxa"/>
          </w:tcPr>
          <w:p w:rsidR="00042F4A" w:rsidRPr="00360DE3" w:rsidRDefault="00042F4A" w:rsidP="00DC37E3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</w:tcPr>
          <w:p w:rsidR="00042F4A" w:rsidRPr="00360DE3" w:rsidRDefault="00042F4A" w:rsidP="00DC37E3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042F4A" w:rsidRPr="00360DE3" w:rsidRDefault="00042F4A" w:rsidP="00DC37E3">
            <w:pPr>
              <w:spacing w:after="220"/>
              <w:rPr>
                <w:rFonts w:cs="Arial"/>
                <w:sz w:val="14"/>
                <w:szCs w:val="14"/>
              </w:rPr>
            </w:pPr>
            <w:r w:rsidRPr="00360DE3">
              <w:rPr>
                <w:rFonts w:cs="Arial"/>
                <w:sz w:val="14"/>
                <w:szCs w:val="14"/>
              </w:rPr>
              <w:t xml:space="preserve"> Zdroj: Energetický regulační úřad.</w:t>
            </w:r>
          </w:p>
        </w:tc>
      </w:tr>
    </w:tbl>
    <w:p w:rsidR="00F46502" w:rsidRPr="007B4459" w:rsidRDefault="00F46502" w:rsidP="007B4459">
      <w:pPr>
        <w:pStyle w:val="Nadpis1"/>
        <w:rPr>
          <w:sz w:val="2"/>
          <w:szCs w:val="2"/>
        </w:rPr>
      </w:pPr>
    </w:p>
    <w:sectPr w:rsidR="00F46502" w:rsidRPr="007B4459" w:rsidSect="007B4459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2FD" w:rsidRDefault="002042FD" w:rsidP="00E71A58">
      <w:r>
        <w:separator/>
      </w:r>
    </w:p>
  </w:endnote>
  <w:endnote w:type="continuationSeparator" w:id="0">
    <w:p w:rsidR="002042FD" w:rsidRDefault="002042F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28D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98728D" w:rsidRPr="00932443">
      <w:rPr>
        <w:szCs w:val="16"/>
      </w:rPr>
      <w:fldChar w:fldCharType="separate"/>
    </w:r>
    <w:r w:rsidR="00F20156">
      <w:rPr>
        <w:szCs w:val="16"/>
      </w:rPr>
      <w:t>56</w:t>
    </w:r>
    <w:r w:rsidR="0098728D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98728D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98728D" w:rsidRPr="00932443">
      <w:rPr>
        <w:rStyle w:val="ZpatChar"/>
        <w:szCs w:val="16"/>
      </w:rPr>
      <w:fldChar w:fldCharType="separate"/>
    </w:r>
    <w:r w:rsidR="00F20156">
      <w:rPr>
        <w:rStyle w:val="ZpatChar"/>
        <w:szCs w:val="16"/>
      </w:rPr>
      <w:t>55</w:t>
    </w:r>
    <w:r w:rsidR="0098728D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2FD" w:rsidRDefault="002042FD" w:rsidP="00E71A58">
      <w:r>
        <w:separator/>
      </w:r>
    </w:p>
  </w:footnote>
  <w:footnote w:type="continuationSeparator" w:id="0">
    <w:p w:rsidR="002042FD" w:rsidRDefault="002042FD" w:rsidP="00E71A58">
      <w:r>
        <w:continuationSeparator/>
      </w:r>
    </w:p>
  </w:footnote>
  <w:footnote w:id="1">
    <w:p w:rsidR="00C805DC" w:rsidRDefault="00C805DC" w:rsidP="003F38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918BF">
        <w:rPr>
          <w:spacing w:val="-2"/>
          <w:sz w:val="16"/>
          <w:szCs w:val="16"/>
        </w:rPr>
        <w:t>Pokud není uvedeno jinak, vychází všechny údaje v této kapitole z dat národních účtů a kde je to relevantní, jsou očištěny o cenové vlivy.</w:t>
      </w:r>
    </w:p>
  </w:footnote>
  <w:footnote w:id="2">
    <w:p w:rsidR="00C805DC" w:rsidRPr="00A232D0" w:rsidRDefault="00C805DC" w:rsidP="003F3890">
      <w:pPr>
        <w:pStyle w:val="Textpoznpodarou"/>
        <w:jc w:val="both"/>
        <w:rPr>
          <w:sz w:val="16"/>
          <w:szCs w:val="16"/>
        </w:rPr>
      </w:pPr>
      <w:r w:rsidRPr="00A232D0">
        <w:rPr>
          <w:rStyle w:val="Znakapoznpodarou"/>
          <w:sz w:val="16"/>
          <w:szCs w:val="16"/>
        </w:rPr>
        <w:footnoteRef/>
      </w:r>
      <w:r w:rsidRPr="00A232D0">
        <w:rPr>
          <w:sz w:val="16"/>
          <w:szCs w:val="16"/>
        </w:rPr>
        <w:t xml:space="preserve"> Poměr </w:t>
      </w:r>
      <w:proofErr w:type="spellStart"/>
      <w:r w:rsidRPr="00A232D0">
        <w:rPr>
          <w:sz w:val="16"/>
          <w:szCs w:val="16"/>
        </w:rPr>
        <w:t>mezispotřeby</w:t>
      </w:r>
      <w:proofErr w:type="spellEnd"/>
      <w:r w:rsidRPr="00A232D0">
        <w:rPr>
          <w:sz w:val="16"/>
          <w:szCs w:val="16"/>
        </w:rPr>
        <w:t xml:space="preserve"> k HPH (v běžných cenách) </w:t>
      </w:r>
      <w:r>
        <w:rPr>
          <w:sz w:val="16"/>
          <w:szCs w:val="16"/>
        </w:rPr>
        <w:t>dosáhl vloni v průmyslu 0,72 (v celé ekonomice 0,61). V samotném zpracovatelském průmyslu činila obdobná relace dokonce 0,73 a byla nejvyšší ze všech 19 hodnocených odvětvových sekcí ekonomiky. Vysokou náročností vstupů na finální produkt (0,64) se vyznačovala také energetika.</w:t>
      </w:r>
    </w:p>
  </w:footnote>
  <w:footnote w:id="3">
    <w:p w:rsidR="00C805DC" w:rsidRPr="001D4736" w:rsidRDefault="00C805DC" w:rsidP="001A0D6B">
      <w:pPr>
        <w:pStyle w:val="Textpoznpodarou"/>
        <w:jc w:val="both"/>
        <w:rPr>
          <w:sz w:val="16"/>
          <w:szCs w:val="16"/>
        </w:rPr>
      </w:pPr>
      <w:r w:rsidRPr="001D4736">
        <w:rPr>
          <w:rStyle w:val="Znakapoznpodarou"/>
          <w:sz w:val="16"/>
          <w:szCs w:val="16"/>
        </w:rPr>
        <w:footnoteRef/>
      </w:r>
      <w:r w:rsidRPr="001D4736">
        <w:rPr>
          <w:sz w:val="16"/>
          <w:szCs w:val="16"/>
        </w:rPr>
        <w:t xml:space="preserve"> Zatímco hodnota </w:t>
      </w:r>
      <w:r>
        <w:rPr>
          <w:sz w:val="16"/>
          <w:szCs w:val="16"/>
        </w:rPr>
        <w:t xml:space="preserve">nových </w:t>
      </w:r>
      <w:r w:rsidRPr="001D4736">
        <w:rPr>
          <w:sz w:val="16"/>
          <w:szCs w:val="16"/>
        </w:rPr>
        <w:t>průmyslových zakázek ze zahraničí loni posílila o 4,5 %, růst tuzemských zak</w:t>
      </w:r>
      <w:r>
        <w:rPr>
          <w:sz w:val="16"/>
          <w:szCs w:val="16"/>
        </w:rPr>
        <w:t>ázek (po slabších letech 2015 i</w:t>
      </w:r>
      <w:r w:rsidRPr="00A918BF">
        <w:rPr>
          <w:spacing w:val="-2"/>
          <w:sz w:val="16"/>
          <w:szCs w:val="16"/>
        </w:rPr>
        <w:t> </w:t>
      </w:r>
      <w:r w:rsidRPr="001D4736">
        <w:rPr>
          <w:sz w:val="16"/>
          <w:szCs w:val="16"/>
        </w:rPr>
        <w:t>2016) akceleroval na 14,6 %</w:t>
      </w:r>
      <w:r>
        <w:rPr>
          <w:sz w:val="16"/>
          <w:szCs w:val="16"/>
        </w:rPr>
        <w:t xml:space="preserve">, což bylo </w:t>
      </w:r>
      <w:r w:rsidRPr="001D4736">
        <w:rPr>
          <w:sz w:val="16"/>
          <w:szCs w:val="16"/>
        </w:rPr>
        <w:t>nejvyšší tempo za posledních jedenáct let.</w:t>
      </w:r>
    </w:p>
  </w:footnote>
  <w:footnote w:id="4">
    <w:p w:rsidR="00C805DC" w:rsidRPr="007A4FF1" w:rsidRDefault="00C805DC" w:rsidP="003F3890">
      <w:pPr>
        <w:pStyle w:val="Textpoznpodarou"/>
        <w:jc w:val="both"/>
        <w:rPr>
          <w:sz w:val="16"/>
          <w:szCs w:val="16"/>
        </w:rPr>
      </w:pPr>
      <w:r w:rsidRPr="007A4FF1">
        <w:rPr>
          <w:rStyle w:val="Znakapoznpodarou"/>
          <w:sz w:val="16"/>
          <w:szCs w:val="16"/>
        </w:rPr>
        <w:footnoteRef/>
      </w:r>
      <w:r w:rsidRPr="007A4FF1">
        <w:rPr>
          <w:sz w:val="16"/>
          <w:szCs w:val="16"/>
        </w:rPr>
        <w:t xml:space="preserve"> Vyjadřuje podíl hrubého provozního přebytku na hrubé přidané hodnotě </w:t>
      </w:r>
      <w:r>
        <w:rPr>
          <w:sz w:val="16"/>
          <w:szCs w:val="16"/>
        </w:rPr>
        <w:t xml:space="preserve">(HPH) </w:t>
      </w:r>
      <w:r w:rsidRPr="007A4FF1">
        <w:rPr>
          <w:sz w:val="16"/>
          <w:szCs w:val="16"/>
        </w:rPr>
        <w:t>podnikové sféry. Ráz odvětví průmyslu výrazně určují právě nefinanční podniky</w:t>
      </w:r>
      <w:r>
        <w:rPr>
          <w:sz w:val="16"/>
          <w:szCs w:val="16"/>
        </w:rPr>
        <w:t>, jejichž role navíc v čase mírně posiluje</w:t>
      </w:r>
      <w:r w:rsidRPr="007A4FF1">
        <w:rPr>
          <w:sz w:val="16"/>
          <w:szCs w:val="16"/>
        </w:rPr>
        <w:t>. Ty</w:t>
      </w:r>
      <w:r>
        <w:rPr>
          <w:sz w:val="16"/>
          <w:szCs w:val="16"/>
        </w:rPr>
        <w:t>to podniky</w:t>
      </w:r>
      <w:r w:rsidRPr="007A4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 </w:t>
      </w:r>
      <w:r w:rsidRPr="007A4FF1">
        <w:rPr>
          <w:sz w:val="16"/>
          <w:szCs w:val="16"/>
        </w:rPr>
        <w:t>v roce 2017</w:t>
      </w:r>
      <w:r>
        <w:rPr>
          <w:sz w:val="16"/>
          <w:szCs w:val="16"/>
        </w:rPr>
        <w:t xml:space="preserve"> na HPH celého průmyslu podílely již 93,2 %, ze zbylé části měli největší váhu drobní podnikatelé (6,6 %). Nefinanční podniky dosahovaly relativně slabšího podílu jen v šesti poměrně malých zpracovatelských oborech: výrobě oděvů (59 %), dřevozpracujícím (67 %), nábytkářském (71 %) a farmaceutickém </w:t>
      </w:r>
      <w:proofErr w:type="gramStart"/>
      <w:r>
        <w:rPr>
          <w:sz w:val="16"/>
          <w:szCs w:val="16"/>
        </w:rPr>
        <w:t>průmyslu</w:t>
      </w:r>
      <w:proofErr w:type="gramEnd"/>
      <w:r>
        <w:rPr>
          <w:sz w:val="16"/>
          <w:szCs w:val="16"/>
        </w:rPr>
        <w:t xml:space="preserve"> (76 %), výrobě nápojů (77 %) a tiskárenství (78 %).</w:t>
      </w:r>
    </w:p>
  </w:footnote>
  <w:footnote w:id="5">
    <w:p w:rsidR="00C805DC" w:rsidRPr="00864AEF" w:rsidRDefault="00C805DC" w:rsidP="003F3890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864AEF">
        <w:rPr>
          <w:rStyle w:val="Znakapoznpodarou"/>
          <w:color w:val="0D0D0D" w:themeColor="text1" w:themeTint="F2"/>
          <w:sz w:val="16"/>
          <w:szCs w:val="16"/>
        </w:rPr>
        <w:footnoteRef/>
      </w:r>
      <w:r w:rsidRPr="00864AEF">
        <w:rPr>
          <w:color w:val="0D0D0D" w:themeColor="text1" w:themeTint="F2"/>
          <w:sz w:val="16"/>
          <w:szCs w:val="16"/>
        </w:rPr>
        <w:t xml:space="preserve"> P</w:t>
      </w:r>
      <w:r w:rsidRPr="00864AEF">
        <w:rPr>
          <w:iCs/>
          <w:color w:val="0D0D0D" w:themeColor="text1" w:themeTint="F2"/>
          <w:sz w:val="16"/>
          <w:szCs w:val="16"/>
        </w:rPr>
        <w:t xml:space="preserve">růměrný měsíční příjem ze zaměstnání je definován jako podíl mezd a platů za národní hospodářství v průměru za měsíc a počtu zaměstnanců přepočtených na plný úvazek. Ukazatel mezd a platů zahrnuje veškeré příjmy ze zaměstnání, a to v peněžní i naturální podobě (zaměstnanecké </w:t>
      </w:r>
      <w:proofErr w:type="spellStart"/>
      <w:r w:rsidRPr="00864AEF">
        <w:rPr>
          <w:iCs/>
          <w:color w:val="0D0D0D" w:themeColor="text1" w:themeTint="F2"/>
          <w:sz w:val="16"/>
          <w:szCs w:val="16"/>
        </w:rPr>
        <w:t>benefity</w:t>
      </w:r>
      <w:proofErr w:type="spellEnd"/>
      <w:r w:rsidRPr="00864AEF">
        <w:rPr>
          <w:iCs/>
          <w:color w:val="0D0D0D" w:themeColor="text1" w:themeTint="F2"/>
          <w:sz w:val="16"/>
          <w:szCs w:val="16"/>
        </w:rPr>
        <w:t>) bez ohledu na to, jestli byly oficiálně přiznány nebo ne. Ukazatel počtu zaměstnanců na plný úvazek zahrnuje veškeré formy zaměstnání, formální i neformální. Jsou zde zahrnuty i různé formy dohod.</w:t>
      </w:r>
    </w:p>
  </w:footnote>
  <w:footnote w:id="6">
    <w:p w:rsidR="00C805DC" w:rsidRPr="00BF720E" w:rsidRDefault="00C805DC" w:rsidP="003F3890">
      <w:pPr>
        <w:pStyle w:val="Textpoznpodarou"/>
        <w:jc w:val="both"/>
        <w:rPr>
          <w:spacing w:val="-2"/>
          <w:sz w:val="16"/>
          <w:szCs w:val="16"/>
        </w:rPr>
      </w:pPr>
      <w:r w:rsidRPr="00BF720E">
        <w:rPr>
          <w:rStyle w:val="Znakapoznpodarou"/>
          <w:spacing w:val="-2"/>
          <w:sz w:val="16"/>
          <w:szCs w:val="16"/>
        </w:rPr>
        <w:footnoteRef/>
      </w:r>
      <w:r w:rsidRPr="00BF720E">
        <w:rPr>
          <w:spacing w:val="-2"/>
          <w:sz w:val="16"/>
          <w:szCs w:val="16"/>
        </w:rPr>
        <w:t xml:space="preserve"> Zahrnuje stroje a zařízení</w:t>
      </w:r>
      <w:r>
        <w:rPr>
          <w:spacing w:val="-2"/>
          <w:sz w:val="16"/>
          <w:szCs w:val="16"/>
        </w:rPr>
        <w:t xml:space="preserve"> vyjma </w:t>
      </w:r>
      <w:proofErr w:type="spellStart"/>
      <w:r>
        <w:rPr>
          <w:spacing w:val="-2"/>
          <w:sz w:val="16"/>
          <w:szCs w:val="16"/>
        </w:rPr>
        <w:t>dopr</w:t>
      </w:r>
      <w:proofErr w:type="spellEnd"/>
      <w:r>
        <w:rPr>
          <w:spacing w:val="-2"/>
          <w:sz w:val="16"/>
          <w:szCs w:val="16"/>
        </w:rPr>
        <w:t>.</w:t>
      </w:r>
      <w:r w:rsidRPr="00BF720E">
        <w:rPr>
          <w:spacing w:val="-2"/>
          <w:sz w:val="16"/>
          <w:szCs w:val="16"/>
        </w:rPr>
        <w:t xml:space="preserve"> prostředků a prostředků informačních a komunikačních technologií (ty tvoří samostatnou kategorii). </w:t>
      </w:r>
    </w:p>
  </w:footnote>
  <w:footnote w:id="7">
    <w:p w:rsidR="00C805DC" w:rsidRPr="00BF720E" w:rsidRDefault="00C805DC" w:rsidP="003F3890">
      <w:pPr>
        <w:pStyle w:val="Textpoznpodarou"/>
        <w:jc w:val="both"/>
        <w:rPr>
          <w:sz w:val="16"/>
          <w:szCs w:val="16"/>
        </w:rPr>
      </w:pPr>
      <w:r w:rsidRPr="00BF720E">
        <w:rPr>
          <w:rStyle w:val="Znakapoznpodarou"/>
          <w:spacing w:val="-2"/>
          <w:sz w:val="16"/>
          <w:szCs w:val="16"/>
        </w:rPr>
        <w:footnoteRef/>
      </w:r>
      <w:r w:rsidRPr="00BF720E">
        <w:rPr>
          <w:spacing w:val="-2"/>
          <w:sz w:val="16"/>
          <w:szCs w:val="16"/>
        </w:rPr>
        <w:t xml:space="preserve"> Silnější postavení v rámci sekcí průmyslu mají </w:t>
      </w:r>
      <w:r>
        <w:rPr>
          <w:spacing w:val="-2"/>
          <w:sz w:val="16"/>
          <w:szCs w:val="16"/>
        </w:rPr>
        <w:t xml:space="preserve">dopravní prostředky </w:t>
      </w:r>
      <w:r w:rsidRPr="00BF720E">
        <w:rPr>
          <w:spacing w:val="-2"/>
          <w:sz w:val="16"/>
          <w:szCs w:val="16"/>
        </w:rPr>
        <w:t>jen v odvětví zásobování vodou, činnosti souvisejí</w:t>
      </w:r>
      <w:r>
        <w:rPr>
          <w:spacing w:val="-2"/>
          <w:sz w:val="16"/>
          <w:szCs w:val="16"/>
        </w:rPr>
        <w:t>cí s odpadními vodami, odpady a</w:t>
      </w:r>
      <w:r w:rsidRPr="00BF720E">
        <w:rPr>
          <w:spacing w:val="-2"/>
          <w:sz w:val="16"/>
          <w:szCs w:val="16"/>
        </w:rPr>
        <w:t> sanacemi, kde dlouhodobě tvoří čtvrtinu až pětinu investic.</w:t>
      </w:r>
    </w:p>
  </w:footnote>
  <w:footnote w:id="8">
    <w:p w:rsidR="00C805DC" w:rsidRPr="002B775D" w:rsidRDefault="00C805DC" w:rsidP="003F3890">
      <w:pPr>
        <w:pStyle w:val="Textpoznpodarou"/>
        <w:rPr>
          <w:spacing w:val="-2"/>
          <w:sz w:val="16"/>
          <w:szCs w:val="16"/>
        </w:rPr>
      </w:pPr>
      <w:r w:rsidRPr="002B775D">
        <w:rPr>
          <w:rStyle w:val="Znakapoznpodarou"/>
          <w:spacing w:val="-2"/>
          <w:sz w:val="16"/>
          <w:szCs w:val="16"/>
        </w:rPr>
        <w:footnoteRef/>
      </w:r>
      <w:r w:rsidRPr="002B775D">
        <w:rPr>
          <w:spacing w:val="-2"/>
          <w:sz w:val="16"/>
          <w:szCs w:val="16"/>
        </w:rPr>
        <w:t xml:space="preserve"> Na přidané hodnotě celého průmyslu se výroba motorových vozidel loni podílela 17,8 %, v případě produkce byl podíl dokonce čtvrtinový.</w:t>
      </w:r>
    </w:p>
  </w:footnote>
  <w:footnote w:id="9">
    <w:p w:rsidR="00C805DC" w:rsidRPr="005303FF" w:rsidRDefault="00C805DC" w:rsidP="003F3890">
      <w:pPr>
        <w:pStyle w:val="Textpoznpodarou"/>
        <w:rPr>
          <w:sz w:val="16"/>
          <w:szCs w:val="16"/>
        </w:rPr>
      </w:pPr>
      <w:r w:rsidRPr="005303FF">
        <w:rPr>
          <w:rStyle w:val="Znakapoznpodarou"/>
          <w:sz w:val="16"/>
          <w:szCs w:val="16"/>
        </w:rPr>
        <w:footnoteRef/>
      </w:r>
      <w:r w:rsidRPr="005303FF">
        <w:rPr>
          <w:sz w:val="16"/>
          <w:szCs w:val="16"/>
        </w:rPr>
        <w:t xml:space="preserve"> Na celkových nominálních tržbách tohoto odvětví se dlouhodobě podílí více než třemi čtvrtinami.</w:t>
      </w:r>
    </w:p>
  </w:footnote>
  <w:footnote w:id="10">
    <w:p w:rsidR="00C805DC" w:rsidRPr="00C547CB" w:rsidRDefault="00C805DC" w:rsidP="003F3890">
      <w:pPr>
        <w:pStyle w:val="Textpoznpodarou"/>
        <w:jc w:val="both"/>
        <w:rPr>
          <w:sz w:val="16"/>
          <w:szCs w:val="16"/>
        </w:rPr>
      </w:pPr>
      <w:r w:rsidRPr="00C547CB">
        <w:rPr>
          <w:rStyle w:val="Znakapoznpodarou"/>
          <w:sz w:val="16"/>
          <w:szCs w:val="16"/>
        </w:rPr>
        <w:footnoteRef/>
      </w:r>
      <w:r w:rsidRPr="00C547CB">
        <w:rPr>
          <w:sz w:val="16"/>
          <w:szCs w:val="16"/>
        </w:rPr>
        <w:t xml:space="preserve"> </w:t>
      </w:r>
      <w:r>
        <w:rPr>
          <w:color w:val="0D0D0D" w:themeColor="text1" w:themeTint="F2"/>
          <w:sz w:val="16"/>
          <w:szCs w:val="16"/>
        </w:rPr>
        <w:t>D</w:t>
      </w:r>
      <w:r w:rsidRPr="006E5A49">
        <w:rPr>
          <w:color w:val="0D0D0D" w:themeColor="text1" w:themeTint="F2"/>
          <w:sz w:val="16"/>
          <w:szCs w:val="16"/>
        </w:rPr>
        <w:t>le údajů Sdružení automobilového</w:t>
      </w:r>
      <w:r>
        <w:rPr>
          <w:color w:val="0D0D0D" w:themeColor="text1" w:themeTint="F2"/>
          <w:sz w:val="16"/>
          <w:szCs w:val="16"/>
        </w:rPr>
        <w:t xml:space="preserve"> průmyslu bylo vloni v Česku vyrobeno 1,41 mil.</w:t>
      </w:r>
      <w:r w:rsidRPr="00EC671E">
        <w:rPr>
          <w:color w:val="0D0D0D" w:themeColor="text1" w:themeTint="F2"/>
          <w:sz w:val="16"/>
          <w:szCs w:val="16"/>
        </w:rPr>
        <w:t xml:space="preserve"> oso</w:t>
      </w:r>
      <w:r>
        <w:rPr>
          <w:color w:val="0D0D0D" w:themeColor="text1" w:themeTint="F2"/>
          <w:sz w:val="16"/>
          <w:szCs w:val="16"/>
        </w:rPr>
        <w:t>bních automobilů, meziročně o 5,2 % více.</w:t>
      </w:r>
    </w:p>
  </w:footnote>
  <w:footnote w:id="11">
    <w:p w:rsidR="00C805DC" w:rsidRPr="002478DC" w:rsidRDefault="00C805DC" w:rsidP="003F3890">
      <w:pPr>
        <w:pStyle w:val="Textpoznpodarou"/>
        <w:jc w:val="both"/>
        <w:rPr>
          <w:sz w:val="16"/>
          <w:szCs w:val="16"/>
        </w:rPr>
      </w:pPr>
      <w:r w:rsidRPr="002478DC">
        <w:rPr>
          <w:rStyle w:val="Znakapoznpodarou"/>
          <w:sz w:val="16"/>
          <w:szCs w:val="16"/>
        </w:rPr>
        <w:footnoteRef/>
      </w:r>
      <w:r w:rsidRPr="002478DC">
        <w:rPr>
          <w:sz w:val="16"/>
          <w:szCs w:val="16"/>
        </w:rPr>
        <w:t xml:space="preserve"> Objem vyplacených mezd a platů na jednoho zaměstnance (po přepočtu na celé úvazky) dosáhl loni v tomto odvětví 35,6 tis. korun měsíčně a byl srovnatelný s výdělky v těžbě </w:t>
      </w:r>
      <w:r>
        <w:rPr>
          <w:sz w:val="16"/>
          <w:szCs w:val="16"/>
        </w:rPr>
        <w:t xml:space="preserve">a dobývání či </w:t>
      </w:r>
      <w:r w:rsidRPr="002478DC">
        <w:rPr>
          <w:sz w:val="16"/>
          <w:szCs w:val="16"/>
        </w:rPr>
        <w:t xml:space="preserve">v chemickém a farmaceutickém průmyslu. Na výrazně vyšší výdělky si v rámci průmyslu přišli jen zaměstnanci v energetice (48,4 tis.). </w:t>
      </w:r>
      <w:r>
        <w:rPr>
          <w:sz w:val="16"/>
          <w:szCs w:val="16"/>
        </w:rPr>
        <w:t>Výši průměrných výdělků v některých průmyslových oborech významněji ovlivňují i agenturní pracovníci.</w:t>
      </w:r>
    </w:p>
  </w:footnote>
  <w:footnote w:id="12">
    <w:p w:rsidR="00C805DC" w:rsidRPr="000D4171" w:rsidRDefault="00C805DC" w:rsidP="003F3890">
      <w:pPr>
        <w:pStyle w:val="Textpoznpodarou"/>
        <w:rPr>
          <w:sz w:val="16"/>
          <w:szCs w:val="16"/>
        </w:rPr>
      </w:pPr>
      <w:r w:rsidRPr="000D4171">
        <w:rPr>
          <w:rStyle w:val="Znakapoznpodarou"/>
          <w:sz w:val="16"/>
          <w:szCs w:val="16"/>
        </w:rPr>
        <w:footnoteRef/>
      </w:r>
      <w:r w:rsidRPr="000D4171">
        <w:rPr>
          <w:sz w:val="16"/>
          <w:szCs w:val="16"/>
        </w:rPr>
        <w:t xml:space="preserve"> V chemickém průmyslu činil nárůst přidané hodnoty 64 %, ve výrobě motoro</w:t>
      </w:r>
      <w:r>
        <w:rPr>
          <w:sz w:val="16"/>
          <w:szCs w:val="16"/>
        </w:rPr>
        <w:t>vých vozidel 42 %. V celém průmyslu se rovnal 22 %.</w:t>
      </w:r>
    </w:p>
  </w:footnote>
  <w:footnote w:id="13">
    <w:p w:rsidR="007B4459" w:rsidRPr="00E204A1" w:rsidRDefault="007B4459" w:rsidP="003F3890">
      <w:pPr>
        <w:pStyle w:val="Textpoznpodarou"/>
        <w:jc w:val="both"/>
        <w:rPr>
          <w:spacing w:val="-2"/>
          <w:sz w:val="16"/>
          <w:szCs w:val="16"/>
        </w:rPr>
      </w:pPr>
      <w:r w:rsidRPr="00E204A1">
        <w:rPr>
          <w:rStyle w:val="Znakapoznpodarou"/>
          <w:spacing w:val="-3"/>
          <w:sz w:val="16"/>
          <w:szCs w:val="16"/>
        </w:rPr>
        <w:footnoteRef/>
      </w:r>
      <w:r w:rsidRPr="00E204A1">
        <w:rPr>
          <w:spacing w:val="-3"/>
          <w:sz w:val="16"/>
          <w:szCs w:val="16"/>
        </w:rPr>
        <w:t xml:space="preserve"> V EU činil v roce 2016 podíl energetiky na HPH v průmyslu 9,5 %. Z našich sousedů měly vyšší podíl Slovensko (11,0 %) i Polsko (11,5 %).</w:t>
      </w:r>
      <w:r>
        <w:rPr>
          <w:spacing w:val="-2"/>
          <w:sz w:val="16"/>
          <w:szCs w:val="16"/>
        </w:rPr>
        <w:t xml:space="preserve"> Celé EU vévodil Kypr (20 %), více jak 15% podílu dosahovalo Bulharsko, Řecko a Portugalsko. Méně jak 8 % pak převážně nížinné státy (Maďarsko, Dánsko, Nizozemsko, Německo, Irsko). Z ostatních zemí Evropy vyčnívaly Černá Hora (35 %), Albánie (28 %) a Island (24 %).</w:t>
      </w:r>
    </w:p>
  </w:footnote>
  <w:footnote w:id="14">
    <w:p w:rsidR="007B4459" w:rsidRPr="00A26B69" w:rsidRDefault="007B4459" w:rsidP="003F3890">
      <w:pPr>
        <w:pStyle w:val="Textpoznpodarou"/>
        <w:jc w:val="both"/>
        <w:rPr>
          <w:sz w:val="16"/>
          <w:szCs w:val="16"/>
        </w:rPr>
      </w:pPr>
      <w:r w:rsidRPr="00E204A1">
        <w:rPr>
          <w:rStyle w:val="Znakapoznpodarou"/>
          <w:spacing w:val="-2"/>
          <w:sz w:val="16"/>
          <w:szCs w:val="16"/>
        </w:rPr>
        <w:footnoteRef/>
      </w:r>
      <w:r w:rsidRPr="00E204A1">
        <w:rPr>
          <w:spacing w:val="-2"/>
          <w:sz w:val="16"/>
          <w:szCs w:val="16"/>
        </w:rPr>
        <w:t xml:space="preserve"> S 36 tis. zaměstnanci (po přepočtu na plné úvazky) patřilo v roce 2017 odvětví výroby a rozvodu elektřiny, plynu, tepla a klimatizovaného vzduchu až 14. místo (mezi bezmála třiceti průmyslovými obory).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2F4A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42FD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4459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728D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0156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2-Pr&#367;mysl\Grafy-pr&#367;mys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2-Pr&#367;mysl\Grafy-pr&#367;mys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2-Pr&#367;mysl\Grafy-pr&#367;mysl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JKAM%20CSU\PUBLIKACE\PUBLIKACE\2018\Velk&#225;%20makro\2-Pr&#367;mysl\Grafy-pr&#367;mys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8\Velk&#225;%20makro\2-Pr&#367;mysl\Grafy-pr&#367;mys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6.2040029038385534E-2"/>
          <c:y val="1.9513175616352983E-2"/>
          <c:w val="0.92433548575002356"/>
          <c:h val="0.72581447709107871"/>
        </c:manualLayout>
      </c:layout>
      <c:barChart>
        <c:barDir val="col"/>
        <c:grouping val="clustered"/>
        <c:ser>
          <c:idx val="0"/>
          <c:order val="0"/>
          <c:tx>
            <c:strRef>
              <c:f>'Graf-Národní účty-souhrnné'!$A$29</c:f>
              <c:strCache>
                <c:ptCount val="1"/>
                <c:pt idx="0">
                  <c:v>Hrubá přidaná hodnota (2010=100)</c:v>
                </c:pt>
              </c:strCache>
            </c:strRef>
          </c:tx>
          <c:spPr>
            <a:solidFill>
              <a:srgbClr val="808080"/>
            </a:solidFill>
            <a:ln w="12700">
              <a:noFill/>
              <a:prstDash val="solid"/>
            </a:ln>
          </c:spP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účty-souhrnné'!$G$29:$S$29</c:f>
              <c:numCache>
                <c:formatCode>#,##0.0</c:formatCode>
                <c:ptCount val="13"/>
                <c:pt idx="0">
                  <c:v>79.3</c:v>
                </c:pt>
                <c:pt idx="1">
                  <c:v>93.1</c:v>
                </c:pt>
                <c:pt idx="2">
                  <c:v>98.2</c:v>
                </c:pt>
                <c:pt idx="3">
                  <c:v>106.2</c:v>
                </c:pt>
                <c:pt idx="4">
                  <c:v>93.9</c:v>
                </c:pt>
                <c:pt idx="5">
                  <c:v>100</c:v>
                </c:pt>
                <c:pt idx="6">
                  <c:v>106.6</c:v>
                </c:pt>
                <c:pt idx="7">
                  <c:v>103.6</c:v>
                </c:pt>
                <c:pt idx="8">
                  <c:v>98.9</c:v>
                </c:pt>
                <c:pt idx="9">
                  <c:v>104</c:v>
                </c:pt>
                <c:pt idx="10">
                  <c:v>108.3</c:v>
                </c:pt>
                <c:pt idx="11">
                  <c:v>110.4</c:v>
                </c:pt>
                <c:pt idx="12">
                  <c:v>120.3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49-483C-B040-B53EDC129E30}"/>
            </c:ext>
          </c:extLst>
        </c:ser>
        <c:ser>
          <c:idx val="4"/>
          <c:order val="6"/>
          <c:tx>
            <c:strRef>
              <c:f>'Graf-Národní účty-souhrnné'!$A$35</c:f>
              <c:strCache>
                <c:ptCount val="1"/>
                <c:pt idx="0">
                  <c:v>Produkce (2010=100)</c:v>
                </c:pt>
              </c:strCache>
            </c:strRef>
          </c:tx>
          <c:spPr>
            <a:solidFill>
              <a:srgbClr val="BABABA"/>
            </a:solidFill>
            <a:ln>
              <a:noFill/>
            </a:ln>
          </c:spP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účty-souhrnné'!$G$35:$S$35</c:f>
              <c:numCache>
                <c:formatCode>#,##0.0</c:formatCode>
                <c:ptCount val="13"/>
                <c:pt idx="0">
                  <c:v>85.8</c:v>
                </c:pt>
                <c:pt idx="1">
                  <c:v>97.8</c:v>
                </c:pt>
                <c:pt idx="2">
                  <c:v>104.4</c:v>
                </c:pt>
                <c:pt idx="3">
                  <c:v>106</c:v>
                </c:pt>
                <c:pt idx="4">
                  <c:v>91.5</c:v>
                </c:pt>
                <c:pt idx="5">
                  <c:v>100</c:v>
                </c:pt>
                <c:pt idx="6">
                  <c:v>106</c:v>
                </c:pt>
                <c:pt idx="7">
                  <c:v>104.2</c:v>
                </c:pt>
                <c:pt idx="8">
                  <c:v>102.9</c:v>
                </c:pt>
                <c:pt idx="9">
                  <c:v>108.6</c:v>
                </c:pt>
                <c:pt idx="10">
                  <c:v>114.7</c:v>
                </c:pt>
                <c:pt idx="11">
                  <c:v>118.7</c:v>
                </c:pt>
                <c:pt idx="12">
                  <c:v>126.5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49-483C-B040-B53EDC129E30}"/>
            </c:ext>
          </c:extLst>
        </c:ser>
        <c:gapWidth val="75"/>
        <c:axId val="145696256"/>
        <c:axId val="146034688"/>
      </c:barChart>
      <c:lineChart>
        <c:grouping val="standard"/>
        <c:ser>
          <c:idx val="3"/>
          <c:order val="1"/>
          <c:tx>
            <c:strRef>
              <c:f>'Graf-Národní účty-souhrnné'!$A$30</c:f>
              <c:strCache>
                <c:ptCount val="1"/>
                <c:pt idx="0">
                  <c:v>Objem reálných vyplacených mezd a platů (2010=100)*</c:v>
                </c:pt>
              </c:strCache>
            </c:strRef>
          </c:tx>
          <c:spPr>
            <a:ln w="19050">
              <a:solidFill>
                <a:srgbClr val="F8A124"/>
              </a:solidFill>
              <a:prstDash val="solid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účty-souhrnné'!$G$30:$S$30</c:f>
              <c:numCache>
                <c:formatCode>#,##0.0</c:formatCode>
                <c:ptCount val="13"/>
                <c:pt idx="0">
                  <c:v>98.295756585812967</c:v>
                </c:pt>
                <c:pt idx="1">
                  <c:v>103.34149533190191</c:v>
                </c:pt>
                <c:pt idx="2">
                  <c:v>109.44776438200313</c:v>
                </c:pt>
                <c:pt idx="3">
                  <c:v>111.08642676053393</c:v>
                </c:pt>
                <c:pt idx="4">
                  <c:v>100.63803756339615</c:v>
                </c:pt>
                <c:pt idx="5">
                  <c:v>100</c:v>
                </c:pt>
                <c:pt idx="6">
                  <c:v>105.47701749806832</c:v>
                </c:pt>
                <c:pt idx="7">
                  <c:v>106.16544935373334</c:v>
                </c:pt>
                <c:pt idx="8">
                  <c:v>105.68801888926095</c:v>
                </c:pt>
                <c:pt idx="9">
                  <c:v>109.97614632728065</c:v>
                </c:pt>
                <c:pt idx="10">
                  <c:v>116.35966162219732</c:v>
                </c:pt>
                <c:pt idx="11">
                  <c:v>123.00194140103579</c:v>
                </c:pt>
                <c:pt idx="12">
                  <c:v>130.37891458071041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49-483C-B040-B53EDC129E30}"/>
            </c:ext>
          </c:extLst>
        </c:ser>
        <c:ser>
          <c:idx val="1"/>
          <c:order val="2"/>
          <c:tx>
            <c:strRef>
              <c:f>'Graf-Národní účty-souhrnné'!$A$31</c:f>
              <c:strCache>
                <c:ptCount val="1"/>
                <c:pt idx="0">
                  <c:v>Reálná hodinová produktivita práce (2010=100)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účty-souhrnné'!$G$31:$S$31</c:f>
              <c:numCache>
                <c:formatCode>0.0</c:formatCode>
                <c:ptCount val="13"/>
                <c:pt idx="0">
                  <c:v>74.021770158970355</c:v>
                </c:pt>
                <c:pt idx="1">
                  <c:v>87.481049326897946</c:v>
                </c:pt>
                <c:pt idx="2">
                  <c:v>90.678363265641252</c:v>
                </c:pt>
                <c:pt idx="3">
                  <c:v>96.934597004292527</c:v>
                </c:pt>
                <c:pt idx="4">
                  <c:v>94.304790528398655</c:v>
                </c:pt>
                <c:pt idx="5">
                  <c:v>100</c:v>
                </c:pt>
                <c:pt idx="6">
                  <c:v>103.51700072163112</c:v>
                </c:pt>
                <c:pt idx="7">
                  <c:v>100.68976902626628</c:v>
                </c:pt>
                <c:pt idx="8">
                  <c:v>96.657824608123747</c:v>
                </c:pt>
                <c:pt idx="9">
                  <c:v>99.984132733280958</c:v>
                </c:pt>
                <c:pt idx="10">
                  <c:v>101.58980558398385</c:v>
                </c:pt>
                <c:pt idx="11">
                  <c:v>100.80806174267134</c:v>
                </c:pt>
                <c:pt idx="12">
                  <c:v>108.22429310424141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49-483C-B040-B53EDC129E30}"/>
            </c:ext>
          </c:extLst>
        </c:ser>
        <c:ser>
          <c:idx val="7"/>
          <c:order val="3"/>
          <c:tx>
            <c:strRef>
              <c:f>'Graf-Národní účty-souhrnné'!$A$32</c:f>
              <c:strCache>
                <c:ptCount val="1"/>
                <c:pt idx="0">
                  <c:v>Zaměstnanost (úvazky na plnou pracovní dobu, 2010=100)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ysClr val="windowText" lastClr="000000">
                    <a:lumMod val="65000"/>
                    <a:lumOff val="35000"/>
                  </a:sysClr>
                </a:solidFill>
              </a:ln>
            </c:spPr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účty-souhrnné'!$G$32:$S$32</c:f>
              <c:numCache>
                <c:formatCode>0.0</c:formatCode>
                <c:ptCount val="13"/>
                <c:pt idx="0">
                  <c:v>108.33418022054416</c:v>
                </c:pt>
                <c:pt idx="1">
                  <c:v>107.60077589596894</c:v>
                </c:pt>
                <c:pt idx="2">
                  <c:v>110.21397525911082</c:v>
                </c:pt>
                <c:pt idx="3">
                  <c:v>111.11307490754201</c:v>
                </c:pt>
                <c:pt idx="4">
                  <c:v>103.09629328514302</c:v>
                </c:pt>
                <c:pt idx="5">
                  <c:v>100</c:v>
                </c:pt>
                <c:pt idx="6">
                  <c:v>103.42414909928075</c:v>
                </c:pt>
                <c:pt idx="7">
                  <c:v>104.05239212497902</c:v>
                </c:pt>
                <c:pt idx="8">
                  <c:v>103.65737447290398</c:v>
                </c:pt>
                <c:pt idx="9">
                  <c:v>105.14944245364578</c:v>
                </c:pt>
                <c:pt idx="10">
                  <c:v>108.38145861961803</c:v>
                </c:pt>
                <c:pt idx="11">
                  <c:v>110.69191421548051</c:v>
                </c:pt>
                <c:pt idx="12">
                  <c:v>111.64013332213968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49-483C-B040-B53EDC129E30}"/>
            </c:ext>
          </c:extLst>
        </c:ser>
        <c:marker val="1"/>
        <c:axId val="145696256"/>
        <c:axId val="146034688"/>
      </c:lineChart>
      <c:lineChart>
        <c:grouping val="standard"/>
        <c:ser>
          <c:idx val="2"/>
          <c:order val="4"/>
          <c:tx>
            <c:strRef>
              <c:f>'Graf-Národní účty-souhrnné'!$A$33</c:f>
              <c:strCache>
                <c:ptCount val="1"/>
                <c:pt idx="0">
                  <c:v>Míra investic (v %, pravá osa)</c:v>
                </c:pt>
              </c:strCache>
            </c:strRef>
          </c:tx>
          <c:spPr>
            <a:ln w="19050">
              <a:solidFill>
                <a:srgbClr val="BD1B21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účty-souhrnné'!$G$33:$S$33</c:f>
              <c:numCache>
                <c:formatCode>0.0</c:formatCode>
                <c:ptCount val="13"/>
                <c:pt idx="0">
                  <c:v>30.418892018000093</c:v>
                </c:pt>
                <c:pt idx="1">
                  <c:v>28.700317452187626</c:v>
                </c:pt>
                <c:pt idx="2">
                  <c:v>32.416211324641786</c:v>
                </c:pt>
                <c:pt idx="3">
                  <c:v>30.902958491297131</c:v>
                </c:pt>
                <c:pt idx="4">
                  <c:v>28.017830848604635</c:v>
                </c:pt>
                <c:pt idx="5">
                  <c:v>28.711567833654133</c:v>
                </c:pt>
                <c:pt idx="6">
                  <c:v>29.602223544205486</c:v>
                </c:pt>
                <c:pt idx="7">
                  <c:v>29.633461450864935</c:v>
                </c:pt>
                <c:pt idx="8">
                  <c:v>29.926728925207829</c:v>
                </c:pt>
                <c:pt idx="9">
                  <c:v>28.157406630098535</c:v>
                </c:pt>
                <c:pt idx="10">
                  <c:v>29.028981159201251</c:v>
                </c:pt>
                <c:pt idx="11">
                  <c:v>27.775047515114949</c:v>
                </c:pt>
                <c:pt idx="12">
                  <c:v>26.787564297553214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949-483C-B040-B53EDC129E30}"/>
            </c:ext>
          </c:extLst>
        </c:ser>
        <c:ser>
          <c:idx val="5"/>
          <c:order val="5"/>
          <c:tx>
            <c:strRef>
              <c:f>'Graf-Národní účty-souhrnné'!$A$34</c:f>
              <c:strCache>
                <c:ptCount val="1"/>
                <c:pt idx="0">
                  <c:v>Míra zisku nefinančních podniků (v %, pravá osa)</c:v>
                </c:pt>
              </c:strCache>
            </c:strRef>
          </c:tx>
          <c:spPr>
            <a:ln w="19050">
              <a:solidFill>
                <a:srgbClr val="0071BC"/>
              </a:solidFill>
              <a:prstDash val="sysDash"/>
            </a:ln>
          </c:spPr>
          <c:marker>
            <c:symbol val="none"/>
          </c:marker>
          <c:cat>
            <c:strRef>
              <c:f>'Graf-Národní účty-souhrnné'!$G$28:$S$28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'Graf-Národní účty-souhrnné'!$G$34:$S$34</c:f>
              <c:numCache>
                <c:formatCode>0.0</c:formatCode>
                <c:ptCount val="13"/>
                <c:pt idx="0">
                  <c:v>53.027057476955761</c:v>
                </c:pt>
                <c:pt idx="1">
                  <c:v>54.726933994220495</c:v>
                </c:pt>
                <c:pt idx="2">
                  <c:v>54.546908331350863</c:v>
                </c:pt>
                <c:pt idx="3">
                  <c:v>53.801408600695844</c:v>
                </c:pt>
                <c:pt idx="4">
                  <c:v>55.34402467388982</c:v>
                </c:pt>
                <c:pt idx="5">
                  <c:v>55.113664629694775</c:v>
                </c:pt>
                <c:pt idx="6">
                  <c:v>53.308934204629381</c:v>
                </c:pt>
                <c:pt idx="7">
                  <c:v>52.632580921357913</c:v>
                </c:pt>
                <c:pt idx="8">
                  <c:v>52.443121646553529</c:v>
                </c:pt>
                <c:pt idx="9">
                  <c:v>55.282390268796014</c:v>
                </c:pt>
                <c:pt idx="10">
                  <c:v>54.8302586523249</c:v>
                </c:pt>
                <c:pt idx="11">
                  <c:v>53.027956368864231</c:v>
                </c:pt>
                <c:pt idx="12">
                  <c:v>51.432878026762396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949-483C-B040-B53EDC129E30}"/>
            </c:ext>
          </c:extLst>
        </c:ser>
        <c:marker val="1"/>
        <c:axId val="146141184"/>
        <c:axId val="146036224"/>
      </c:lineChart>
      <c:catAx>
        <c:axId val="145696256"/>
        <c:scaling>
          <c:orientation val="minMax"/>
        </c:scaling>
        <c:axPos val="b"/>
        <c:numFmt formatCode="General" sourceLinked="1"/>
        <c:tickLblPos val="low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6034688"/>
        <c:crossesAt val="100"/>
        <c:lblAlgn val="ctr"/>
        <c:lblOffset val="0"/>
        <c:tickLblSkip val="1"/>
        <c:tickMarkSkip val="4"/>
      </c:catAx>
      <c:valAx>
        <c:axId val="146034688"/>
        <c:scaling>
          <c:orientation val="minMax"/>
          <c:max val="130"/>
          <c:min val="70"/>
        </c:scaling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tickLblPos val="nextTo"/>
        <c:spPr>
          <a:ln w="9525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45696256"/>
        <c:crosses val="autoZero"/>
        <c:crossBetween val="between"/>
        <c:majorUnit val="5"/>
      </c:valAx>
      <c:valAx>
        <c:axId val="146036224"/>
        <c:scaling>
          <c:orientation val="minMax"/>
          <c:max val="60"/>
          <c:min val="0"/>
        </c:scaling>
        <c:axPos val="r"/>
        <c:numFmt formatCode="0" sourceLinked="0"/>
        <c:tickLblPos val="nextTo"/>
        <c:crossAx val="146141184"/>
        <c:crosses val="max"/>
        <c:crossBetween val="between"/>
        <c:majorUnit val="5"/>
      </c:valAx>
      <c:catAx>
        <c:axId val="146141184"/>
        <c:scaling>
          <c:orientation val="minMax"/>
        </c:scaling>
        <c:delete val="1"/>
        <c:axPos val="b"/>
        <c:numFmt formatCode="General" sourceLinked="1"/>
        <c:tickLblPos val="none"/>
        <c:crossAx val="146036224"/>
        <c:crosses val="autoZero"/>
        <c:auto val="1"/>
        <c:lblAlgn val="ctr"/>
        <c:lblOffset val="100"/>
      </c:catAx>
      <c:spPr>
        <a:noFill/>
        <a:ln w="9525"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6.0825149028219005E-2"/>
          <c:y val="0.79350557244174269"/>
          <c:w val="0.88531755998340644"/>
          <c:h val="0.20292018462231387"/>
        </c:manualLayout>
      </c:layout>
      <c:spPr>
        <a:noFill/>
        <a:ln w="6350">
          <a:solidFill>
            <a:schemeClr val="tx1"/>
          </a:solidFill>
        </a:ln>
      </c:spPr>
    </c:legend>
    <c:plotVisOnly val="1"/>
    <c:dispBlanksAs val="gap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0.10608838874897725"/>
          <c:y val="2.1390374331550797E-2"/>
          <c:w val="0.87783863049508715"/>
          <c:h val="0.78564486925765298"/>
        </c:manualLayout>
      </c:layout>
      <c:lineChart>
        <c:grouping val="standard"/>
        <c:ser>
          <c:idx val="0"/>
          <c:order val="0"/>
          <c:tx>
            <c:strRef>
              <c:f>'Graf-investice'!$A$321</c:f>
              <c:strCache>
                <c:ptCount val="1"/>
                <c:pt idx="0">
                  <c:v>Budovy a stavby (mimo obydlí)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'Graf-investice'!$G$321:$S$321</c:f>
              <c:numCache>
                <c:formatCode>#,##0</c:formatCode>
                <c:ptCount val="13"/>
                <c:pt idx="0">
                  <c:v>54025</c:v>
                </c:pt>
                <c:pt idx="1">
                  <c:v>56818</c:v>
                </c:pt>
                <c:pt idx="2">
                  <c:v>67123</c:v>
                </c:pt>
                <c:pt idx="3">
                  <c:v>48435</c:v>
                </c:pt>
                <c:pt idx="4">
                  <c:v>32127</c:v>
                </c:pt>
                <c:pt idx="5">
                  <c:v>32013</c:v>
                </c:pt>
                <c:pt idx="6">
                  <c:v>40909</c:v>
                </c:pt>
                <c:pt idx="7">
                  <c:v>39291</c:v>
                </c:pt>
                <c:pt idx="8">
                  <c:v>40563</c:v>
                </c:pt>
                <c:pt idx="9">
                  <c:v>38726</c:v>
                </c:pt>
                <c:pt idx="10">
                  <c:v>42035</c:v>
                </c:pt>
                <c:pt idx="11">
                  <c:v>45676</c:v>
                </c:pt>
                <c:pt idx="12">
                  <c:v>46748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7E-471A-A250-BBAF8D16AC0B}"/>
            </c:ext>
          </c:extLst>
        </c:ser>
        <c:ser>
          <c:idx val="1"/>
          <c:order val="1"/>
          <c:tx>
            <c:strRef>
              <c:f>'Graf-investice'!$A$322</c:f>
              <c:strCache>
                <c:ptCount val="1"/>
                <c:pt idx="0">
                  <c:v>Dopravní prostředky a zařízení</c:v>
                </c:pt>
              </c:strCache>
            </c:strRef>
          </c:tx>
          <c:spPr>
            <a:ln w="22225">
              <a:solidFill>
                <a:srgbClr val="48AEE7"/>
              </a:solidFill>
            </a:ln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'Graf-investice'!$G$322:$S$322</c:f>
              <c:numCache>
                <c:formatCode>#,##0</c:formatCode>
                <c:ptCount val="13"/>
                <c:pt idx="0">
                  <c:v>15127</c:v>
                </c:pt>
                <c:pt idx="1">
                  <c:v>11518</c:v>
                </c:pt>
                <c:pt idx="2">
                  <c:v>14317</c:v>
                </c:pt>
                <c:pt idx="3">
                  <c:v>15500</c:v>
                </c:pt>
                <c:pt idx="4">
                  <c:v>9595</c:v>
                </c:pt>
                <c:pt idx="5">
                  <c:v>10682</c:v>
                </c:pt>
                <c:pt idx="6">
                  <c:v>6047</c:v>
                </c:pt>
                <c:pt idx="7">
                  <c:v>5295</c:v>
                </c:pt>
                <c:pt idx="8">
                  <c:v>6289</c:v>
                </c:pt>
                <c:pt idx="9">
                  <c:v>6271</c:v>
                </c:pt>
                <c:pt idx="10">
                  <c:v>5810</c:v>
                </c:pt>
                <c:pt idx="11">
                  <c:v>7272</c:v>
                </c:pt>
                <c:pt idx="12">
                  <c:v>6244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7E-471A-A250-BBAF8D16AC0B}"/>
            </c:ext>
          </c:extLst>
        </c:ser>
        <c:ser>
          <c:idx val="2"/>
          <c:order val="2"/>
          <c:tx>
            <c:strRef>
              <c:f>'Graf-investice'!$A$323</c:f>
              <c:strCache>
                <c:ptCount val="1"/>
                <c:pt idx="0">
                  <c:v>Prostředky ICT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'Graf-investice'!$G$323:$S$323</c:f>
              <c:numCache>
                <c:formatCode>#,##0</c:formatCode>
                <c:ptCount val="13"/>
                <c:pt idx="0">
                  <c:v>14301</c:v>
                </c:pt>
                <c:pt idx="1">
                  <c:v>17511</c:v>
                </c:pt>
                <c:pt idx="2">
                  <c:v>21851</c:v>
                </c:pt>
                <c:pt idx="3">
                  <c:v>23176</c:v>
                </c:pt>
                <c:pt idx="4">
                  <c:v>20170</c:v>
                </c:pt>
                <c:pt idx="5">
                  <c:v>23972</c:v>
                </c:pt>
                <c:pt idx="6">
                  <c:v>30723</c:v>
                </c:pt>
                <c:pt idx="7">
                  <c:v>36153</c:v>
                </c:pt>
                <c:pt idx="8">
                  <c:v>38543</c:v>
                </c:pt>
                <c:pt idx="9">
                  <c:v>45012</c:v>
                </c:pt>
                <c:pt idx="10">
                  <c:v>49816</c:v>
                </c:pt>
                <c:pt idx="11">
                  <c:v>54306</c:v>
                </c:pt>
                <c:pt idx="12">
                  <c:v>54051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7E-471A-A250-BBAF8D16AC0B}"/>
            </c:ext>
          </c:extLst>
        </c:ser>
        <c:ser>
          <c:idx val="3"/>
          <c:order val="3"/>
          <c:tx>
            <c:strRef>
              <c:f>'Graf-investice'!$A$324</c:f>
              <c:strCache>
                <c:ptCount val="1"/>
                <c:pt idx="0">
                  <c:v>Ostatní stroje a zařízení</c:v>
                </c:pt>
              </c:strCache>
            </c:strRef>
          </c:tx>
          <c:spPr>
            <a:ln w="22225">
              <a:solidFill>
                <a:srgbClr val="F8A124"/>
              </a:solidFill>
            </a:ln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'Graf-investice'!$G$324:$S$324</c:f>
              <c:numCache>
                <c:formatCode>#,##0</c:formatCode>
                <c:ptCount val="13"/>
                <c:pt idx="0">
                  <c:v>114510</c:v>
                </c:pt>
                <c:pt idx="1">
                  <c:v>122442</c:v>
                </c:pt>
                <c:pt idx="2">
                  <c:v>146686</c:v>
                </c:pt>
                <c:pt idx="3">
                  <c:v>149524</c:v>
                </c:pt>
                <c:pt idx="4">
                  <c:v>106422</c:v>
                </c:pt>
                <c:pt idx="5">
                  <c:v>90552</c:v>
                </c:pt>
                <c:pt idx="6">
                  <c:v>111729</c:v>
                </c:pt>
                <c:pt idx="7">
                  <c:v>114205</c:v>
                </c:pt>
                <c:pt idx="8">
                  <c:v>116350</c:v>
                </c:pt>
                <c:pt idx="9">
                  <c:v>128936</c:v>
                </c:pt>
                <c:pt idx="10">
                  <c:v>147344</c:v>
                </c:pt>
                <c:pt idx="11">
                  <c:v>139989</c:v>
                </c:pt>
                <c:pt idx="12">
                  <c:v>138116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07E-471A-A250-BBAF8D16AC0B}"/>
            </c:ext>
          </c:extLst>
        </c:ser>
        <c:ser>
          <c:idx val="4"/>
          <c:order val="4"/>
          <c:tx>
            <c:strRef>
              <c:f>'Graf-investice'!$A$325</c:f>
              <c:strCache>
                <c:ptCount val="1"/>
                <c:pt idx="0">
                  <c:v>Výzkum a vývoj</c:v>
                </c:pt>
              </c:strCache>
            </c:strRef>
          </c:tx>
          <c:spPr>
            <a:ln w="22225">
              <a:solidFill>
                <a:srgbClr val="7DBB2D"/>
              </a:solidFill>
            </a:ln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'Graf-investice'!$G$325:$S$325</c:f>
              <c:numCache>
                <c:formatCode>#,##0</c:formatCode>
                <c:ptCount val="13"/>
                <c:pt idx="0">
                  <c:v>21137</c:v>
                </c:pt>
                <c:pt idx="1">
                  <c:v>21918</c:v>
                </c:pt>
                <c:pt idx="2">
                  <c:v>23294</c:v>
                </c:pt>
                <c:pt idx="3">
                  <c:v>23168</c:v>
                </c:pt>
                <c:pt idx="4">
                  <c:v>24285</c:v>
                </c:pt>
                <c:pt idx="5">
                  <c:v>24119</c:v>
                </c:pt>
                <c:pt idx="6">
                  <c:v>25074</c:v>
                </c:pt>
                <c:pt idx="7">
                  <c:v>31891</c:v>
                </c:pt>
                <c:pt idx="8">
                  <c:v>27297</c:v>
                </c:pt>
                <c:pt idx="9">
                  <c:v>28413</c:v>
                </c:pt>
                <c:pt idx="10">
                  <c:v>30514</c:v>
                </c:pt>
                <c:pt idx="11">
                  <c:v>30981</c:v>
                </c:pt>
                <c:pt idx="12">
                  <c:v>33770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07E-471A-A250-BBAF8D16AC0B}"/>
            </c:ext>
          </c:extLst>
        </c:ser>
        <c:ser>
          <c:idx val="5"/>
          <c:order val="5"/>
          <c:tx>
            <c:strRef>
              <c:f>'Graf-investice'!$A$326</c:f>
              <c:strCache>
                <c:ptCount val="1"/>
                <c:pt idx="0">
                  <c:v>Software a databáze</c:v>
                </c:pt>
              </c:strCache>
            </c:strRef>
          </c:tx>
          <c:spPr>
            <a:ln w="22225">
              <a:solidFill>
                <a:srgbClr val="A6A6A6"/>
              </a:solidFill>
            </a:ln>
          </c:spPr>
          <c:marker>
            <c:symbol val="none"/>
          </c:marker>
          <c:cat>
            <c:strRef>
              <c:f>'Graf-investice'!$G$320:$S$320</c:f>
              <c:strCach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strCache>
            </c:strRef>
          </c:cat>
          <c:val>
            <c:numRef>
              <c:f>'Graf-investice'!$G$326:$S$326</c:f>
              <c:numCache>
                <c:formatCode>#,##0</c:formatCode>
                <c:ptCount val="13"/>
                <c:pt idx="0">
                  <c:v>7923</c:v>
                </c:pt>
                <c:pt idx="1">
                  <c:v>8561</c:v>
                </c:pt>
                <c:pt idx="2">
                  <c:v>8258</c:v>
                </c:pt>
                <c:pt idx="3">
                  <c:v>9819</c:v>
                </c:pt>
                <c:pt idx="4">
                  <c:v>8024</c:v>
                </c:pt>
                <c:pt idx="5">
                  <c:v>7305</c:v>
                </c:pt>
                <c:pt idx="6">
                  <c:v>6989</c:v>
                </c:pt>
                <c:pt idx="7">
                  <c:v>7532</c:v>
                </c:pt>
                <c:pt idx="8">
                  <c:v>7467</c:v>
                </c:pt>
                <c:pt idx="9">
                  <c:v>9430</c:v>
                </c:pt>
                <c:pt idx="10">
                  <c:v>11606</c:v>
                </c:pt>
                <c:pt idx="11">
                  <c:v>12231</c:v>
                </c:pt>
                <c:pt idx="12">
                  <c:v>12954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07E-471A-A250-BBAF8D16AC0B}"/>
            </c:ext>
          </c:extLst>
        </c:ser>
        <c:marker val="1"/>
        <c:axId val="143960704"/>
        <c:axId val="144032128"/>
      </c:lineChart>
      <c:catAx>
        <c:axId val="1439607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4032128"/>
        <c:crosses val="autoZero"/>
        <c:auto val="1"/>
        <c:lblAlgn val="ctr"/>
        <c:lblOffset val="20"/>
      </c:catAx>
      <c:valAx>
        <c:axId val="144032128"/>
        <c:scaling>
          <c:orientation val="minMax"/>
        </c:scaling>
        <c:axPos val="l"/>
        <c:majorGridlines>
          <c:spPr>
            <a:ln w="9525">
              <a:solidFill>
                <a:srgbClr val="BFBFBF"/>
              </a:solidFill>
            </a:ln>
          </c:spPr>
        </c:majorGridlines>
        <c:numFmt formatCode="#,##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3960704"/>
        <c:crosses val="autoZero"/>
        <c:crossBetween val="between"/>
      </c:valAx>
      <c:spPr>
        <a:ln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0.10133592612664309"/>
          <c:y val="0.87050430193552009"/>
          <c:w val="0.88246974188954452"/>
          <c:h val="0.11817143177958372"/>
        </c:manualLayout>
      </c:layout>
      <c:spPr>
        <a:ln>
          <a:solidFill>
            <a:schemeClr val="tx1">
              <a:lumMod val="95000"/>
              <a:lumOff val="5000"/>
            </a:schemeClr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340225924121491E-2"/>
          <c:y val="1.6434241361665387E-2"/>
          <c:w val="0.93179896008611662"/>
          <c:h val="0.71612175772188846"/>
        </c:manualLayout>
      </c:layout>
      <c:barChart>
        <c:barDir val="col"/>
        <c:grouping val="stacked"/>
        <c:ser>
          <c:idx val="0"/>
          <c:order val="0"/>
          <c:tx>
            <c:strRef>
              <c:f>'GRAF-příspěvky'!$A$35</c:f>
              <c:strCache>
                <c:ptCount val="1"/>
                <c:pt idx="0">
                  <c:v>Těžba a dobývání (5-9)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'GRAF-příspěvky'!$M$35:$Y$35</c:f>
              <c:numCache>
                <c:formatCode>0.0</c:formatCode>
                <c:ptCount val="13"/>
                <c:pt idx="0">
                  <c:v>-0.53872284220048872</c:v>
                </c:pt>
                <c:pt idx="1">
                  <c:v>0.53918285426628643</c:v>
                </c:pt>
                <c:pt idx="2">
                  <c:v>-0.14355260812137871</c:v>
                </c:pt>
                <c:pt idx="3">
                  <c:v>-0.46428991126498192</c:v>
                </c:pt>
                <c:pt idx="4">
                  <c:v>-0.41406584503476596</c:v>
                </c:pt>
                <c:pt idx="5">
                  <c:v>-0.153943187821522</c:v>
                </c:pt>
                <c:pt idx="6">
                  <c:v>-0.23277299398856663</c:v>
                </c:pt>
                <c:pt idx="7">
                  <c:v>-6.5491516548341996E-2</c:v>
                </c:pt>
                <c:pt idx="8">
                  <c:v>-0.74142780721283463</c:v>
                </c:pt>
                <c:pt idx="9">
                  <c:v>0.87270315570301593</c:v>
                </c:pt>
                <c:pt idx="10">
                  <c:v>-7.4590905275029179E-2</c:v>
                </c:pt>
                <c:pt idx="11">
                  <c:v>-0.36650357574404679</c:v>
                </c:pt>
                <c:pt idx="12">
                  <c:v>-0.20914187152791774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0-428A-B327-137E56B968BC}"/>
            </c:ext>
          </c:extLst>
        </c:ser>
        <c:ser>
          <c:idx val="1"/>
          <c:order val="1"/>
          <c:tx>
            <c:strRef>
              <c:f>'GRAF-příspěvky'!$A$36</c:f>
              <c:strCache>
                <c:ptCount val="1"/>
                <c:pt idx="0">
                  <c:v>Potrativny, nápoje, tabák (10 až 12)</c:v>
                </c:pt>
              </c:strCache>
            </c:strRef>
          </c:tx>
          <c:spPr>
            <a:solidFill>
              <a:srgbClr val="0085BC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'GRAF-příspěvky'!$M$36:$Y$36</c:f>
              <c:numCache>
                <c:formatCode>0.0</c:formatCode>
                <c:ptCount val="13"/>
                <c:pt idx="0">
                  <c:v>1.4053331953594035</c:v>
                </c:pt>
                <c:pt idx="1">
                  <c:v>0.9376960229227107</c:v>
                </c:pt>
                <c:pt idx="2">
                  <c:v>-0.80404483138000216</c:v>
                </c:pt>
                <c:pt idx="3">
                  <c:v>-0.36180150412483092</c:v>
                </c:pt>
                <c:pt idx="4">
                  <c:v>-0.16026938606572402</c:v>
                </c:pt>
                <c:pt idx="5">
                  <c:v>0.26334719011453905</c:v>
                </c:pt>
                <c:pt idx="6">
                  <c:v>0.5406012926027618</c:v>
                </c:pt>
                <c:pt idx="7">
                  <c:v>-0.43814454106005146</c:v>
                </c:pt>
                <c:pt idx="8">
                  <c:v>-0.44041740303350752</c:v>
                </c:pt>
                <c:pt idx="9">
                  <c:v>9.7133805366165948E-2</c:v>
                </c:pt>
                <c:pt idx="10">
                  <c:v>0.29564730498801761</c:v>
                </c:pt>
                <c:pt idx="11">
                  <c:v>0.46036409352952695</c:v>
                </c:pt>
                <c:pt idx="12">
                  <c:v>0.74941220415203347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A0-428A-B327-137E56B968BC}"/>
            </c:ext>
          </c:extLst>
        </c:ser>
        <c:ser>
          <c:idx val="2"/>
          <c:order val="2"/>
          <c:tx>
            <c:strRef>
              <c:f>'GRAF-příspěvky'!$A$37</c:f>
              <c:strCache>
                <c:ptCount val="1"/>
                <c:pt idx="0">
                  <c:v>(Petro)chemie, farmacie (19 až 21)</c:v>
                </c:pt>
              </c:strCache>
            </c:strRef>
          </c:tx>
          <c:spPr>
            <a:solidFill>
              <a:srgbClr val="BCA6E8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'GRAF-příspěvky'!$M$37:$Y$37</c:f>
              <c:numCache>
                <c:formatCode>0.0</c:formatCode>
                <c:ptCount val="13"/>
                <c:pt idx="0">
                  <c:v>0.84070664344364265</c:v>
                </c:pt>
                <c:pt idx="1">
                  <c:v>1.7544123925907402</c:v>
                </c:pt>
                <c:pt idx="2">
                  <c:v>-0.19494440400641999</c:v>
                </c:pt>
                <c:pt idx="3">
                  <c:v>1.346604203352443</c:v>
                </c:pt>
                <c:pt idx="4">
                  <c:v>0.44999660955752507</c:v>
                </c:pt>
                <c:pt idx="5">
                  <c:v>-0.77634480717281174</c:v>
                </c:pt>
                <c:pt idx="6">
                  <c:v>-0.28155078742030881</c:v>
                </c:pt>
                <c:pt idx="7">
                  <c:v>0.18703339234761818</c:v>
                </c:pt>
                <c:pt idx="8">
                  <c:v>-5.0556931676339019E-2</c:v>
                </c:pt>
                <c:pt idx="9">
                  <c:v>1.1306864792451481</c:v>
                </c:pt>
                <c:pt idx="10">
                  <c:v>-0.33244183339062455</c:v>
                </c:pt>
                <c:pt idx="11">
                  <c:v>-0.32787636670419279</c:v>
                </c:pt>
                <c:pt idx="12">
                  <c:v>0.68263704311332962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A0-428A-B327-137E56B968BC}"/>
            </c:ext>
          </c:extLst>
        </c:ser>
        <c:ser>
          <c:idx val="3"/>
          <c:order val="3"/>
          <c:tx>
            <c:strRef>
              <c:f>'GRAF-příspěvky'!$A$38</c:f>
              <c:strCache>
                <c:ptCount val="1"/>
                <c:pt idx="0">
                  <c:v>Hutnictví a kovovýroba (24+25)</c:v>
                </c:pt>
              </c:strCache>
            </c:strRef>
          </c:tx>
          <c:spPr>
            <a:solidFill>
              <a:srgbClr val="48AEE7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'GRAF-příspěvky'!$M$38:$Y$38</c:f>
              <c:numCache>
                <c:formatCode>0.0</c:formatCode>
                <c:ptCount val="13"/>
                <c:pt idx="0">
                  <c:v>1.9134998941941552</c:v>
                </c:pt>
                <c:pt idx="1">
                  <c:v>1.5203093998185131</c:v>
                </c:pt>
                <c:pt idx="2">
                  <c:v>-0.89000237375045077</c:v>
                </c:pt>
                <c:pt idx="3">
                  <c:v>-1.1214380405391828</c:v>
                </c:pt>
                <c:pt idx="4">
                  <c:v>-1.5654139642198261</c:v>
                </c:pt>
                <c:pt idx="5">
                  <c:v>1.4285895869942342</c:v>
                </c:pt>
                <c:pt idx="6">
                  <c:v>0.72086087679408373</c:v>
                </c:pt>
                <c:pt idx="7">
                  <c:v>4.3504896285663695E-2</c:v>
                </c:pt>
                <c:pt idx="8">
                  <c:v>0.47315481623638278</c:v>
                </c:pt>
                <c:pt idx="9">
                  <c:v>0.93972641590032369</c:v>
                </c:pt>
                <c:pt idx="10">
                  <c:v>1.036920531637028</c:v>
                </c:pt>
                <c:pt idx="11">
                  <c:v>0.67273005482231163</c:v>
                </c:pt>
                <c:pt idx="12">
                  <c:v>0.20579966382369624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9A0-428A-B327-137E56B968BC}"/>
            </c:ext>
          </c:extLst>
        </c:ser>
        <c:ser>
          <c:idx val="4"/>
          <c:order val="4"/>
          <c:tx>
            <c:strRef>
              <c:f>'GRAF-příspěvky'!$A$39</c:f>
              <c:strCache>
                <c:ptCount val="1"/>
                <c:pt idx="0">
                  <c:v>Výroba PC, elektronic. a optic. přístr.(26)</c:v>
                </c:pt>
              </c:strCache>
            </c:strRef>
          </c:tx>
          <c:spPr>
            <a:solidFill>
              <a:srgbClr val="FDDEB3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'GRAF-příspěvky'!$M$39:$Y$39</c:f>
              <c:numCache>
                <c:formatCode>0.0</c:formatCode>
                <c:ptCount val="13"/>
                <c:pt idx="0">
                  <c:v>1.012720535400772</c:v>
                </c:pt>
                <c:pt idx="1">
                  <c:v>1.1858100206055526</c:v>
                </c:pt>
                <c:pt idx="2">
                  <c:v>1.1519771568379282</c:v>
                </c:pt>
                <c:pt idx="3">
                  <c:v>6.3500762580769365E-2</c:v>
                </c:pt>
                <c:pt idx="4">
                  <c:v>-0.61924890691254064</c:v>
                </c:pt>
                <c:pt idx="5">
                  <c:v>1.8947359842935787</c:v>
                </c:pt>
                <c:pt idx="6">
                  <c:v>0.18855084620042645</c:v>
                </c:pt>
                <c:pt idx="7">
                  <c:v>0.37317017130766611</c:v>
                </c:pt>
                <c:pt idx="8">
                  <c:v>-0.68346489361890062</c:v>
                </c:pt>
                <c:pt idx="9">
                  <c:v>0.58792018129723778</c:v>
                </c:pt>
                <c:pt idx="10">
                  <c:v>0.39512396785848936</c:v>
                </c:pt>
                <c:pt idx="11">
                  <c:v>0.46107292623011792</c:v>
                </c:pt>
                <c:pt idx="12">
                  <c:v>0.71790852928359938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9A0-428A-B327-137E56B968BC}"/>
            </c:ext>
          </c:extLst>
        </c:ser>
        <c:ser>
          <c:idx val="5"/>
          <c:order val="5"/>
          <c:tx>
            <c:strRef>
              <c:f>'GRAF-příspěvky'!$A$40</c:f>
              <c:strCache>
                <c:ptCount val="1"/>
                <c:pt idx="0">
                  <c:v>Strojírenství, oprava strojů a zaříz. (28+33)</c:v>
                </c:pt>
              </c:strCache>
            </c:strRef>
          </c:tx>
          <c:spPr>
            <a:solidFill>
              <a:srgbClr val="F8A124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'GRAF-příspěvky'!$M$40:$Y$40</c:f>
              <c:numCache>
                <c:formatCode>0.0</c:formatCode>
                <c:ptCount val="13"/>
                <c:pt idx="0">
                  <c:v>2.0266197012787384</c:v>
                </c:pt>
                <c:pt idx="1">
                  <c:v>2.7357762240205807</c:v>
                </c:pt>
                <c:pt idx="2">
                  <c:v>1.9779166350659079</c:v>
                </c:pt>
                <c:pt idx="3">
                  <c:v>1.1113761454579738</c:v>
                </c:pt>
                <c:pt idx="4">
                  <c:v>-2.2289409930914226</c:v>
                </c:pt>
                <c:pt idx="5">
                  <c:v>0.97258802084699358</c:v>
                </c:pt>
                <c:pt idx="6">
                  <c:v>1.2006300668693792</c:v>
                </c:pt>
                <c:pt idx="7">
                  <c:v>0.33089166188734848</c:v>
                </c:pt>
                <c:pt idx="8">
                  <c:v>-0.14499432386958541</c:v>
                </c:pt>
                <c:pt idx="9">
                  <c:v>0.26962857140340951</c:v>
                </c:pt>
                <c:pt idx="10">
                  <c:v>-2.7015061781973655E-3</c:v>
                </c:pt>
                <c:pt idx="11">
                  <c:v>-0.27304781519069082</c:v>
                </c:pt>
                <c:pt idx="12">
                  <c:v>0.80089581097957097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9A0-428A-B327-137E56B968BC}"/>
            </c:ext>
          </c:extLst>
        </c:ser>
        <c:ser>
          <c:idx val="6"/>
          <c:order val="6"/>
          <c:tx>
            <c:strRef>
              <c:f>'GRAF-příspěvky'!$A$41</c:f>
              <c:strCache>
                <c:ptCount val="1"/>
                <c:pt idx="0">
                  <c:v>Výroba dopravních prostředků (29+30)</c:v>
                </c:pt>
              </c:strCache>
            </c:strRef>
          </c:tx>
          <c:spPr>
            <a:solidFill>
              <a:srgbClr val="BD1B21"/>
            </a:solidFill>
            <a:ln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'GRAF-příspěvky'!$M$41:$Y$41</c:f>
              <c:numCache>
                <c:formatCode>0.0</c:formatCode>
                <c:ptCount val="13"/>
                <c:pt idx="0">
                  <c:v>2.568039196991859</c:v>
                </c:pt>
                <c:pt idx="1">
                  <c:v>3.9491850054544071</c:v>
                </c:pt>
                <c:pt idx="2">
                  <c:v>2.483228911295603</c:v>
                </c:pt>
                <c:pt idx="3">
                  <c:v>3.2597169655632627</c:v>
                </c:pt>
                <c:pt idx="4">
                  <c:v>-2.8794752299556334</c:v>
                </c:pt>
                <c:pt idx="5">
                  <c:v>3.8042370277672655</c:v>
                </c:pt>
                <c:pt idx="6">
                  <c:v>3.8737527185804002</c:v>
                </c:pt>
                <c:pt idx="7">
                  <c:v>-1.9820842075640399</c:v>
                </c:pt>
                <c:pt idx="8">
                  <c:v>-0.77761794963692255</c:v>
                </c:pt>
                <c:pt idx="9">
                  <c:v>0.50891750992845008</c:v>
                </c:pt>
                <c:pt idx="10">
                  <c:v>1.185051470460122</c:v>
                </c:pt>
                <c:pt idx="11">
                  <c:v>1.6496943079087436</c:v>
                </c:pt>
                <c:pt idx="12">
                  <c:v>3.1848208707625769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9A0-428A-B327-137E56B968BC}"/>
            </c:ext>
          </c:extLst>
        </c:ser>
        <c:ser>
          <c:idx val="7"/>
          <c:order val="7"/>
          <c:tx>
            <c:strRef>
              <c:f>'GRAF-příspěvky'!$A$42</c:f>
              <c:strCache>
                <c:ptCount val="1"/>
                <c:pt idx="0">
                  <c:v>Gumárenství, plastik., elektrotech. (22+27)</c:v>
                </c:pt>
              </c:strCache>
            </c:strRef>
          </c:tx>
          <c:spPr>
            <a:solidFill>
              <a:srgbClr val="E8AFB2"/>
            </a:solidFill>
            <a:ln w="28575"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'GRAF-příspěvky'!$M$42:$Y$42</c:f>
              <c:numCache>
                <c:formatCode>0.0</c:formatCode>
                <c:ptCount val="13"/>
                <c:pt idx="0">
                  <c:v>1.2090077970760378</c:v>
                </c:pt>
                <c:pt idx="1">
                  <c:v>2.8559931336695583</c:v>
                </c:pt>
                <c:pt idx="2">
                  <c:v>1.3408928256593546</c:v>
                </c:pt>
                <c:pt idx="3">
                  <c:v>1.1212828041210341</c:v>
                </c:pt>
                <c:pt idx="4">
                  <c:v>-0.2940746513788588</c:v>
                </c:pt>
                <c:pt idx="5">
                  <c:v>1.327517356882993</c:v>
                </c:pt>
                <c:pt idx="6">
                  <c:v>1.4314956927236548</c:v>
                </c:pt>
                <c:pt idx="7">
                  <c:v>-0.61489439768028398</c:v>
                </c:pt>
                <c:pt idx="8">
                  <c:v>-7.8026048406887774E-2</c:v>
                </c:pt>
                <c:pt idx="9">
                  <c:v>1.0306056247594417</c:v>
                </c:pt>
                <c:pt idx="10">
                  <c:v>0.96491122751385539</c:v>
                </c:pt>
                <c:pt idx="11">
                  <c:v>-0.21091137673852794</c:v>
                </c:pt>
                <c:pt idx="12">
                  <c:v>1.545197036668118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9A0-428A-B327-137E56B968BC}"/>
            </c:ext>
          </c:extLst>
        </c:ser>
        <c:ser>
          <c:idx val="8"/>
          <c:order val="8"/>
          <c:tx>
            <c:strRef>
              <c:f>'GRAF-příspěvky'!$A$43</c:f>
              <c:strCache>
                <c:ptCount val="1"/>
                <c:pt idx="0">
                  <c:v>Energetika a vodní hospodářství (35 až 39)</c:v>
                </c:pt>
              </c:strCache>
            </c:strRef>
          </c:tx>
          <c:spPr>
            <a:solidFill>
              <a:srgbClr val="7DBB2D"/>
            </a:solidFill>
            <a:ln w="28575"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'GRAF-příspěvky'!$M$43:$Y$43</c:f>
              <c:numCache>
                <c:formatCode>0.0</c:formatCode>
                <c:ptCount val="13"/>
                <c:pt idx="0">
                  <c:v>3.5891082777369653E-2</c:v>
                </c:pt>
                <c:pt idx="1">
                  <c:v>7.7036339791629813E-2</c:v>
                </c:pt>
                <c:pt idx="2">
                  <c:v>5.4916175090197403E-2</c:v>
                </c:pt>
                <c:pt idx="3">
                  <c:v>1.8082793965365589</c:v>
                </c:pt>
                <c:pt idx="4">
                  <c:v>-1.6249672183841133</c:v>
                </c:pt>
                <c:pt idx="5">
                  <c:v>-1.968625443523158</c:v>
                </c:pt>
                <c:pt idx="6">
                  <c:v>-1.1278223086403976</c:v>
                </c:pt>
                <c:pt idx="7">
                  <c:v>-0.20071707697623842</c:v>
                </c:pt>
                <c:pt idx="8">
                  <c:v>-1.5812725654873621</c:v>
                </c:pt>
                <c:pt idx="9">
                  <c:v>-0.70395226943039868</c:v>
                </c:pt>
                <c:pt idx="10">
                  <c:v>-9.0081700148733124E-2</c:v>
                </c:pt>
                <c:pt idx="11">
                  <c:v>-0.63514673295572566</c:v>
                </c:pt>
                <c:pt idx="12">
                  <c:v>0.30632465549253274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9A0-428A-B327-137E56B968BC}"/>
            </c:ext>
          </c:extLst>
        </c:ser>
        <c:ser>
          <c:idx val="9"/>
          <c:order val="9"/>
          <c:tx>
            <c:strRef>
              <c:f>'GRAF-příspěvky'!$A$44</c:f>
              <c:strCache>
                <c:ptCount val="1"/>
                <c:pt idx="0">
                  <c:v>Ostatní průmyslová odvětví</c:v>
                </c:pt>
              </c:strCache>
            </c:strRef>
          </c:tx>
          <c:spPr>
            <a:solidFill>
              <a:srgbClr val="A6A6A6"/>
            </a:solidFill>
            <a:ln w="28575">
              <a:noFill/>
            </a:ln>
          </c:spP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'GRAF-příspěvky'!$M$44:$Y$44</c:f>
              <c:numCache>
                <c:formatCode>0.0</c:formatCode>
                <c:ptCount val="13"/>
                <c:pt idx="0">
                  <c:v>1.7985883641488123</c:v>
                </c:pt>
                <c:pt idx="1">
                  <c:v>1.8648031772065781</c:v>
                </c:pt>
                <c:pt idx="2">
                  <c:v>0.46800263180963914</c:v>
                </c:pt>
                <c:pt idx="3">
                  <c:v>1.3708297894334038</c:v>
                </c:pt>
                <c:pt idx="4">
                  <c:v>-2.1890206905054401</c:v>
                </c:pt>
                <c:pt idx="5">
                  <c:v>-0.34134216570437725</c:v>
                </c:pt>
                <c:pt idx="6">
                  <c:v>0.25551949960393305</c:v>
                </c:pt>
                <c:pt idx="7">
                  <c:v>-0.44389050772469907</c:v>
                </c:pt>
                <c:pt idx="8">
                  <c:v>-0.47984505841206054</c:v>
                </c:pt>
                <c:pt idx="9">
                  <c:v>0.39788034416883711</c:v>
                </c:pt>
                <c:pt idx="10">
                  <c:v>0.77196653746913912</c:v>
                </c:pt>
                <c:pt idx="11">
                  <c:v>0.49238916546924449</c:v>
                </c:pt>
                <c:pt idx="12">
                  <c:v>0.99736888940971258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9A0-428A-B327-137E56B968BC}"/>
            </c:ext>
          </c:extLst>
        </c:ser>
        <c:gapWidth val="43"/>
        <c:overlap val="100"/>
        <c:axId val="144818176"/>
        <c:axId val="144820096"/>
      </c:barChart>
      <c:lineChart>
        <c:grouping val="standard"/>
        <c:ser>
          <c:idx val="10"/>
          <c:order val="10"/>
          <c:tx>
            <c:strRef>
              <c:f>'GRAF-příspěvky'!$A$45</c:f>
              <c:strCache>
                <c:ptCount val="1"/>
                <c:pt idx="0">
                  <c:v>Průmysl celkem (sekce B až E)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7"/>
            <c:spPr>
              <a:solidFill>
                <a:sysClr val="window" lastClr="FFFFFF"/>
              </a:solidFill>
              <a:ln>
                <a:solidFill>
                  <a:schemeClr val="tx1">
                    <a:lumMod val="95000"/>
                    <a:lumOff val="5000"/>
                  </a:schemeClr>
                </a:solidFill>
              </a:ln>
            </c:spPr>
          </c:marker>
          <c:cat>
            <c:numRef>
              <c:f>'GRAF-příspěvky'!$M$34:$Y$34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'GRAF-příspěvky'!$M$45:$Y$45</c:f>
              <c:numCache>
                <c:formatCode>0.0</c:formatCode>
                <c:ptCount val="13"/>
                <c:pt idx="0">
                  <c:v>12.271683568470323</c:v>
                </c:pt>
                <c:pt idx="1">
                  <c:v>17.420204570346407</c:v>
                </c:pt>
                <c:pt idx="2">
                  <c:v>5.4443901185003813</c:v>
                </c:pt>
                <c:pt idx="3">
                  <c:v>8.134060611116448</c:v>
                </c:pt>
                <c:pt idx="4">
                  <c:v>-11.525480275990876</c:v>
                </c:pt>
                <c:pt idx="5">
                  <c:v>6.4507595626777379</c:v>
                </c:pt>
                <c:pt idx="6">
                  <c:v>6.5692649033253634</c:v>
                </c:pt>
                <c:pt idx="7">
                  <c:v>-2.8106221257253567</c:v>
                </c:pt>
                <c:pt idx="8">
                  <c:v>-4.5044681651180154</c:v>
                </c:pt>
                <c:pt idx="9">
                  <c:v>5.1312498183416846</c:v>
                </c:pt>
                <c:pt idx="10">
                  <c:v>4.1498050949340834</c:v>
                </c:pt>
                <c:pt idx="11">
                  <c:v>1.922764680626768</c:v>
                </c:pt>
                <c:pt idx="12">
                  <c:v>8.9812228321572078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9A0-428A-B327-137E56B968BC}"/>
            </c:ext>
          </c:extLst>
        </c:ser>
        <c:marker val="1"/>
        <c:axId val="144818176"/>
        <c:axId val="144820096"/>
      </c:lineChart>
      <c:catAx>
        <c:axId val="144818176"/>
        <c:scaling>
          <c:orientation val="minMax"/>
        </c:scaling>
        <c:axPos val="b"/>
        <c:numFmt formatCode="General" sourceLinked="1"/>
        <c:tickLblPos val="low"/>
        <c:spPr>
          <a:noFill/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4820096"/>
        <c:crosses val="autoZero"/>
        <c:auto val="1"/>
        <c:lblAlgn val="ctr"/>
        <c:lblOffset val="0"/>
      </c:catAx>
      <c:valAx>
        <c:axId val="144820096"/>
        <c:scaling>
          <c:orientation val="minMax"/>
          <c:max val="18"/>
          <c:min val="-12"/>
        </c:scaling>
        <c:axPos val="l"/>
        <c:majorGridlines>
          <c:spPr>
            <a:ln w="6350">
              <a:solidFill>
                <a:srgbClr val="BFBFBF"/>
              </a:solidFill>
            </a:ln>
          </c:spPr>
        </c:majorGridlines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4818176"/>
        <c:crosses val="autoZero"/>
        <c:crossBetween val="between"/>
        <c:majorUnit val="2"/>
      </c:valAx>
      <c:spPr>
        <a:ln w="6350">
          <a:solidFill>
            <a:sysClr val="windowText" lastClr="000000">
              <a:lumMod val="95000"/>
              <a:lumOff val="5000"/>
            </a:sysClr>
          </a:solidFill>
        </a:ln>
      </c:spPr>
    </c:plotArea>
    <c:legend>
      <c:legendPos val="r"/>
      <c:layout>
        <c:manualLayout>
          <c:xMode val="edge"/>
          <c:yMode val="edge"/>
          <c:x val="5.7925442681670845E-2"/>
          <c:y val="0.77986228427736048"/>
          <c:w val="0.92580934578479601"/>
          <c:h val="0.20952475578595742"/>
        </c:manualLayout>
      </c:layout>
      <c:spPr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9.2679912060213365E-2"/>
          <c:y val="1.6839105901964149E-2"/>
          <c:w val="0.87910494748351142"/>
          <c:h val="0.87771655328798182"/>
        </c:manualLayout>
      </c:layout>
      <c:scatterChart>
        <c:scatterStyle val="lineMarker"/>
        <c:ser>
          <c:idx val="0"/>
          <c:order val="0"/>
          <c:tx>
            <c:strRef>
              <c:f>'Graf-míra investic a zisku'!$C$56</c:f>
              <c:strCache>
                <c:ptCount val="1"/>
                <c:pt idx="0">
                  <c:v>Míra hrubého zisku nefinančních podniků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8"/>
            <c:spPr>
              <a:solidFill>
                <a:schemeClr val="bg2">
                  <a:lumMod val="75000"/>
                </a:schemeClr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dPt>
            <c:idx val="0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0-1670-4E79-8146-0C63D33D5102}"/>
              </c:ext>
            </c:extLst>
          </c:dPt>
          <c:dPt>
            <c:idx val="1"/>
            <c:marker>
              <c:spPr>
                <a:solidFill>
                  <a:srgbClr val="48AEE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1-1670-4E79-8146-0C63D33D5102}"/>
              </c:ext>
            </c:extLst>
          </c:dPt>
          <c:dPt>
            <c:idx val="2"/>
            <c:marker>
              <c:spPr>
                <a:solidFill>
                  <a:srgbClr val="FCCD8E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2-1670-4E79-8146-0C63D33D5102}"/>
              </c:ext>
            </c:extLst>
          </c:dPt>
          <c:dPt>
            <c:idx val="3"/>
            <c:marker>
              <c:symbol val="square"/>
              <c:size val="9"/>
              <c:spPr>
                <a:solidFill>
                  <a:srgbClr val="D2E7B6"/>
                </a:solidFill>
                <a:ln w="12700">
                  <a:solidFill>
                    <a:schemeClr val="tx1">
                      <a:lumMod val="95000"/>
                      <a:lumOff val="5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3-1670-4E79-8146-0C63D33D5102}"/>
              </c:ext>
            </c:extLst>
          </c:dPt>
          <c:dPt>
            <c:idx val="4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4-1670-4E79-8146-0C63D33D5102}"/>
              </c:ext>
            </c:extLst>
          </c:dPt>
          <c:dPt>
            <c:idx val="5"/>
            <c:marker>
              <c:spPr>
                <a:solidFill>
                  <a:srgbClr val="48AEE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5-1670-4E79-8146-0C63D33D5102}"/>
              </c:ext>
            </c:extLst>
          </c:dPt>
          <c:dPt>
            <c:idx val="6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6-1670-4E79-8146-0C63D33D5102}"/>
              </c:ext>
            </c:extLst>
          </c:dPt>
          <c:dPt>
            <c:idx val="7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7-1670-4E79-8146-0C63D33D5102}"/>
              </c:ext>
            </c:extLst>
          </c:dPt>
          <c:dPt>
            <c:idx val="8"/>
            <c:marker>
              <c:spPr>
                <a:solidFill>
                  <a:srgbClr val="FCCD8E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8-1670-4E79-8146-0C63D33D5102}"/>
              </c:ext>
            </c:extLst>
          </c:dPt>
          <c:dPt>
            <c:idx val="9"/>
            <c:marker>
              <c:spPr>
                <a:solidFill>
                  <a:srgbClr val="0071BD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9-1670-4E79-8146-0C63D33D5102}"/>
              </c:ext>
            </c:extLst>
          </c:dPt>
          <c:dPt>
            <c:idx val="10"/>
            <c:marker>
              <c:spPr>
                <a:solidFill>
                  <a:srgbClr val="FFFF00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A-1670-4E79-8146-0C63D33D5102}"/>
              </c:ext>
            </c:extLst>
          </c:dPt>
          <c:dPt>
            <c:idx val="11"/>
            <c:marker>
              <c:spPr>
                <a:solidFill>
                  <a:srgbClr val="F8A124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B-1670-4E79-8146-0C63D33D5102}"/>
              </c:ext>
            </c:extLst>
          </c:dPt>
          <c:dPt>
            <c:idx val="12"/>
            <c:marker>
              <c:spPr>
                <a:solidFill>
                  <a:srgbClr val="FFFF00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C-1670-4E79-8146-0C63D33D5102}"/>
              </c:ext>
            </c:extLst>
          </c:dPt>
          <c:dPt>
            <c:idx val="13"/>
            <c:marker>
              <c:spPr>
                <a:solidFill>
                  <a:srgbClr val="FCCD8E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D-1670-4E79-8146-0C63D33D5102}"/>
              </c:ext>
            </c:extLst>
          </c:dPt>
          <c:dPt>
            <c:idx val="14"/>
            <c:marker>
              <c:spPr>
                <a:solidFill>
                  <a:srgbClr val="D2E7B6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E-1670-4E79-8146-0C63D33D5102}"/>
              </c:ext>
            </c:extLst>
          </c:dPt>
          <c:dPt>
            <c:idx val="15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0F-1670-4E79-8146-0C63D33D5102}"/>
              </c:ext>
            </c:extLst>
          </c:dPt>
          <c:dPt>
            <c:idx val="16"/>
            <c:marker>
              <c:spPr>
                <a:solidFill>
                  <a:srgbClr val="FCCD8E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0-1670-4E79-8146-0C63D33D5102}"/>
              </c:ext>
            </c:extLst>
          </c:dPt>
          <c:dPt>
            <c:idx val="17"/>
            <c:marker>
              <c:spPr>
                <a:solidFill>
                  <a:srgbClr val="FCCD8E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1-1670-4E79-8146-0C63D33D5102}"/>
              </c:ext>
            </c:extLst>
          </c:dPt>
          <c:dPt>
            <c:idx val="18"/>
            <c:marker>
              <c:spPr>
                <a:solidFill>
                  <a:srgbClr val="D2E7B6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2-1670-4E79-8146-0C63D33D5102}"/>
              </c:ext>
            </c:extLst>
          </c:dPt>
          <c:dPt>
            <c:idx val="19"/>
            <c:marker>
              <c:spPr>
                <a:solidFill>
                  <a:srgbClr val="BD1B21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3-1670-4E79-8146-0C63D33D5102}"/>
              </c:ext>
            </c:extLst>
          </c:dPt>
          <c:dPt>
            <c:idx val="20"/>
            <c:marker>
              <c:spPr>
                <a:solidFill>
                  <a:srgbClr val="0071BD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4-1670-4E79-8146-0C63D33D5102}"/>
              </c:ext>
            </c:extLst>
          </c:dPt>
          <c:dPt>
            <c:idx val="21"/>
            <c:marker>
              <c:spPr>
                <a:solidFill>
                  <a:srgbClr val="0071BD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5-1670-4E79-8146-0C63D33D5102}"/>
              </c:ext>
            </c:extLst>
          </c:dPt>
          <c:dPt>
            <c:idx val="22"/>
            <c:marker>
              <c:spPr>
                <a:solidFill>
                  <a:srgbClr val="D2E7B6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6-1670-4E79-8146-0C63D33D5102}"/>
              </c:ext>
            </c:extLst>
          </c:dPt>
          <c:dPt>
            <c:idx val="23"/>
            <c:marker>
              <c:spPr>
                <a:solidFill>
                  <a:srgbClr val="0071BD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7-1670-4E79-8146-0C63D33D5102}"/>
              </c:ext>
            </c:extLst>
          </c:dPt>
          <c:dPt>
            <c:idx val="24"/>
            <c:marker>
              <c:spPr>
                <a:solidFill>
                  <a:srgbClr val="0071BC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8-1670-4E79-8146-0C63D33D5102}"/>
              </c:ext>
            </c:extLst>
          </c:dPt>
          <c:dPt>
            <c:idx val="25"/>
            <c:marker>
              <c:spPr>
                <a:solidFill>
                  <a:srgbClr val="BFE3F7"/>
                </a:solidFill>
                <a:ln w="6350">
                  <a:solidFill>
                    <a:schemeClr val="bg1">
                      <a:lumMod val="50000"/>
                    </a:schemeClr>
                  </a:solidFill>
                </a:ln>
              </c:spPr>
            </c:marker>
            <c:extLst xmlns:c16r2="http://schemas.microsoft.com/office/drawing/2015/06/chart">
              <c:ext xmlns:c16="http://schemas.microsoft.com/office/drawing/2014/chart" uri="{C3380CC4-5D6E-409C-BE32-E72D297353CC}">
                <c16:uniqueId val="{00000019-1670-4E79-8146-0C63D33D5102}"/>
              </c:ext>
            </c:extLst>
          </c:dPt>
          <c:dLbls>
            <c:dLbl>
              <c:idx val="0"/>
              <c:layout>
                <c:manualLayout>
                  <c:x val="-1.8526399433990526E-2"/>
                  <c:y val="2.52385169650638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Těžba a </a:t>
                    </a:r>
                    <a:endParaRPr lang="cs-CZ"/>
                  </a:p>
                  <a:p>
                    <a:r>
                      <a:rPr lang="en-US"/>
                      <a:t>dobývání</a:t>
                    </a:r>
                    <a:r>
                      <a:rPr lang="cs-CZ"/>
                      <a:t> (B)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70-4E79-8146-0C63D33D5102}"/>
                </c:ext>
              </c:extLst>
            </c:dLbl>
            <c:dLbl>
              <c:idx val="1"/>
              <c:layout>
                <c:manualLayout>
                  <c:x val="7.3106913005799704E-2"/>
                  <c:y val="5.5404478458049904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Potravinářs.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průmysl (10)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70-4E79-8146-0C63D33D5102}"/>
                </c:ext>
              </c:extLst>
            </c:dLbl>
            <c:dLbl>
              <c:idx val="2"/>
              <c:layout>
                <c:manualLayout>
                  <c:x val="-7.9322547965158113E-2"/>
                  <c:y val="-4.270104866938878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Výroba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nápojů (11)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670-4E79-8146-0C63D33D5102}"/>
                </c:ext>
              </c:extLst>
            </c:dLbl>
            <c:dLbl>
              <c:idx val="3"/>
              <c:layout>
                <c:manualLayout>
                  <c:x val="3.9798088343893576E-2"/>
                  <c:y val="-1.439937641723356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PRŮMYSL</a:t>
                    </a:r>
                    <a:r>
                      <a:rPr lang="cs-CZ" baseline="0"/>
                      <a:t> (B až E)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670-4E79-8146-0C63D33D5102}"/>
                </c:ext>
              </c:extLst>
            </c:dLbl>
            <c:dLbl>
              <c:idx val="4"/>
              <c:layout>
                <c:manualLayout>
                  <c:x val="7.6935161289850229E-2"/>
                  <c:y val="9.698724489795919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Textilní</a:t>
                    </a:r>
                    <a:r>
                      <a:rPr lang="cs-CZ" baseline="0"/>
                      <a:t> pr. (13)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670-4E79-8146-0C63D33D5102}"/>
                </c:ext>
              </c:extLst>
            </c:dLbl>
            <c:dLbl>
              <c:idx val="5"/>
              <c:layout>
                <c:manualLayout>
                  <c:x val="-0.13759001826279971"/>
                  <c:y val="1.050992063492064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Oděvní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průmysl (14)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670-4E79-8146-0C63D33D5102}"/>
                </c:ext>
              </c:extLst>
            </c:dLbl>
            <c:dLbl>
              <c:idx val="6"/>
              <c:layout>
                <c:manualLayout>
                  <c:x val="-0.224855668179526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Kožedělný</a:t>
                    </a:r>
                    <a:r>
                      <a:rPr lang="cs-CZ" baseline="0"/>
                      <a:t> pr. (15)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670-4E79-8146-0C63D33D5102}"/>
                </c:ext>
              </c:extLst>
            </c:dLbl>
            <c:dLbl>
              <c:idx val="7"/>
              <c:layout>
                <c:manualLayout>
                  <c:x val="-0.23824041339608587"/>
                  <c:y val="6.7670202932741371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Dřevozprac.</a:t>
                    </a:r>
                    <a:r>
                      <a:rPr lang="cs-CZ" baseline="0"/>
                      <a:t>pr.(16)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670-4E79-8146-0C63D33D5102}"/>
                </c:ext>
              </c:extLst>
            </c:dLbl>
            <c:dLbl>
              <c:idx val="8"/>
              <c:layout>
                <c:manualLayout>
                  <c:x val="-3.1828024407338104E-2"/>
                  <c:y val="-7.5636621315193733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Papírenský</a:t>
                    </a:r>
                  </a:p>
                  <a:p>
                    <a:r>
                      <a:rPr lang="cs-CZ" baseline="0"/>
                      <a:t> prům. (17)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670-4E79-8146-0C63D33D5102}"/>
                </c:ext>
              </c:extLst>
            </c:dLbl>
            <c:dLbl>
              <c:idx val="9"/>
              <c:layout>
                <c:manualLayout>
                  <c:x val="-9.6600344094474613E-2"/>
                  <c:y val="0.129839852607709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Tisk</a:t>
                    </a:r>
                    <a:r>
                      <a:rPr lang="cs-CZ"/>
                      <a:t>ařský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prům.</a:t>
                    </a:r>
                    <a:r>
                      <a:rPr lang="cs-CZ"/>
                      <a:t>(18)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670-4E79-8146-0C63D33D5102}"/>
                </c:ext>
              </c:extLst>
            </c:dLbl>
            <c:dLbl>
              <c:idx val="10"/>
              <c:layout>
                <c:manualLayout>
                  <c:x val="-6.3407895378154486E-2"/>
                  <c:y val="-2.47434807256236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(Petro)chemický pr. (19+20)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670-4E79-8146-0C63D33D5102}"/>
                </c:ext>
              </c:extLst>
            </c:dLbl>
            <c:dLbl>
              <c:idx val="11"/>
              <c:layout>
                <c:manualLayout>
                  <c:x val="-0.14522037789826436"/>
                  <c:y val="-3.2025793650793652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Farmnaceut.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průmysl (21)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670-4E79-8146-0C63D33D5102}"/>
                </c:ext>
              </c:extLst>
            </c:dLbl>
            <c:dLbl>
              <c:idx val="12"/>
              <c:layout>
                <c:manualLayout>
                  <c:x val="-0.2443061834835864"/>
                  <c:y val="-3.2274092970522007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Gumárenství,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plastikářství (22)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670-4E79-8146-0C63D33D5102}"/>
                </c:ext>
              </c:extLst>
            </c:dLbl>
            <c:dLbl>
              <c:idx val="13"/>
              <c:layout>
                <c:manualLayout>
                  <c:x val="-0.28804874308989137"/>
                  <c:y val="-2.7805839002267935E-2"/>
                </c:manualLayout>
              </c:layout>
              <c:tx>
                <c:rich>
                  <a:bodyPr/>
                  <a:lstStyle/>
                  <a:p>
                    <a:r>
                      <a:rPr lang="en-US" spc="-20" baseline="0"/>
                      <a:t>Prům</a:t>
                    </a:r>
                    <a:r>
                      <a:rPr lang="cs-CZ" spc="-20" baseline="0"/>
                      <a:t>.</a:t>
                    </a:r>
                    <a:r>
                      <a:rPr lang="en-US" spc="-20" baseline="0"/>
                      <a:t> skla, keramiky, porcel</a:t>
                    </a:r>
                    <a:r>
                      <a:rPr lang="cs-CZ" spc="-20" baseline="0"/>
                      <a:t>., stav.</a:t>
                    </a:r>
                    <a:r>
                      <a:rPr lang="en-US" spc="-20" baseline="0"/>
                      <a:t>hmot</a:t>
                    </a:r>
                    <a:r>
                      <a:rPr lang="cs-CZ" spc="-20" baseline="0"/>
                      <a:t> (23)</a:t>
                    </a:r>
                    <a:endParaRPr lang="en-US" spc="-20" baseline="0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670-4E79-8146-0C63D33D5102}"/>
                </c:ext>
              </c:extLst>
            </c:dLbl>
            <c:dLbl>
              <c:idx val="14"/>
              <c:layout>
                <c:manualLayout>
                  <c:x val="-6.2911094543445151E-2"/>
                  <c:y val="4.1460600907029514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Hutnictví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(24)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670-4E79-8146-0C63D33D5102}"/>
                </c:ext>
              </c:extLst>
            </c:dLbl>
            <c:dLbl>
              <c:idx val="15"/>
              <c:layout>
                <c:manualLayout>
                  <c:x val="-5.5386207942346458E-2"/>
                  <c:y val="0.23696485260770991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Kovovýroba</a:t>
                    </a:r>
                    <a:r>
                      <a:rPr lang="cs-CZ" baseline="0"/>
                      <a:t> </a:t>
                    </a:r>
                  </a:p>
                  <a:p>
                    <a:r>
                      <a:rPr lang="cs-CZ" baseline="0"/>
                      <a:t>(25)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670-4E79-8146-0C63D33D5102}"/>
                </c:ext>
              </c:extLst>
            </c:dLbl>
            <c:dLbl>
              <c:idx val="16"/>
              <c:layout>
                <c:manualLayout>
                  <c:x val="-2.6244047561795637E-2"/>
                  <c:y val="6.8023526077097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Výroba PC, elektronic. a optic. přístr</a:t>
                    </a:r>
                    <a:r>
                      <a:rPr lang="cs-CZ"/>
                      <a:t>ojů</a:t>
                    </a:r>
                    <a:r>
                      <a:rPr lang="en-US"/>
                      <a:t> (26)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670-4E79-8146-0C63D33D5102}"/>
                </c:ext>
              </c:extLst>
            </c:dLbl>
            <c:dLbl>
              <c:idx val="17"/>
              <c:layout>
                <c:manualLayout>
                  <c:x val="-0.25151713585022534"/>
                  <c:y val="4.963151927437641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Elektrotech</a:t>
                    </a:r>
                    <a:r>
                      <a:rPr lang="cs-CZ"/>
                      <a:t>.</a:t>
                    </a:r>
                    <a:r>
                      <a:rPr lang="cs-CZ" baseline="0"/>
                      <a:t>pr. (27)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670-4E79-8146-0C63D33D5102}"/>
                </c:ext>
              </c:extLst>
            </c:dLbl>
            <c:dLbl>
              <c:idx val="18"/>
              <c:layout>
                <c:manualLayout>
                  <c:x val="7.9579894453525812E-2"/>
                  <c:y val="0.1475901360544249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Strojírenství</a:t>
                    </a:r>
                    <a:r>
                      <a:rPr lang="cs-CZ" baseline="0"/>
                      <a:t> (28)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670-4E79-8146-0C63D33D5102}"/>
                </c:ext>
              </c:extLst>
            </c:dLbl>
            <c:dLbl>
              <c:idx val="19"/>
              <c:layout>
                <c:manualLayout>
                  <c:x val="-1.5821171582094149E-2"/>
                  <c:y val="-3.3931405895691611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Výroba</a:t>
                    </a:r>
                    <a:r>
                      <a:rPr lang="cs-CZ" baseline="0"/>
                      <a:t> motor. </a:t>
                    </a:r>
                  </a:p>
                  <a:p>
                    <a:r>
                      <a:rPr lang="cs-CZ" baseline="0"/>
                      <a:t>vozidel (29)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670-4E79-8146-0C63D33D5102}"/>
                </c:ext>
              </c:extLst>
            </c:dLbl>
            <c:dLbl>
              <c:idx val="20"/>
              <c:layout>
                <c:manualLayout>
                  <c:x val="-4.9523491027016746E-2"/>
                  <c:y val="-2.5115646258503401E-2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Ost</a:t>
                    </a:r>
                    <a:r>
                      <a:rPr lang="cs-CZ" baseline="0"/>
                      <a:t>.dopr.prostř.(30)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670-4E79-8146-0C63D33D5102}"/>
                </c:ext>
              </c:extLst>
            </c:dLbl>
            <c:dLbl>
              <c:idx val="21"/>
              <c:layout>
                <c:manualLayout>
                  <c:x val="-0.23862051259391837"/>
                  <c:y val="3.723922902494401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Nábytkářský</a:t>
                    </a:r>
                    <a:r>
                      <a:rPr lang="cs-CZ" baseline="0"/>
                      <a:t> pr. (31)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670-4E79-8146-0C63D33D5102}"/>
                </c:ext>
              </c:extLst>
            </c:dLbl>
            <c:dLbl>
              <c:idx val="22"/>
              <c:layout>
                <c:manualLayout>
                  <c:x val="8.7650374135054318E-2"/>
                  <c:y val="7.19532312925170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Os</a:t>
                    </a:r>
                    <a:r>
                      <a:rPr lang="cs-CZ"/>
                      <a:t>tat.</a:t>
                    </a:r>
                    <a:r>
                      <a:rPr lang="en-US"/>
                      <a:t>zprac</a:t>
                    </a:r>
                    <a:r>
                      <a:rPr lang="cs-CZ"/>
                      <a:t>.</a:t>
                    </a:r>
                    <a:r>
                      <a:rPr lang="en-US"/>
                      <a:t>pr</a:t>
                    </a:r>
                    <a:r>
                      <a:rPr lang="cs-CZ"/>
                      <a:t>.</a:t>
                    </a:r>
                    <a:r>
                      <a:rPr lang="cs-CZ" baseline="0"/>
                      <a:t> (32)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1670-4E79-8146-0C63D33D5102}"/>
                </c:ext>
              </c:extLst>
            </c:dLbl>
            <c:dLbl>
              <c:idx val="23"/>
              <c:layout>
                <c:manualLayout>
                  <c:x val="-0.27543937413986758"/>
                  <c:y val="0.212592970521541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Opravy a instalace strojů a zaří</a:t>
                    </a:r>
                    <a:r>
                      <a:rPr lang="cs-CZ"/>
                      <a:t>z.(33)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670-4E79-8146-0C63D33D5102}"/>
                </c:ext>
              </c:extLst>
            </c:dLbl>
            <c:dLbl>
              <c:idx val="24"/>
              <c:layout>
                <c:manualLayout>
                  <c:x val="-1.3283148830047447E-2"/>
                  <c:y val="-3.5997732426304523E-3"/>
                </c:manualLayout>
              </c:layout>
              <c:tx>
                <c:rich>
                  <a:bodyPr/>
                  <a:lstStyle/>
                  <a:p>
                    <a:r>
                      <a:rPr lang="cs-CZ"/>
                      <a:t>Energetika</a:t>
                    </a:r>
                    <a:r>
                      <a:rPr lang="cs-CZ" baseline="0"/>
                      <a:t> (D)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670-4E79-8146-0C63D33D5102}"/>
                </c:ext>
              </c:extLst>
            </c:dLbl>
            <c:dLbl>
              <c:idx val="25"/>
              <c:layout>
                <c:manualLayout>
                  <c:x val="0.18779532185508468"/>
                  <c:y val="1.75853174603174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Zásobování vodou; </a:t>
                    </a:r>
                    <a:r>
                      <a:rPr lang="cs-CZ"/>
                      <a:t>práce</a:t>
                    </a:r>
                    <a:r>
                      <a:rPr lang="cs-CZ" baseline="0"/>
                      <a:t> s </a:t>
                    </a:r>
                    <a:r>
                      <a:rPr lang="en-US"/>
                      <a:t>odpadními vodami, odpady </a:t>
                    </a:r>
                    <a:endParaRPr lang="cs-CZ"/>
                  </a:p>
                  <a:p>
                    <a:r>
                      <a:rPr lang="en-US"/>
                      <a:t>a sanacemi</a:t>
                    </a:r>
                    <a:r>
                      <a:rPr lang="cs-CZ"/>
                      <a:t> (E)</a:t>
                    </a:r>
                    <a:endParaRPr lang="en-US"/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670-4E79-8146-0C63D33D51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>
                    <a:latin typeface="Arial" pitchFamily="34" charset="0"/>
                    <a:cs typeface="Arial" pitchFamily="34" charset="0"/>
                  </a:defRPr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'Graf-míra investic a zisku'!$B$57:$B$82</c:f>
              <c:numCache>
                <c:formatCode>0</c:formatCode>
                <c:ptCount val="26"/>
                <c:pt idx="0">
                  <c:v>31.62488674116581</c:v>
                </c:pt>
                <c:pt idx="1">
                  <c:v>24.083489838608589</c:v>
                </c:pt>
                <c:pt idx="2">
                  <c:v>18.941795483512532</c:v>
                </c:pt>
                <c:pt idx="3" formatCode="0.0">
                  <c:v>26.787564297553189</c:v>
                </c:pt>
                <c:pt idx="4" formatCode="0.0">
                  <c:v>24.158243938736089</c:v>
                </c:pt>
                <c:pt idx="5">
                  <c:v>10.627062706270618</c:v>
                </c:pt>
                <c:pt idx="6">
                  <c:v>16.792792792792689</c:v>
                </c:pt>
                <c:pt idx="7">
                  <c:v>16.051422005170789</c:v>
                </c:pt>
                <c:pt idx="8">
                  <c:v>21.937216408926727</c:v>
                </c:pt>
                <c:pt idx="9">
                  <c:v>19.194328948265284</c:v>
                </c:pt>
                <c:pt idx="10">
                  <c:v>35.334672159996039</c:v>
                </c:pt>
                <c:pt idx="11">
                  <c:v>16.156418832004114</c:v>
                </c:pt>
                <c:pt idx="12">
                  <c:v>20.305059445594928</c:v>
                </c:pt>
                <c:pt idx="13">
                  <c:v>19.577971057679935</c:v>
                </c:pt>
                <c:pt idx="14">
                  <c:v>23.908494514194999</c:v>
                </c:pt>
                <c:pt idx="15">
                  <c:v>20.91449646244169</c:v>
                </c:pt>
                <c:pt idx="16">
                  <c:v>54.092251822542615</c:v>
                </c:pt>
                <c:pt idx="17">
                  <c:v>21.612502610205627</c:v>
                </c:pt>
                <c:pt idx="18" formatCode="0.0">
                  <c:v>23.720689687018027</c:v>
                </c:pt>
                <c:pt idx="19">
                  <c:v>28.900478053020432</c:v>
                </c:pt>
                <c:pt idx="20">
                  <c:v>29.982918277442895</c:v>
                </c:pt>
                <c:pt idx="21">
                  <c:v>16.238520724745587</c:v>
                </c:pt>
                <c:pt idx="22" formatCode="0.0">
                  <c:v>24.489491727530183</c:v>
                </c:pt>
                <c:pt idx="23">
                  <c:v>18.102872411489695</c:v>
                </c:pt>
                <c:pt idx="24">
                  <c:v>37.535977886067649</c:v>
                </c:pt>
                <c:pt idx="25">
                  <c:v>27.130570758405035</c:v>
                </c:pt>
              </c:numCache>
            </c:numRef>
          </c:xVal>
          <c:yVal>
            <c:numRef>
              <c:f>'Graf-míra investic a zisku'!$C$57:$C$82</c:f>
              <c:numCache>
                <c:formatCode>0</c:formatCode>
                <c:ptCount val="26"/>
                <c:pt idx="0">
                  <c:v>49.625889652655246</c:v>
                </c:pt>
                <c:pt idx="1">
                  <c:v>40.379797142017864</c:v>
                </c:pt>
                <c:pt idx="2">
                  <c:v>65.973982091568686</c:v>
                </c:pt>
                <c:pt idx="3" formatCode="0.0">
                  <c:v>51.432878026762396</c:v>
                </c:pt>
                <c:pt idx="4" formatCode="0.0">
                  <c:v>36.6</c:v>
                </c:pt>
                <c:pt idx="5">
                  <c:v>28.03001876172609</c:v>
                </c:pt>
                <c:pt idx="6">
                  <c:v>38.355014687368794</c:v>
                </c:pt>
                <c:pt idx="7">
                  <c:v>46.066816095634444</c:v>
                </c:pt>
                <c:pt idx="8">
                  <c:v>56.128304016555994</c:v>
                </c:pt>
                <c:pt idx="9">
                  <c:v>37.019607843137244</c:v>
                </c:pt>
                <c:pt idx="10">
                  <c:v>62.463170300530663</c:v>
                </c:pt>
                <c:pt idx="11">
                  <c:v>60.024276755007044</c:v>
                </c:pt>
                <c:pt idx="12">
                  <c:v>53.222777137491263</c:v>
                </c:pt>
                <c:pt idx="13">
                  <c:v>47.411193357615069</c:v>
                </c:pt>
                <c:pt idx="14">
                  <c:v>31.093423426002808</c:v>
                </c:pt>
                <c:pt idx="15">
                  <c:v>38.745020803946097</c:v>
                </c:pt>
                <c:pt idx="16">
                  <c:v>67.676753725674359</c:v>
                </c:pt>
                <c:pt idx="17">
                  <c:v>42.095320786596012</c:v>
                </c:pt>
                <c:pt idx="18" formatCode="0.0">
                  <c:v>37.412265885973802</c:v>
                </c:pt>
                <c:pt idx="19">
                  <c:v>57.335168497909962</c:v>
                </c:pt>
                <c:pt idx="20">
                  <c:v>39.630082959335994</c:v>
                </c:pt>
                <c:pt idx="21">
                  <c:v>34.70500307746417</c:v>
                </c:pt>
                <c:pt idx="22" formatCode="0.0">
                  <c:v>37.607588266291934</c:v>
                </c:pt>
                <c:pt idx="23">
                  <c:v>36.591406519986144</c:v>
                </c:pt>
                <c:pt idx="24">
                  <c:v>76.043794005971904</c:v>
                </c:pt>
                <c:pt idx="25">
                  <c:v>46.799261457919194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1A-1670-4E79-8146-0C63D33D5102}"/>
            </c:ext>
          </c:extLst>
        </c:ser>
        <c:axId val="144901248"/>
        <c:axId val="144902784"/>
      </c:scatterChart>
      <c:valAx>
        <c:axId val="144901248"/>
        <c:scaling>
          <c:orientation val="minMax"/>
          <c:max val="60"/>
          <c:min val="0"/>
        </c:scaling>
        <c:axPos val="b"/>
        <c:numFmt formatCode="0" sourceLinked="0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4902784"/>
        <c:crossesAt val="0"/>
        <c:crossBetween val="midCat"/>
      </c:valAx>
      <c:valAx>
        <c:axId val="144902784"/>
        <c:scaling>
          <c:orientation val="minMax"/>
          <c:max val="80"/>
          <c:min val="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4901248"/>
        <c:crosses val="autoZero"/>
        <c:crossBetween val="midCat"/>
        <c:majorUnit val="10"/>
        <c:minorUnit val="0.4"/>
      </c:valAx>
      <c:spPr>
        <a:ln w="9525">
          <a:solidFill>
            <a:schemeClr val="tx1">
              <a:lumMod val="95000"/>
              <a:lumOff val="5000"/>
            </a:schemeClr>
          </a:solidFill>
        </a:ln>
      </c:spPr>
    </c:plotArea>
    <c:plotVisOnly val="1"/>
    <c:dispBlanksAs val="gap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2290858963379545E-2"/>
          <c:y val="1.969125589257158E-2"/>
          <c:w val="0.89226732269299447"/>
          <c:h val="0.73679623486813695"/>
        </c:manualLayout>
      </c:layout>
      <c:barChart>
        <c:barDir val="col"/>
        <c:grouping val="stacked"/>
        <c:ser>
          <c:idx val="0"/>
          <c:order val="0"/>
          <c:tx>
            <c:strRef>
              <c:f>'Eenrgetika-graf'!$B$91</c:f>
              <c:strCache>
                <c:ptCount val="1"/>
                <c:pt idx="0">
                  <c:v>Větrné a fotovoltaické elektrárny</c:v>
                </c:pt>
              </c:strCache>
            </c:strRef>
          </c:tx>
          <c:spPr>
            <a:solidFill>
              <a:srgbClr val="D2E7B6"/>
            </a:solidFill>
            <a:ln>
              <a:noFill/>
            </a:ln>
          </c:spP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'Eenrgetika-graf'!$B$92:$B$104</c:f>
              <c:numCache>
                <c:formatCode>0.0</c:formatCode>
                <c:ptCount val="13"/>
                <c:pt idx="0">
                  <c:v>1.3517823962358781E-2</c:v>
                </c:pt>
                <c:pt idx="1">
                  <c:v>3.4149283228342417E-2</c:v>
                </c:pt>
                <c:pt idx="2">
                  <c:v>9.1630127227187025E-2</c:v>
                </c:pt>
                <c:pt idx="3">
                  <c:v>0.1484825694868887</c:v>
                </c:pt>
                <c:pt idx="4">
                  <c:v>0.14284619547777838</c:v>
                </c:pt>
                <c:pt idx="5">
                  <c:v>0.69823708206687063</c:v>
                </c:pt>
                <c:pt idx="6">
                  <c:v>1.820253992719461</c:v>
                </c:pt>
                <c:pt idx="7">
                  <c:v>8.6340203242140659E-2</c:v>
                </c:pt>
                <c:pt idx="8">
                  <c:v>-4.7845414776353387E-2</c:v>
                </c:pt>
                <c:pt idx="9">
                  <c:v>5.8462135717149102E-2</c:v>
                </c:pt>
                <c:pt idx="10">
                  <c:v>0.27557050070113509</c:v>
                </c:pt>
                <c:pt idx="11">
                  <c:v>-0.2478295543001853</c:v>
                </c:pt>
                <c:pt idx="12">
                  <c:v>0.18715059320375405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64-4047-A5CD-D89702DD5605}"/>
            </c:ext>
          </c:extLst>
        </c:ser>
        <c:ser>
          <c:idx val="1"/>
          <c:order val="1"/>
          <c:tx>
            <c:strRef>
              <c:f>'Eenrgetika-graf'!$C$91</c:f>
              <c:strCache>
                <c:ptCount val="1"/>
                <c:pt idx="0">
                  <c:v>Vodní a přečerpávací  elektrárny</c:v>
                </c:pt>
              </c:strCache>
            </c:strRef>
          </c:tx>
          <c:spPr>
            <a:solidFill>
              <a:srgbClr val="BFE3F7"/>
            </a:solidFill>
            <a:ln>
              <a:noFill/>
            </a:ln>
          </c:spP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'Eenrgetika-graf'!$C$92:$C$104</c:f>
              <c:numCache>
                <c:formatCode>0.0</c:formatCode>
                <c:ptCount val="13"/>
                <c:pt idx="0">
                  <c:v>0.55043630555499456</c:v>
                </c:pt>
                <c:pt idx="1">
                  <c:v>0.27888581303146837</c:v>
                </c:pt>
                <c:pt idx="2">
                  <c:v>-0.86959717120135116</c:v>
                </c:pt>
                <c:pt idx="3">
                  <c:v>-0.16745471111222393</c:v>
                </c:pt>
                <c:pt idx="4">
                  <c:v>0.72608493661125662</c:v>
                </c:pt>
                <c:pt idx="5">
                  <c:v>0.48376899696049297</c:v>
                </c:pt>
                <c:pt idx="6">
                  <c:v>-0.63515642007402062</c:v>
                </c:pt>
                <c:pt idx="7">
                  <c:v>0.14607026447975965</c:v>
                </c:pt>
                <c:pt idx="8">
                  <c:v>0.91214599817066788</c:v>
                </c:pt>
                <c:pt idx="9">
                  <c:v>-0.92000335381996656</c:v>
                </c:pt>
                <c:pt idx="10">
                  <c:v>0.12801819462951508</c:v>
                </c:pt>
                <c:pt idx="11">
                  <c:v>0.15639844888977825</c:v>
                </c:pt>
                <c:pt idx="12">
                  <c:v>-0.19447335534963758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64-4047-A5CD-D89702DD5605}"/>
            </c:ext>
          </c:extLst>
        </c:ser>
        <c:ser>
          <c:idx val="2"/>
          <c:order val="2"/>
          <c:tx>
            <c:strRef>
              <c:f>'Eenrgetika-graf'!$D$91</c:f>
              <c:strCache>
                <c:ptCount val="1"/>
                <c:pt idx="0">
                  <c:v>(Paro-)plynové a spalovací  elektrárny</c:v>
                </c:pt>
              </c:strCache>
            </c:strRef>
          </c:tx>
          <c:spPr>
            <a:solidFill>
              <a:srgbClr val="FDDEB3"/>
            </a:solidFill>
            <a:ln>
              <a:noFill/>
            </a:ln>
          </c:spP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'Eenrgetika-graf'!$D$92:$D$104</c:f>
              <c:numCache>
                <c:formatCode>0.0</c:formatCode>
                <c:ptCount val="13"/>
                <c:pt idx="0">
                  <c:v>4.8379580496863167E-2</c:v>
                </c:pt>
                <c:pt idx="1">
                  <c:v>-6.4544567236548139E-2</c:v>
                </c:pt>
                <c:pt idx="2">
                  <c:v>-0.16500535200549327</c:v>
                </c:pt>
                <c:pt idx="3">
                  <c:v>0.72684887496337025</c:v>
                </c:pt>
                <c:pt idx="4">
                  <c:v>0.13470408207250595</c:v>
                </c:pt>
                <c:pt idx="5">
                  <c:v>0.45617021276595832</c:v>
                </c:pt>
                <c:pt idx="6">
                  <c:v>0.41292152162803408</c:v>
                </c:pt>
                <c:pt idx="7">
                  <c:v>0.54819176661676761</c:v>
                </c:pt>
                <c:pt idx="8">
                  <c:v>0.95610896878855767</c:v>
                </c:pt>
                <c:pt idx="9">
                  <c:v>0.49009417112982095</c:v>
                </c:pt>
                <c:pt idx="10">
                  <c:v>0.72322722124939265</c:v>
                </c:pt>
                <c:pt idx="11">
                  <c:v>1.5997463293451109</c:v>
                </c:pt>
                <c:pt idx="12">
                  <c:v>-0.26542011646793168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64-4047-A5CD-D89702DD5605}"/>
            </c:ext>
          </c:extLst>
        </c:ser>
        <c:ser>
          <c:idx val="3"/>
          <c:order val="3"/>
          <c:tx>
            <c:strRef>
              <c:f>'Eenrgetika-graf'!$E$91</c:f>
              <c:strCache>
                <c:ptCount val="1"/>
                <c:pt idx="0">
                  <c:v>Parní elektrárny</c:v>
                </c:pt>
              </c:strCache>
            </c:strRef>
          </c:tx>
          <c:spPr>
            <a:solidFill>
              <a:srgbClr val="BABABA"/>
            </a:solidFill>
            <a:ln>
              <a:noFill/>
            </a:ln>
          </c:spP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'Eenrgetika-graf'!$E$92:$E$104</c:f>
              <c:numCache>
                <c:formatCode>0.0</c:formatCode>
                <c:ptCount val="13"/>
                <c:pt idx="0">
                  <c:v>-0.79897454261731393</c:v>
                </c:pt>
                <c:pt idx="1">
                  <c:v>0.31267180601270422</c:v>
                </c:pt>
                <c:pt idx="2">
                  <c:v>5.136028657826075</c:v>
                </c:pt>
                <c:pt idx="3">
                  <c:v>-6.2589890461443298</c:v>
                </c:pt>
                <c:pt idx="4">
                  <c:v>-3.3064164643111917</c:v>
                </c:pt>
                <c:pt idx="5">
                  <c:v>1.8508206686930075</c:v>
                </c:pt>
                <c:pt idx="6">
                  <c:v>-7.7997580910817016E-3</c:v>
                </c:pt>
                <c:pt idx="7">
                  <c:v>-3.097283481384737</c:v>
                </c:pt>
                <c:pt idx="8">
                  <c:v>-2.8821438399884367</c:v>
                </c:pt>
                <c:pt idx="9">
                  <c:v>-0.36490020662747152</c:v>
                </c:pt>
                <c:pt idx="10">
                  <c:v>0.46498161700583657</c:v>
                </c:pt>
                <c:pt idx="11">
                  <c:v>1.054855087062214</c:v>
                </c:pt>
                <c:pt idx="12">
                  <c:v>-0.32700334566198491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64-4047-A5CD-D89702DD5605}"/>
            </c:ext>
          </c:extLst>
        </c:ser>
        <c:ser>
          <c:idx val="4"/>
          <c:order val="4"/>
          <c:tx>
            <c:strRef>
              <c:f>'Eenrgetika-graf'!$F$91</c:f>
              <c:strCache>
                <c:ptCount val="1"/>
                <c:pt idx="0">
                  <c:v>Jaderné elektrárny</c:v>
                </c:pt>
              </c:strCache>
            </c:strRef>
          </c:tx>
          <c:spPr>
            <a:solidFill>
              <a:srgbClr val="C3B0EA"/>
            </a:solidFill>
            <a:ln>
              <a:noFill/>
            </a:ln>
          </c:spP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'Eenrgetika-graf'!$F$92:$F$104</c:f>
              <c:numCache>
                <c:formatCode>0.0</c:formatCode>
                <c:ptCount val="13"/>
                <c:pt idx="0">
                  <c:v>-1.8937997061651799</c:v>
                </c:pt>
                <c:pt idx="1">
                  <c:v>1.5971450230447246</c:v>
                </c:pt>
                <c:pt idx="2">
                  <c:v>0.14888413945323045</c:v>
                </c:pt>
                <c:pt idx="3">
                  <c:v>0.43045176418196546</c:v>
                </c:pt>
                <c:pt idx="4">
                  <c:v>0.78643236537972783</c:v>
                </c:pt>
                <c:pt idx="5">
                  <c:v>0.94881458966565657</c:v>
                </c:pt>
                <c:pt idx="6">
                  <c:v>0.34272369880826636</c:v>
                </c:pt>
                <c:pt idx="7">
                  <c:v>2.3316423140099318</c:v>
                </c:pt>
                <c:pt idx="8">
                  <c:v>0.4808521279790598</c:v>
                </c:pt>
                <c:pt idx="9">
                  <c:v>-0.48285818969527766</c:v>
                </c:pt>
                <c:pt idx="10">
                  <c:v>-4.0511189092524278</c:v>
                </c:pt>
                <c:pt idx="11">
                  <c:v>-3.262195085607952</c:v>
                </c:pt>
                <c:pt idx="12">
                  <c:v>5.0843978348633003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664-4047-A5CD-D89702DD5605}"/>
            </c:ext>
          </c:extLst>
        </c:ser>
        <c:gapWidth val="72"/>
        <c:overlap val="100"/>
        <c:axId val="145066240"/>
        <c:axId val="145117184"/>
      </c:barChart>
      <c:lineChart>
        <c:grouping val="standard"/>
        <c:ser>
          <c:idx val="5"/>
          <c:order val="5"/>
          <c:tx>
            <c:strRef>
              <c:f>'Eenrgetika-graf'!$G$91</c:f>
              <c:strCache>
                <c:ptCount val="1"/>
                <c:pt idx="0">
                  <c:v>Tuzemská výroba elektřiny celkem</c:v>
                </c:pt>
              </c:strCache>
            </c:strRef>
          </c:tx>
          <c:spPr>
            <a:ln>
              <a:noFill/>
            </a:ln>
          </c:spPr>
          <c:marker>
            <c:symbol val="diamond"/>
            <c:size val="8"/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'Eenrgetika-graf'!$G$92:$G$104</c:f>
              <c:numCache>
                <c:formatCode>0.0</c:formatCode>
                <c:ptCount val="13"/>
                <c:pt idx="0">
                  <c:v>-2.0804405387682863</c:v>
                </c:pt>
                <c:pt idx="1">
                  <c:v>2.1583073580806822</c:v>
                </c:pt>
                <c:pt idx="2">
                  <c:v>4.3419404012996834</c:v>
                </c:pt>
                <c:pt idx="3">
                  <c:v>-5.1206605486243575</c:v>
                </c:pt>
                <c:pt idx="4">
                  <c:v>-1.51634888476994</c:v>
                </c:pt>
                <c:pt idx="5">
                  <c:v>4.4378115501519755</c:v>
                </c:pt>
                <c:pt idx="6">
                  <c:v>1.9330594492905391</c:v>
                </c:pt>
                <c:pt idx="7">
                  <c:v>1.496106696390598E-2</c:v>
                </c:pt>
                <c:pt idx="8">
                  <c:v>-0.58099634936058919</c:v>
                </c:pt>
                <c:pt idx="9">
                  <c:v>-1.2192054432957491</c:v>
                </c:pt>
                <c:pt idx="10">
                  <c:v>-2.4593213756665402</c:v>
                </c:pt>
                <c:pt idx="11">
                  <c:v>-0.69902477461101864</c:v>
                </c:pt>
                <c:pt idx="12">
                  <c:v>4.4845315653063764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664-4047-A5CD-D89702DD5605}"/>
            </c:ext>
          </c:extLst>
        </c:ser>
        <c:marker val="1"/>
        <c:axId val="145066240"/>
        <c:axId val="145117184"/>
      </c:lineChart>
      <c:lineChart>
        <c:grouping val="standard"/>
        <c:ser>
          <c:idx val="6"/>
          <c:order val="6"/>
          <c:tx>
            <c:strRef>
              <c:f>'Eenrgetika-graf'!$H$91</c:f>
              <c:strCache>
                <c:ptCount val="1"/>
                <c:pt idx="0">
                  <c:v>Spotřeba elektř.(velkoodběr), 2005=100</c:v>
                </c:pt>
              </c:strCache>
            </c:strRef>
          </c:tx>
          <c:spPr>
            <a:ln w="22225">
              <a:solidFill>
                <a:srgbClr val="808080"/>
              </a:solidFill>
            </a:ln>
          </c:spPr>
          <c:marker>
            <c:symbol val="none"/>
          </c:marke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'Eenrgetika-graf'!$H$92:$H$104</c:f>
              <c:numCache>
                <c:formatCode>#,##0</c:formatCode>
                <c:ptCount val="13"/>
                <c:pt idx="0">
                  <c:v>100</c:v>
                </c:pt>
                <c:pt idx="1">
                  <c:v>97.666364577938879</c:v>
                </c:pt>
                <c:pt idx="2">
                  <c:v>105.97617814603734</c:v>
                </c:pt>
                <c:pt idx="3">
                  <c:v>104.04971517348386</c:v>
                </c:pt>
                <c:pt idx="4">
                  <c:v>94.939150699120759</c:v>
                </c:pt>
                <c:pt idx="5">
                  <c:v>95.690056965303327</c:v>
                </c:pt>
                <c:pt idx="6">
                  <c:v>99.398627654065237</c:v>
                </c:pt>
                <c:pt idx="7">
                  <c:v>98.39687985499738</c:v>
                </c:pt>
                <c:pt idx="8">
                  <c:v>99.323537027445468</c:v>
                </c:pt>
                <c:pt idx="9">
                  <c:v>96.626100466079748</c:v>
                </c:pt>
                <c:pt idx="10">
                  <c:v>99.205398757119269</c:v>
                </c:pt>
                <c:pt idx="11">
                  <c:v>101.06097876747798</c:v>
                </c:pt>
                <c:pt idx="12">
                  <c:v>103.55256343863284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664-4047-A5CD-D89702DD5605}"/>
            </c:ext>
          </c:extLst>
        </c:ser>
        <c:ser>
          <c:idx val="7"/>
          <c:order val="7"/>
          <c:tx>
            <c:strRef>
              <c:f>'Eenrgetika-graf'!$I$91</c:f>
              <c:strCache>
                <c:ptCount val="1"/>
              </c:strCache>
            </c:strRef>
          </c:tx>
          <c:spPr>
            <a:ln w="22225">
              <a:noFill/>
            </a:ln>
          </c:spPr>
          <c:marker>
            <c:symbol val="none"/>
          </c:marke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'Eenrgetika-graf'!$I$92:$I$104</c:f>
              <c:numCache>
                <c:formatCode>General</c:formatCode>
                <c:ptCount val="1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664-4047-A5CD-D89702DD5605}"/>
            </c:ext>
          </c:extLst>
        </c:ser>
        <c:ser>
          <c:idx val="8"/>
          <c:order val="8"/>
          <c:tx>
            <c:strRef>
              <c:f>'Eenrgetika-graf'!$J$91</c:f>
              <c:strCache>
                <c:ptCount val="1"/>
                <c:pt idx="0">
                  <c:v>Maloodběr (podnikatelé), 2005=100</c:v>
                </c:pt>
              </c:strCache>
            </c:strRef>
          </c:tx>
          <c:spPr>
            <a:ln w="22225">
              <a:solidFill>
                <a:srgbClr val="BD1B21"/>
              </a:solidFill>
            </a:ln>
          </c:spPr>
          <c:marker>
            <c:symbol val="none"/>
          </c:marke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'Eenrgetika-graf'!$J$92:$J$104</c:f>
              <c:numCache>
                <c:formatCode>#,##0</c:formatCode>
                <c:ptCount val="13"/>
                <c:pt idx="0">
                  <c:v>100</c:v>
                </c:pt>
                <c:pt idx="1">
                  <c:v>102.06355234839852</c:v>
                </c:pt>
                <c:pt idx="2">
                  <c:v>100.23673882769806</c:v>
                </c:pt>
                <c:pt idx="3">
                  <c:v>107.23382706671732</c:v>
                </c:pt>
                <c:pt idx="4">
                  <c:v>106.21724268894974</c:v>
                </c:pt>
                <c:pt idx="5">
                  <c:v>107.33257374351165</c:v>
                </c:pt>
                <c:pt idx="6">
                  <c:v>101.91796429928033</c:v>
                </c:pt>
                <c:pt idx="7">
                  <c:v>102.55222180022787</c:v>
                </c:pt>
                <c:pt idx="8">
                  <c:v>103.45613368780946</c:v>
                </c:pt>
                <c:pt idx="9">
                  <c:v>97.907330041777527</c:v>
                </c:pt>
                <c:pt idx="10">
                  <c:v>98.742878845422069</c:v>
                </c:pt>
                <c:pt idx="11">
                  <c:v>101.62425623496645</c:v>
                </c:pt>
                <c:pt idx="12">
                  <c:v>102.65856437523739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664-4047-A5CD-D89702DD5605}"/>
            </c:ext>
          </c:extLst>
        </c:ser>
        <c:ser>
          <c:idx val="9"/>
          <c:order val="9"/>
          <c:tx>
            <c:strRef>
              <c:f>'Eenrgetika-graf'!$K$91</c:f>
              <c:strCache>
                <c:ptCount val="1"/>
                <c:pt idx="0">
                  <c:v>Maloodběr (domácnosti), 2005=100</c:v>
                </c:pt>
              </c:strCache>
            </c:strRef>
          </c:tx>
          <c:spPr>
            <a:ln w="22225">
              <a:solidFill>
                <a:srgbClr val="0071BC"/>
              </a:solidFill>
            </a:ln>
          </c:spPr>
          <c:marker>
            <c:symbol val="none"/>
          </c:marker>
          <c:cat>
            <c:numRef>
              <c:f>'Eenrgetika-graf'!$A$92:$A$104</c:f>
              <c:numCache>
                <c:formatCode>General</c:formatCode>
                <c:ptCount val="13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</c:numCache>
            </c:numRef>
          </c:cat>
          <c:val>
            <c:numRef>
              <c:f>'Eenrgetika-graf'!$K$92:$K$104</c:f>
              <c:numCache>
                <c:formatCode>#,##0</c:formatCode>
                <c:ptCount val="13"/>
                <c:pt idx="0">
                  <c:v>100</c:v>
                </c:pt>
                <c:pt idx="1">
                  <c:v>103.25429716692712</c:v>
                </c:pt>
                <c:pt idx="2">
                  <c:v>99.502683606223243</c:v>
                </c:pt>
                <c:pt idx="3">
                  <c:v>99.890617569128366</c:v>
                </c:pt>
                <c:pt idx="4">
                  <c:v>99.783952714178952</c:v>
                </c:pt>
                <c:pt idx="5">
                  <c:v>102.09593043005565</c:v>
                </c:pt>
                <c:pt idx="6">
                  <c:v>96.475983422786058</c:v>
                </c:pt>
                <c:pt idx="7">
                  <c:v>99.060398124872549</c:v>
                </c:pt>
                <c:pt idx="8">
                  <c:v>99.979618180582918</c:v>
                </c:pt>
                <c:pt idx="9">
                  <c:v>95.961682179495881</c:v>
                </c:pt>
                <c:pt idx="10">
                  <c:v>97.709762891500759</c:v>
                </c:pt>
                <c:pt idx="11">
                  <c:v>100.68007337454875</c:v>
                </c:pt>
                <c:pt idx="12">
                  <c:v>103.34465656634389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664-4047-A5CD-D89702DD5605}"/>
            </c:ext>
          </c:extLst>
        </c:ser>
        <c:marker val="1"/>
        <c:axId val="145120256"/>
        <c:axId val="145118720"/>
      </c:lineChart>
      <c:catAx>
        <c:axId val="1450662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5117184"/>
        <c:crosses val="autoZero"/>
        <c:auto val="1"/>
        <c:lblAlgn val="ctr"/>
        <c:lblOffset val="10"/>
      </c:catAx>
      <c:valAx>
        <c:axId val="145117184"/>
        <c:scaling>
          <c:orientation val="minMax"/>
          <c:min val="-7"/>
        </c:scaling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5066240"/>
        <c:crosses val="autoZero"/>
        <c:crossBetween val="between"/>
        <c:majorUnit val="1"/>
      </c:valAx>
      <c:valAx>
        <c:axId val="145118720"/>
        <c:scaling>
          <c:orientation val="minMax"/>
          <c:max val="112"/>
          <c:min val="86"/>
        </c:scaling>
        <c:axPos val="r"/>
        <c:numFmt formatCode="#,##0" sourceLinked="1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cs-CZ"/>
          </a:p>
        </c:txPr>
        <c:crossAx val="145120256"/>
        <c:crosses val="max"/>
        <c:crossBetween val="between"/>
        <c:majorUnit val="2"/>
      </c:valAx>
      <c:catAx>
        <c:axId val="145120256"/>
        <c:scaling>
          <c:orientation val="minMax"/>
        </c:scaling>
        <c:delete val="1"/>
        <c:axPos val="b"/>
        <c:numFmt formatCode="General" sourceLinked="1"/>
        <c:tickLblPos val="none"/>
        <c:crossAx val="145118720"/>
        <c:crosses val="autoZero"/>
        <c:auto val="1"/>
        <c:lblAlgn val="ctr"/>
        <c:lblOffset val="100"/>
      </c:cat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3.2136707047442592E-2"/>
          <c:y val="0.81351820934982289"/>
          <c:w val="0.93098961851640682"/>
          <c:h val="0.16859441040350698"/>
        </c:manualLayout>
      </c:layout>
      <c:spPr>
        <a:noFill/>
        <a:ln w="6350">
          <a:solidFill>
            <a:sysClr val="windowText" lastClr="000000"/>
          </a:solidFill>
        </a:ln>
      </c:spPr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cs-CZ"/>
        </a:p>
      </c:txPr>
    </c:legend>
    <c:plotVisOnly val="1"/>
    <c:dispBlanksAs val="gap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0.17124</cdr:x>
      <cdr:y>0.94548</cdr:y>
    </cdr:from>
    <cdr:to>
      <cdr:x>0.86959</cdr:x>
      <cdr:y>0.99241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816992" y="3335665"/>
          <a:ext cx="3331878" cy="1655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800">
              <a:latin typeface="Arial" pitchFamily="34" charset="0"/>
              <a:cs typeface="Arial" pitchFamily="34" charset="0"/>
            </a:rPr>
            <a:t>Podíl</a:t>
          </a:r>
          <a:r>
            <a:rPr lang="cs-CZ" sz="800" baseline="0">
              <a:latin typeface="Arial" pitchFamily="34" charset="0"/>
              <a:cs typeface="Arial" pitchFamily="34" charset="0"/>
            </a:rPr>
            <a:t> tvorby hrubého fixního kapitálů na HPH</a:t>
          </a:r>
          <a:r>
            <a:rPr lang="cs-CZ" sz="800">
              <a:latin typeface="Arial" pitchFamily="34" charset="0"/>
              <a:cs typeface="Arial" pitchFamily="34" charset="0"/>
            </a:rPr>
            <a:t>  v roce 2017 (v %)</a:t>
          </a:r>
        </a:p>
      </cdr:txBody>
    </cdr:sp>
  </cdr:relSizeAnchor>
  <cdr:relSizeAnchor xmlns:cdr="http://schemas.openxmlformats.org/drawingml/2006/chartDrawing">
    <cdr:from>
      <cdr:x>0</cdr:x>
      <cdr:y>0.02085</cdr:y>
    </cdr:from>
    <cdr:to>
      <cdr:x>0.05512</cdr:x>
      <cdr:y>0.91826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0" y="73556"/>
          <a:ext cx="262981" cy="316606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lIns="0" tIns="0" rIns="0" bIns="0" rtlCol="0" anchor="ctr" anchorCtr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cs-CZ" sz="800">
              <a:latin typeface="Arial" pitchFamily="34" charset="0"/>
              <a:cs typeface="Arial" pitchFamily="34" charset="0"/>
            </a:rPr>
            <a:t>Podíl</a:t>
          </a:r>
          <a:r>
            <a:rPr lang="cs-CZ" sz="800" baseline="0">
              <a:latin typeface="Arial" pitchFamily="34" charset="0"/>
              <a:cs typeface="Arial" pitchFamily="34" charset="0"/>
            </a:rPr>
            <a:t> hr. provoz. přebytku na HPH</a:t>
          </a:r>
          <a:r>
            <a:rPr lang="cs-CZ" sz="800">
              <a:latin typeface="Arial" pitchFamily="34" charset="0"/>
              <a:cs typeface="Arial" pitchFamily="34" charset="0"/>
            </a:rPr>
            <a:t> nefinančn. podniků v</a:t>
          </a:r>
          <a:r>
            <a:rPr lang="cs-CZ" sz="800" baseline="0">
              <a:latin typeface="Arial" pitchFamily="34" charset="0"/>
              <a:cs typeface="Arial" pitchFamily="34" charset="0"/>
            </a:rPr>
            <a:t> r. 2017</a:t>
          </a:r>
          <a:r>
            <a:rPr lang="cs-CZ" sz="800">
              <a:latin typeface="Arial" pitchFamily="34" charset="0"/>
              <a:cs typeface="Arial" pitchFamily="34" charset="0"/>
            </a:rPr>
            <a:t> (v %)</a:t>
          </a:r>
        </a:p>
      </cdr:txBody>
    </cdr:sp>
  </cdr:relSizeAnchor>
  <cdr:relSizeAnchor xmlns:cdr="http://schemas.openxmlformats.org/drawingml/2006/chartDrawing">
    <cdr:from>
      <cdr:x>0.65302</cdr:x>
      <cdr:y>0.85517</cdr:y>
    </cdr:from>
    <cdr:to>
      <cdr:x>0.69812</cdr:x>
      <cdr:y>0.87534</cdr:y>
    </cdr:to>
    <cdr:sp macro="" textlink="">
      <cdr:nvSpPr>
        <cdr:cNvPr id="4" name="Obdélník 3"/>
        <cdr:cNvSpPr/>
      </cdr:nvSpPr>
      <cdr:spPr>
        <a:xfrm xmlns:a="http://schemas.openxmlformats.org/drawingml/2006/main">
          <a:off x="3120864" y="3017026"/>
          <a:ext cx="215539" cy="71160"/>
        </a:xfrm>
        <a:prstGeom xmlns:a="http://schemas.openxmlformats.org/drawingml/2006/main" prst="rect">
          <a:avLst/>
        </a:prstGeom>
        <a:solidFill xmlns:a="http://schemas.openxmlformats.org/drawingml/2006/main">
          <a:srgbClr val="48AEE7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0.69896</cdr:x>
      <cdr:y>0.85479</cdr:y>
    </cdr:from>
    <cdr:to>
      <cdr:x>0.74406</cdr:x>
      <cdr:y>0.87496</cdr:y>
    </cdr:to>
    <cdr:sp macro="" textlink="">
      <cdr:nvSpPr>
        <cdr:cNvPr id="5" name="Obdélník 4"/>
        <cdr:cNvSpPr/>
      </cdr:nvSpPr>
      <cdr:spPr>
        <a:xfrm xmlns:a="http://schemas.openxmlformats.org/drawingml/2006/main">
          <a:off x="3340401" y="3015703"/>
          <a:ext cx="215538" cy="71160"/>
        </a:xfrm>
        <a:prstGeom xmlns:a="http://schemas.openxmlformats.org/drawingml/2006/main" prst="rect">
          <a:avLst/>
        </a:prstGeom>
        <a:solidFill xmlns:a="http://schemas.openxmlformats.org/drawingml/2006/main">
          <a:srgbClr val="BFE3F7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0.57926</cdr:x>
      <cdr:y>0.68572</cdr:y>
    </cdr:from>
    <cdr:to>
      <cdr:x>0.97268</cdr:x>
      <cdr:y>0.81223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2726370" y="2419614"/>
          <a:ext cx="1851680" cy="4464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6350">
          <a:solidFill>
            <a:schemeClr val="tx1">
              <a:lumMod val="65000"/>
              <a:lumOff val="35000"/>
            </a:schemeClr>
          </a:solidFill>
        </a:ln>
      </cdr:spPr>
      <cdr:txBody>
        <a:bodyPr xmlns:a="http://schemas.openxmlformats.org/drawingml/2006/main" vertOverflow="clip" wrap="square" lIns="36000" tIns="36000" rIns="36000" bIns="36000" rtlCol="0"/>
        <a:lstStyle xmlns:a="http://schemas.openxmlformats.org/drawingml/2006/main"/>
        <a:p xmlns:a="http://schemas.openxmlformats.org/drawingml/2006/main"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b="0">
              <a:latin typeface="Arial" pitchFamily="34" charset="0"/>
              <a:ea typeface="+mn-ea"/>
              <a:cs typeface="Arial" pitchFamily="34" charset="0"/>
            </a:rPr>
            <a:t>Podíl podniků pod zahraniční kontrolou na HPH vytvořené všemi nefinančními podniky v roce 2016</a:t>
          </a:r>
          <a:r>
            <a:rPr lang="cs-CZ" sz="800" b="0" baseline="0">
              <a:latin typeface="Arial" pitchFamily="34" charset="0"/>
              <a:ea typeface="+mn-ea"/>
              <a:cs typeface="Arial" pitchFamily="34" charset="0"/>
            </a:rPr>
            <a:t> </a:t>
          </a:r>
          <a:r>
            <a:rPr lang="cs-CZ" sz="800" b="0">
              <a:latin typeface="Arial" pitchFamily="34" charset="0"/>
              <a:ea typeface="+mn-ea"/>
              <a:cs typeface="Arial" pitchFamily="34" charset="0"/>
            </a:rPr>
            <a:t>(v %)</a:t>
          </a:r>
          <a:endParaRPr lang="cs-CZ" sz="800" b="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0.63409</cdr:x>
      <cdr:y>0.81699</cdr:y>
    </cdr:from>
    <cdr:to>
      <cdr:x>0.96065</cdr:x>
      <cdr:y>0.86118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3031270" y="2882346"/>
          <a:ext cx="1561118" cy="1559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800">
              <a:latin typeface="Arial" pitchFamily="34" charset="0"/>
              <a:ea typeface="+mn-ea"/>
              <a:cs typeface="Arial" pitchFamily="34" charset="0"/>
            </a:rPr>
            <a:t>30    40</a:t>
          </a:r>
          <a:r>
            <a:rPr lang="cs-CZ" sz="800" baseline="0">
              <a:latin typeface="Arial" pitchFamily="34" charset="0"/>
              <a:ea typeface="+mn-ea"/>
              <a:cs typeface="Arial" pitchFamily="34" charset="0"/>
            </a:rPr>
            <a:t>    </a:t>
          </a:r>
          <a:r>
            <a:rPr lang="cs-CZ" sz="800">
              <a:latin typeface="Arial" pitchFamily="34" charset="0"/>
              <a:ea typeface="+mn-ea"/>
              <a:cs typeface="Arial" pitchFamily="34" charset="0"/>
            </a:rPr>
            <a:t>50    60    70    80    90  </a:t>
          </a:r>
          <a:endParaRPr lang="cs-CZ" sz="800">
            <a:latin typeface="Arial" pitchFamily="34" charset="0"/>
            <a:cs typeface="Arial" pitchFamily="34" charset="0"/>
          </a:endParaRPr>
        </a:p>
      </cdr:txBody>
    </cdr:sp>
  </cdr:relSizeAnchor>
  <cdr:relSizeAnchor xmlns:cdr="http://schemas.openxmlformats.org/drawingml/2006/chartDrawing">
    <cdr:from>
      <cdr:x>0.74458</cdr:x>
      <cdr:y>0.85473</cdr:y>
    </cdr:from>
    <cdr:to>
      <cdr:x>0.78969</cdr:x>
      <cdr:y>0.87491</cdr:y>
    </cdr:to>
    <cdr:sp macro="" textlink="">
      <cdr:nvSpPr>
        <cdr:cNvPr id="8" name="Obdélník 7"/>
        <cdr:cNvSpPr/>
      </cdr:nvSpPr>
      <cdr:spPr>
        <a:xfrm xmlns:a="http://schemas.openxmlformats.org/drawingml/2006/main">
          <a:off x="3558457" y="3015492"/>
          <a:ext cx="215587" cy="71195"/>
        </a:xfrm>
        <a:prstGeom xmlns:a="http://schemas.openxmlformats.org/drawingml/2006/main" prst="rect">
          <a:avLst/>
        </a:prstGeom>
        <a:solidFill xmlns:a="http://schemas.openxmlformats.org/drawingml/2006/main">
          <a:srgbClr val="D2E7B6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0.83445</cdr:x>
      <cdr:y>0.85529</cdr:y>
    </cdr:from>
    <cdr:to>
      <cdr:x>0.87955</cdr:x>
      <cdr:y>0.87547</cdr:y>
    </cdr:to>
    <cdr:sp macro="" textlink="">
      <cdr:nvSpPr>
        <cdr:cNvPr id="9" name="Obdélník 8"/>
        <cdr:cNvSpPr/>
      </cdr:nvSpPr>
      <cdr:spPr>
        <a:xfrm xmlns:a="http://schemas.openxmlformats.org/drawingml/2006/main">
          <a:off x="3987958" y="3017449"/>
          <a:ext cx="215539" cy="71195"/>
        </a:xfrm>
        <a:prstGeom xmlns:a="http://schemas.openxmlformats.org/drawingml/2006/main" prst="rect">
          <a:avLst/>
        </a:prstGeom>
        <a:solidFill xmlns:a="http://schemas.openxmlformats.org/drawingml/2006/main">
          <a:srgbClr val="FCCD8E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0.78968</cdr:x>
      <cdr:y>0.85488</cdr:y>
    </cdr:from>
    <cdr:to>
      <cdr:x>0.83478</cdr:x>
      <cdr:y>0.87506</cdr:y>
    </cdr:to>
    <cdr:sp macro="" textlink="">
      <cdr:nvSpPr>
        <cdr:cNvPr id="10" name="Obdélník 9"/>
        <cdr:cNvSpPr/>
      </cdr:nvSpPr>
      <cdr:spPr>
        <a:xfrm xmlns:a="http://schemas.openxmlformats.org/drawingml/2006/main">
          <a:off x="3773995" y="3016021"/>
          <a:ext cx="215539" cy="71195"/>
        </a:xfrm>
        <a:prstGeom xmlns:a="http://schemas.openxmlformats.org/drawingml/2006/main" prst="rect">
          <a:avLst/>
        </a:prstGeom>
        <a:solidFill xmlns:a="http://schemas.openxmlformats.org/drawingml/2006/main">
          <a:srgbClr val="FFFF53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0.92544</cdr:x>
      <cdr:y>0.85469</cdr:y>
    </cdr:from>
    <cdr:to>
      <cdr:x>0.97054</cdr:x>
      <cdr:y>0.87486</cdr:y>
    </cdr:to>
    <cdr:sp macro="" textlink="">
      <cdr:nvSpPr>
        <cdr:cNvPr id="11" name="Obdélník 10"/>
        <cdr:cNvSpPr/>
      </cdr:nvSpPr>
      <cdr:spPr>
        <a:xfrm xmlns:a="http://schemas.openxmlformats.org/drawingml/2006/main">
          <a:off x="4429214" y="3015345"/>
          <a:ext cx="215851" cy="71160"/>
        </a:xfrm>
        <a:prstGeom xmlns:a="http://schemas.openxmlformats.org/drawingml/2006/main" prst="rect">
          <a:avLst/>
        </a:prstGeom>
        <a:solidFill xmlns:a="http://schemas.openxmlformats.org/drawingml/2006/main">
          <a:srgbClr val="BD1B21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0.8794</cdr:x>
      <cdr:y>0.85498</cdr:y>
    </cdr:from>
    <cdr:to>
      <cdr:x>0.9245</cdr:x>
      <cdr:y>0.87516</cdr:y>
    </cdr:to>
    <cdr:sp macro="" textlink="">
      <cdr:nvSpPr>
        <cdr:cNvPr id="12" name="Obdélník 11"/>
        <cdr:cNvSpPr/>
      </cdr:nvSpPr>
      <cdr:spPr>
        <a:xfrm xmlns:a="http://schemas.openxmlformats.org/drawingml/2006/main">
          <a:off x="4202747" y="3016367"/>
          <a:ext cx="215540" cy="71195"/>
        </a:xfrm>
        <a:prstGeom xmlns:a="http://schemas.openxmlformats.org/drawingml/2006/main" prst="rect">
          <a:avLst/>
        </a:prstGeom>
        <a:solidFill xmlns:a="http://schemas.openxmlformats.org/drawingml/2006/main">
          <a:srgbClr val="F8A124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0.60731</cdr:x>
      <cdr:y>0.85475</cdr:y>
    </cdr:from>
    <cdr:to>
      <cdr:x>0.65241</cdr:x>
      <cdr:y>0.87492</cdr:y>
    </cdr:to>
    <cdr:sp macro="" textlink="">
      <cdr:nvSpPr>
        <cdr:cNvPr id="13" name="Obdélník 12"/>
        <cdr:cNvSpPr/>
      </cdr:nvSpPr>
      <cdr:spPr>
        <a:xfrm xmlns:a="http://schemas.openxmlformats.org/drawingml/2006/main">
          <a:off x="2902435" y="3015561"/>
          <a:ext cx="215539" cy="71160"/>
        </a:xfrm>
        <a:prstGeom xmlns:a="http://schemas.openxmlformats.org/drawingml/2006/main" prst="rect">
          <a:avLst/>
        </a:prstGeom>
        <a:solidFill xmlns:a="http://schemas.openxmlformats.org/drawingml/2006/main">
          <a:srgbClr val="0071BC"/>
        </a:solidFill>
        <a:ln xmlns:a="http://schemas.openxmlformats.org/drawingml/2006/main" w="6350" cap="flat" cmpd="sng" algn="ctr">
          <a:solidFill>
            <a:sysClr val="window" lastClr="FFFFFF">
              <a:lumMod val="50000"/>
            </a:sys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wrap="square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0.25195</cdr:x>
      <cdr:y>0.50325</cdr:y>
    </cdr:from>
    <cdr:to>
      <cdr:x>0.35465</cdr:x>
      <cdr:y>0.67788</cdr:y>
    </cdr:to>
    <cdr:sp macro="" textlink="">
      <cdr:nvSpPr>
        <cdr:cNvPr id="15" name="Přímá spojovací šipka 14"/>
        <cdr:cNvSpPr/>
      </cdr:nvSpPr>
      <cdr:spPr>
        <a:xfrm xmlns:a="http://schemas.openxmlformats.org/drawingml/2006/main" flipV="1">
          <a:off x="1204937" y="1775454"/>
          <a:ext cx="491163" cy="616095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0.49893</cdr:x>
      <cdr:y>0.38028</cdr:y>
    </cdr:from>
    <cdr:to>
      <cdr:x>0.70885</cdr:x>
      <cdr:y>0.42594</cdr:y>
    </cdr:to>
    <cdr:sp macro="" textlink="">
      <cdr:nvSpPr>
        <cdr:cNvPr id="19" name="Přímá spojovací šipka 18"/>
        <cdr:cNvSpPr/>
      </cdr:nvSpPr>
      <cdr:spPr>
        <a:xfrm xmlns:a="http://schemas.openxmlformats.org/drawingml/2006/main" flipH="1" flipV="1">
          <a:off x="2388878" y="1341643"/>
          <a:ext cx="1005081" cy="161074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0.31384</cdr:x>
      <cdr:y>0.28923</cdr:y>
    </cdr:from>
    <cdr:to>
      <cdr:x>0.37987</cdr:x>
      <cdr:y>0.31083</cdr:y>
    </cdr:to>
    <cdr:sp macro="" textlink="">
      <cdr:nvSpPr>
        <cdr:cNvPr id="32" name="Přímá spojovací šipka 31"/>
        <cdr:cNvSpPr/>
      </cdr:nvSpPr>
      <cdr:spPr>
        <a:xfrm xmlns:a="http://schemas.openxmlformats.org/drawingml/2006/main" flipH="1" flipV="1">
          <a:off x="1500303" y="1020402"/>
          <a:ext cx="315684" cy="76199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0.29562</cdr:x>
      <cdr:y>0.3494</cdr:y>
    </cdr:from>
    <cdr:to>
      <cdr:x>0.37117</cdr:x>
      <cdr:y>0.37335</cdr:y>
    </cdr:to>
    <cdr:sp macro="" textlink="">
      <cdr:nvSpPr>
        <cdr:cNvPr id="34" name="Přímá spojovací šipka 33"/>
        <cdr:cNvSpPr/>
      </cdr:nvSpPr>
      <cdr:spPr>
        <a:xfrm xmlns:a="http://schemas.openxmlformats.org/drawingml/2006/main" flipH="1" flipV="1">
          <a:off x="1413218" y="1232674"/>
          <a:ext cx="361151" cy="84496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0.28063</cdr:x>
      <cdr:y>0.38276</cdr:y>
    </cdr:from>
    <cdr:to>
      <cdr:x>0.31665</cdr:x>
      <cdr:y>0.39572</cdr:y>
    </cdr:to>
    <cdr:sp macro="" textlink="">
      <cdr:nvSpPr>
        <cdr:cNvPr id="35" name="Přímá spojovací šipka 34"/>
        <cdr:cNvSpPr/>
      </cdr:nvSpPr>
      <cdr:spPr>
        <a:xfrm xmlns:a="http://schemas.openxmlformats.org/drawingml/2006/main" flipH="1">
          <a:off x="1320800" y="1350602"/>
          <a:ext cx="169556" cy="45719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0.45542</cdr:x>
      <cdr:y>0.50176</cdr:y>
    </cdr:from>
    <cdr:to>
      <cdr:x>0.5442</cdr:x>
      <cdr:y>0.57975</cdr:y>
    </cdr:to>
    <cdr:sp macro="" textlink="">
      <cdr:nvSpPr>
        <cdr:cNvPr id="36" name="Přímá spojovací šipka 35"/>
        <cdr:cNvSpPr/>
      </cdr:nvSpPr>
      <cdr:spPr>
        <a:xfrm xmlns:a="http://schemas.openxmlformats.org/drawingml/2006/main" flipH="1" flipV="1">
          <a:off x="2178034" y="1770208"/>
          <a:ext cx="424590" cy="275149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0.34673</cdr:x>
      <cdr:y>0.4337</cdr:y>
    </cdr:from>
    <cdr:to>
      <cdr:x>0.3974</cdr:x>
      <cdr:y>0.43442</cdr:y>
    </cdr:to>
    <cdr:sp macro="" textlink="">
      <cdr:nvSpPr>
        <cdr:cNvPr id="39" name="Přímá spojovací čára 38"/>
        <cdr:cNvSpPr/>
      </cdr:nvSpPr>
      <cdr:spPr>
        <a:xfrm xmlns:a="http://schemas.openxmlformats.org/drawingml/2006/main">
          <a:off x="1631950" y="1530350"/>
          <a:ext cx="238467" cy="2534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0.30043</cdr:x>
      <cdr:y>0.47345</cdr:y>
    </cdr:from>
    <cdr:to>
      <cdr:x>0.33061</cdr:x>
      <cdr:y>0.47531</cdr:y>
    </cdr:to>
    <cdr:sp macro="" textlink="">
      <cdr:nvSpPr>
        <cdr:cNvPr id="40" name="Přímá spojovací čára 39"/>
        <cdr:cNvSpPr/>
      </cdr:nvSpPr>
      <cdr:spPr>
        <a:xfrm xmlns:a="http://schemas.openxmlformats.org/drawingml/2006/main" flipV="1">
          <a:off x="1436185" y="1670336"/>
          <a:ext cx="144291" cy="6569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0.29169</cdr:x>
      <cdr:y>0.51594</cdr:y>
    </cdr:from>
    <cdr:to>
      <cdr:x>0.32188</cdr:x>
      <cdr:y>0.5178</cdr:y>
    </cdr:to>
    <cdr:sp macro="" textlink="">
      <cdr:nvSpPr>
        <cdr:cNvPr id="42" name="Přímá spojovací čára 41"/>
        <cdr:cNvSpPr/>
      </cdr:nvSpPr>
      <cdr:spPr>
        <a:xfrm xmlns:a="http://schemas.openxmlformats.org/drawingml/2006/main" flipV="1">
          <a:off x="1394435" y="1820232"/>
          <a:ext cx="144292" cy="6569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0.45457</cdr:x>
      <cdr:y>0.45329</cdr:y>
    </cdr:from>
    <cdr:to>
      <cdr:x>0.54514</cdr:x>
      <cdr:y>0.5041</cdr:y>
    </cdr:to>
    <cdr:sp macro="" textlink="">
      <cdr:nvSpPr>
        <cdr:cNvPr id="43" name="Přímá spojovací čára 42"/>
        <cdr:cNvSpPr/>
      </cdr:nvSpPr>
      <cdr:spPr>
        <a:xfrm xmlns:a="http://schemas.openxmlformats.org/drawingml/2006/main">
          <a:off x="2174001" y="1599205"/>
          <a:ext cx="433151" cy="179258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0.34116</cdr:x>
      <cdr:y>0.49931</cdr:y>
    </cdr:from>
    <cdr:to>
      <cdr:x>0.37359</cdr:x>
      <cdr:y>0.59047</cdr:y>
    </cdr:to>
    <cdr:sp macro="" textlink="">
      <cdr:nvSpPr>
        <cdr:cNvPr id="44" name="Přímá spojovací šipka 43"/>
        <cdr:cNvSpPr/>
      </cdr:nvSpPr>
      <cdr:spPr>
        <a:xfrm xmlns:a="http://schemas.openxmlformats.org/drawingml/2006/main" flipV="1">
          <a:off x="1630927" y="1761565"/>
          <a:ext cx="155031" cy="321613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0.39908</cdr:x>
      <cdr:y>0.47954</cdr:y>
    </cdr:from>
    <cdr:to>
      <cdr:x>0.40864</cdr:x>
      <cdr:y>0.66736</cdr:y>
    </cdr:to>
    <cdr:sp macro="" textlink="">
      <cdr:nvSpPr>
        <cdr:cNvPr id="45" name="Přímá spojovací šipka 44"/>
        <cdr:cNvSpPr/>
      </cdr:nvSpPr>
      <cdr:spPr>
        <a:xfrm xmlns:a="http://schemas.openxmlformats.org/drawingml/2006/main" flipH="1" flipV="1">
          <a:off x="1907798" y="1691833"/>
          <a:ext cx="45702" cy="662629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0.4601</cdr:x>
      <cdr:y>0.48169</cdr:y>
    </cdr:from>
    <cdr:to>
      <cdr:x>0.56971</cdr:x>
      <cdr:y>0.55378</cdr:y>
    </cdr:to>
    <cdr:sp macro="" textlink="">
      <cdr:nvSpPr>
        <cdr:cNvPr id="47" name="Přímá spojovací čára 46"/>
        <cdr:cNvSpPr/>
      </cdr:nvSpPr>
      <cdr:spPr>
        <a:xfrm xmlns:a="http://schemas.openxmlformats.org/drawingml/2006/main">
          <a:off x="2200433" y="1699389"/>
          <a:ext cx="524212" cy="254362"/>
        </a:xfrm>
        <a:prstGeom xmlns:a="http://schemas.openxmlformats.org/drawingml/2006/main" prst="line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0.42138</cdr:x>
      <cdr:y>0.2421</cdr:y>
    </cdr:from>
    <cdr:to>
      <cdr:x>0.4396</cdr:x>
      <cdr:y>0.26524</cdr:y>
    </cdr:to>
    <cdr:sp macro="" textlink="">
      <cdr:nvSpPr>
        <cdr:cNvPr id="48" name="Přímá spojovací šipka 47"/>
        <cdr:cNvSpPr/>
      </cdr:nvSpPr>
      <cdr:spPr>
        <a:xfrm xmlns:a="http://schemas.openxmlformats.org/drawingml/2006/main" flipV="1">
          <a:off x="2017424" y="854142"/>
          <a:ext cx="87231" cy="81638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0.41196</cdr:x>
      <cdr:y>0.55574</cdr:y>
    </cdr:from>
    <cdr:to>
      <cdr:x>0.61509</cdr:x>
      <cdr:y>0.60121</cdr:y>
    </cdr:to>
    <cdr:sp macro="" textlink="">
      <cdr:nvSpPr>
        <cdr:cNvPr id="31" name="Oblouk 30"/>
        <cdr:cNvSpPr/>
      </cdr:nvSpPr>
      <cdr:spPr>
        <a:xfrm xmlns:a="http://schemas.openxmlformats.org/drawingml/2006/main" rot="13221271">
          <a:off x="1972299" y="1960644"/>
          <a:ext cx="972552" cy="160421"/>
        </a:xfrm>
        <a:prstGeom xmlns:a="http://schemas.openxmlformats.org/drawingml/2006/main" prst="arc">
          <a:avLst>
            <a:gd name="adj1" fmla="val 11884047"/>
            <a:gd name="adj2" fmla="val 0"/>
          </a:avLst>
        </a:prstGeom>
        <a:ln xmlns:a="http://schemas.openxmlformats.org/drawingml/2006/main" w="3175">
          <a:solidFill>
            <a:schemeClr val="tx1">
              <a:lumMod val="85000"/>
              <a:lumOff val="1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0.49926</cdr:x>
      <cdr:y>0.31486</cdr:y>
    </cdr:from>
    <cdr:to>
      <cdr:x>0.54968</cdr:x>
      <cdr:y>0.33161</cdr:y>
    </cdr:to>
    <cdr:sp macro="" textlink="">
      <cdr:nvSpPr>
        <cdr:cNvPr id="33" name="Přímá spojovací šipka 32"/>
        <cdr:cNvSpPr/>
      </cdr:nvSpPr>
      <cdr:spPr>
        <a:xfrm xmlns:a="http://schemas.openxmlformats.org/drawingml/2006/main" flipH="1">
          <a:off x="2386996" y="1110813"/>
          <a:ext cx="241022" cy="59118"/>
        </a:xfrm>
        <a:prstGeom xmlns:a="http://schemas.openxmlformats.org/drawingml/2006/main" prst="straightConnector1">
          <a:avLst/>
        </a:prstGeom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  <a:tailEnd type="non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cs-CZ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79CB-180C-4A9A-99B0-592A9B5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10</TotalTime>
  <Pages>7</Pages>
  <Words>2423</Words>
  <Characters>14296</Characters>
  <Application>Microsoft Office Word</Application>
  <DocSecurity>0</DocSecurity>
  <Lines>119</Lines>
  <Paragraphs>33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16686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2014-07-17T14:07:00Z</cp:lastPrinted>
  <dcterms:created xsi:type="dcterms:W3CDTF">2018-10-29T15:52:00Z</dcterms:created>
  <dcterms:modified xsi:type="dcterms:W3CDTF">2018-10-29T16:01:00Z</dcterms:modified>
</cp:coreProperties>
</file>