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Pr="00360DE3" w:rsidRDefault="00F46502" w:rsidP="00F46502">
      <w:pPr>
        <w:pStyle w:val="Nadpis11"/>
      </w:pPr>
      <w:bookmarkStart w:id="0" w:name="_Toc527639457"/>
      <w:r w:rsidRPr="00360DE3">
        <w:t>Shrnutí</w:t>
      </w:r>
      <w:bookmarkEnd w:id="0"/>
    </w:p>
    <w:p w:rsidR="00CB259D" w:rsidRPr="005A2C7B" w:rsidRDefault="006003D1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>Pro českou ekonomiku byl v roce 2017 příznačný silný hospodářský růst. Hrubý domácí produkt</w:t>
      </w:r>
      <w:r w:rsidR="00CE153B" w:rsidRPr="005A2C7B">
        <w:rPr>
          <w:spacing w:val="-4"/>
        </w:rPr>
        <w:t xml:space="preserve"> (HDP)</w:t>
      </w:r>
      <w:r w:rsidRPr="005A2C7B">
        <w:rPr>
          <w:spacing w:val="-4"/>
        </w:rPr>
        <w:t xml:space="preserve"> se navýšil o 4,3 % a přispěly k tomu všechny jeho složky. </w:t>
      </w:r>
      <w:r w:rsidR="00CE153B" w:rsidRPr="005A2C7B">
        <w:rPr>
          <w:spacing w:val="-4"/>
        </w:rPr>
        <w:t>Posílila role spotřeby, která se loni zvýšila o</w:t>
      </w:r>
      <w:r w:rsidR="003870EE" w:rsidRPr="005A2C7B">
        <w:rPr>
          <w:spacing w:val="-4"/>
        </w:rPr>
        <w:t> </w:t>
      </w:r>
      <w:r w:rsidR="00CE153B" w:rsidRPr="005A2C7B">
        <w:rPr>
          <w:spacing w:val="-4"/>
        </w:rPr>
        <w:t xml:space="preserve">3,4 %. Po slabém roce 2016 k růstu HDP přispěly i investiční výdaje. Ty vzrostly o 3,7 %. </w:t>
      </w:r>
      <w:r w:rsidR="008E0DC9" w:rsidRPr="005A2C7B">
        <w:rPr>
          <w:spacing w:val="-4"/>
        </w:rPr>
        <w:t>Již čtvrtý rok přetrval silný kladný příspěvek bilance zahraničního obchodu. Hrubá přidaná hodnota</w:t>
      </w:r>
      <w:r w:rsidR="004E326C" w:rsidRPr="005A2C7B">
        <w:rPr>
          <w:spacing w:val="-4"/>
        </w:rPr>
        <w:t xml:space="preserve"> (HPH)</w:t>
      </w:r>
      <w:r w:rsidR="008E0DC9" w:rsidRPr="005A2C7B">
        <w:rPr>
          <w:spacing w:val="-4"/>
        </w:rPr>
        <w:t xml:space="preserve"> se zvýšila o</w:t>
      </w:r>
      <w:r w:rsidR="003870EE" w:rsidRPr="005A2C7B">
        <w:rPr>
          <w:spacing w:val="-4"/>
        </w:rPr>
        <w:t> </w:t>
      </w:r>
      <w:r w:rsidR="008E0DC9" w:rsidRPr="005A2C7B">
        <w:rPr>
          <w:spacing w:val="-4"/>
        </w:rPr>
        <w:t xml:space="preserve">4,2 %. </w:t>
      </w:r>
      <w:r w:rsidR="004E326C" w:rsidRPr="005A2C7B">
        <w:rPr>
          <w:spacing w:val="-4"/>
        </w:rPr>
        <w:t>Silná zahraniční poptávka byla živnou půdou pro zpracovatelský průmysl, který většinově přispíval k růstu HPH. Díky rostoucí domácí kupní síle však prosperovala i odvětví služeb.</w:t>
      </w:r>
      <w:r w:rsidR="00CB259D" w:rsidRPr="005A2C7B">
        <w:rPr>
          <w:spacing w:val="-4"/>
        </w:rPr>
        <w:t xml:space="preserve"> Česko patřilo mezi nejrychleji rostoucí země EU. Výrazně překonalo unijní průměr růstu HDP, který dosáhl 2,4 %</w:t>
      </w:r>
    </w:p>
    <w:p w:rsidR="00330060" w:rsidRPr="005A2C7B" w:rsidRDefault="003870EE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 xml:space="preserve">Cenový vývoj se </w:t>
      </w:r>
      <w:r w:rsidR="001916DB" w:rsidRPr="005A2C7B">
        <w:rPr>
          <w:spacing w:val="-4"/>
        </w:rPr>
        <w:t xml:space="preserve">v roce 2017 odpoutal od </w:t>
      </w:r>
      <w:r w:rsidR="00D943C6" w:rsidRPr="005A2C7B">
        <w:rPr>
          <w:spacing w:val="-4"/>
        </w:rPr>
        <w:t xml:space="preserve">trendu předchozích </w:t>
      </w:r>
      <w:r w:rsidR="006F2595" w:rsidRPr="005A2C7B">
        <w:rPr>
          <w:spacing w:val="-4"/>
        </w:rPr>
        <w:t xml:space="preserve">tří let a vykázal výraznější růstovou dynamiku. Zrychlil zejména růst </w:t>
      </w:r>
      <w:r w:rsidR="001528B9" w:rsidRPr="005A2C7B">
        <w:rPr>
          <w:spacing w:val="-4"/>
        </w:rPr>
        <w:t xml:space="preserve">spotřebitelských cen, které se v loňském roce zvýšily celkem o 2,5 %. Hlavním tahounem růstu byly ceny potravin, zesílil však i vliv cen bydlení a dopravy. Zejména ceny bydlení vstoupily do veřejné diskuze v souvislosti se silně rostoucími cenami nemovitostí. </w:t>
      </w:r>
      <w:r w:rsidR="005E2A7C" w:rsidRPr="005A2C7B">
        <w:rPr>
          <w:spacing w:val="-4"/>
        </w:rPr>
        <w:t xml:space="preserve">Výrazné zrychlení růstu spotřebitelských cen bylo společné celé EU. </w:t>
      </w:r>
      <w:r w:rsidR="00BA0DD3" w:rsidRPr="005A2C7B">
        <w:rPr>
          <w:spacing w:val="-4"/>
        </w:rPr>
        <w:t>Ceny průmysl</w:t>
      </w:r>
      <w:r w:rsidR="00A230A8" w:rsidRPr="005A2C7B">
        <w:rPr>
          <w:spacing w:val="-4"/>
        </w:rPr>
        <w:t>ových výrobců se loni zvýšily o </w:t>
      </w:r>
      <w:r w:rsidR="00BA0DD3" w:rsidRPr="005A2C7B">
        <w:rPr>
          <w:spacing w:val="-4"/>
        </w:rPr>
        <w:t>1,8 %. Hlavní podíl na tom mělo navýšení cen ve zpracovatelském průmyslu o 2,3 %, po pěti letech se však zvýšily i ceny těžby a dobývání (3,8 %).</w:t>
      </w:r>
      <w:r w:rsidR="00330060" w:rsidRPr="005A2C7B">
        <w:rPr>
          <w:spacing w:val="-4"/>
        </w:rPr>
        <w:t xml:space="preserve"> Výrazného růstu se dočkaly i ceny zemědělské výroby (</w:t>
      </w:r>
      <w:r w:rsidR="00716E3F" w:rsidRPr="005A2C7B">
        <w:rPr>
          <w:spacing w:val="-4"/>
        </w:rPr>
        <w:t>7,3 %</w:t>
      </w:r>
      <w:r w:rsidR="00330060" w:rsidRPr="005A2C7B">
        <w:rPr>
          <w:spacing w:val="-4"/>
        </w:rPr>
        <w:t>)</w:t>
      </w:r>
      <w:r w:rsidR="00716E3F" w:rsidRPr="005A2C7B">
        <w:rPr>
          <w:spacing w:val="-4"/>
        </w:rPr>
        <w:t xml:space="preserve">. Přispěly k tomu především ceny živočišné výroby, které vzrostly o 15,2 %. </w:t>
      </w:r>
      <w:r w:rsidR="00F859D0" w:rsidRPr="005A2C7B">
        <w:rPr>
          <w:spacing w:val="-4"/>
        </w:rPr>
        <w:t>Celkové zrychlení ekonomiky a zejména mzdového růstu vedlo i ke zvýšení cen tržních služeb o 1,3 %. Domácí cenový vývoj ovlivňovaly i negativní směnné relace. Ty byly výsledkem poklesu cen vývozu o 0,1 % (ceny dovozu vzrostly o 0,9 %). Klíčovým faktorem se stalo posílení kurzu koruny vůči euru i dolaru. To způsobovalo pokles cen vývozu i dovozu, zejména v druhé polovině roku.</w:t>
      </w:r>
      <w:r w:rsidR="00716E3F" w:rsidRPr="005A2C7B">
        <w:rPr>
          <w:spacing w:val="-4"/>
        </w:rPr>
        <w:t xml:space="preserve"> </w:t>
      </w:r>
    </w:p>
    <w:p w:rsidR="003870EE" w:rsidRPr="005A2C7B" w:rsidRDefault="00FF3EEC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>V roce 2017 silně rostl vývoz (</w:t>
      </w:r>
      <w:r w:rsidR="00193818" w:rsidRPr="005A2C7B">
        <w:rPr>
          <w:spacing w:val="-4"/>
        </w:rPr>
        <w:t>6,5 %</w:t>
      </w:r>
      <w:r w:rsidRPr="005A2C7B">
        <w:rPr>
          <w:spacing w:val="-4"/>
        </w:rPr>
        <w:t>) i dovoz (</w:t>
      </w:r>
      <w:r w:rsidR="00193818" w:rsidRPr="005A2C7B">
        <w:rPr>
          <w:spacing w:val="-4"/>
        </w:rPr>
        <w:t>6,8 %</w:t>
      </w:r>
      <w:r w:rsidRPr="005A2C7B">
        <w:rPr>
          <w:spacing w:val="-4"/>
        </w:rPr>
        <w:t>) zboží. Rostl přebytek obchodu s</w:t>
      </w:r>
      <w:r w:rsidR="009C3ED8">
        <w:rPr>
          <w:spacing w:val="-4"/>
        </w:rPr>
        <w:t> motorovými vozidly a</w:t>
      </w:r>
      <w:r w:rsidR="009C3ED8" w:rsidRPr="005A2C7B">
        <w:rPr>
          <w:spacing w:val="-4"/>
        </w:rPr>
        <w:t> </w:t>
      </w:r>
      <w:r w:rsidR="00193818" w:rsidRPr="005A2C7B">
        <w:rPr>
          <w:spacing w:val="-4"/>
        </w:rPr>
        <w:t xml:space="preserve">stroji a zařízeními. Růst cen některých surovin pak zvýšil deficit obchodu se zeměmi mimo EU, odkud Česko většinově suroviny dováží. </w:t>
      </w:r>
      <w:r w:rsidR="0010106F" w:rsidRPr="005A2C7B">
        <w:rPr>
          <w:spacing w:val="-4"/>
        </w:rPr>
        <w:t xml:space="preserve">Celkový přebytek zahraničního obchodu navyšovaly služby. </w:t>
      </w:r>
      <w:r w:rsidRPr="005A2C7B">
        <w:rPr>
          <w:spacing w:val="-4"/>
        </w:rPr>
        <w:t>Ekonomická prosperita vedla mimo jiné k nárůstu zisků</w:t>
      </w:r>
      <w:r w:rsidR="0010106F" w:rsidRPr="005A2C7B">
        <w:rPr>
          <w:spacing w:val="-4"/>
        </w:rPr>
        <w:t xml:space="preserve"> z přímých investic. Ty byly reinvestovány ve větší míře než v minulých letech. Ekonomické vztahy se zahraničím ovlivnilo i ukončení režimu intervencí a následné posílení kurzu koruny vůči ostatním měnám. Vedlo to k výraznému navýšení zahraničního dluhu, především v podobě krátkodobého zadlužení.</w:t>
      </w:r>
    </w:p>
    <w:p w:rsidR="006A73A6" w:rsidRPr="005A2C7B" w:rsidRDefault="007C7BAE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>Investiční výdaje se loni z</w:t>
      </w:r>
      <w:r w:rsidR="00186919" w:rsidRPr="005A2C7B">
        <w:rPr>
          <w:spacing w:val="-4"/>
        </w:rPr>
        <w:t>výšily o 3,3 %. Dynamika již ne</w:t>
      </w:r>
      <w:r w:rsidRPr="005A2C7B">
        <w:rPr>
          <w:spacing w:val="-4"/>
        </w:rPr>
        <w:t>byla tak ovlivněna vývojem čerpání evropských dotací jako v letech 2014-2016. Zvýšily se investiční výdaje ve všech sektorech ekonomiky. Nefinanční podniky se snažily výdaji na stroje a zařízení řešit problém nedostatku pracovní síly, domácnosti dále investovaly do obydlí. U finančních institucí pokračoval výrazný nárů</w:t>
      </w:r>
      <w:r w:rsidR="00C805DC">
        <w:rPr>
          <w:spacing w:val="-4"/>
        </w:rPr>
        <w:t>st investic</w:t>
      </w:r>
      <w:r w:rsidR="00A230A8" w:rsidRPr="005A2C7B">
        <w:rPr>
          <w:spacing w:val="-4"/>
        </w:rPr>
        <w:t xml:space="preserve"> směřovaný do ICT a </w:t>
      </w:r>
      <w:r w:rsidRPr="005A2C7B">
        <w:rPr>
          <w:spacing w:val="-4"/>
        </w:rPr>
        <w:t>produktů duševního vlastnictví. Vládní instituce mírně oživily investice d</w:t>
      </w:r>
      <w:r w:rsidR="005A2C7B">
        <w:rPr>
          <w:spacing w:val="-4"/>
        </w:rPr>
        <w:t>o infrastruktury. L</w:t>
      </w:r>
      <w:r w:rsidR="007D0C24" w:rsidRPr="005A2C7B">
        <w:rPr>
          <w:spacing w:val="-4"/>
        </w:rPr>
        <w:t>oňské posílení investiční aktivity bylo společné většině států ze střední a východní Evropy.</w:t>
      </w:r>
    </w:p>
    <w:p w:rsidR="00186919" w:rsidRPr="005A2C7B" w:rsidRDefault="00186919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 xml:space="preserve">Tuzemský trh práce zažil v roce 2017 výjimečný rok. Pokračující svižný růst ekonomiky se pozitivně odrazil v tvorbě nových pracovních míst i v tempu celkové zaměstnanosti. Role zpracovatelského průmyslu jako hlavního tvůrce pracovních míst loni oslabila ve prospěch služeb, kde sílila zejména odvětví s dominancí státu. Pokračovala také dlouhodobě silná poptávka po pracovnících v informačních a komunikačních činnostech. Sezónně očištěná míra obecné nezaměstnanosti se </w:t>
      </w:r>
      <w:r w:rsidR="00F433FE" w:rsidRPr="005A2C7B">
        <w:rPr>
          <w:spacing w:val="-4"/>
        </w:rPr>
        <w:t>v roce</w:t>
      </w:r>
      <w:r w:rsidRPr="005A2C7B">
        <w:rPr>
          <w:spacing w:val="-4"/>
        </w:rPr>
        <w:t xml:space="preserve"> 2017 plynule snižovala a na jeho konci dosahovala u žen 2,9 %, u mužů 2,0 %. Práci nacházeli hlavně dlouhodobě nezaměstnaní. V míře nezaměstnanosti podobně jako v míře volných pracovních míst drželo Česko primát v EU. Objem vyplacených mezd byl (v pojetí národních účtů) meziročně vyšší o 8,2 %. K akceleraci růstu průměrných výdělků přispělo zvyšování minimální mzdy i </w:t>
      </w:r>
      <w:r w:rsidR="00093E3F" w:rsidRPr="005A2C7B">
        <w:rPr>
          <w:spacing w:val="-4"/>
        </w:rPr>
        <w:t xml:space="preserve">navýšení v oblastech </w:t>
      </w:r>
      <w:r w:rsidRPr="005A2C7B">
        <w:rPr>
          <w:spacing w:val="-4"/>
        </w:rPr>
        <w:t xml:space="preserve">s dominací </w:t>
      </w:r>
      <w:r w:rsidR="00093E3F" w:rsidRPr="005A2C7B">
        <w:rPr>
          <w:spacing w:val="-4"/>
        </w:rPr>
        <w:t>veřejného sektoru</w:t>
      </w:r>
      <w:r w:rsidRPr="005A2C7B">
        <w:rPr>
          <w:spacing w:val="-4"/>
        </w:rPr>
        <w:t>. Relativní mzdové rozdíly z pohledu odvětví, profesí či regionů se nezvyšovaly.</w:t>
      </w:r>
    </w:p>
    <w:p w:rsidR="006A73A6" w:rsidRPr="005A2C7B" w:rsidRDefault="00680001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>Sektoru nefinančních podniků, reprezentovanému z pohledu tvorby HPH téměř z poloviny odvě</w:t>
      </w:r>
      <w:r w:rsidR="00C805DC">
        <w:rPr>
          <w:spacing w:val="-4"/>
        </w:rPr>
        <w:t>tvím průmyslu, se dařilo. Jeho</w:t>
      </w:r>
      <w:r w:rsidRPr="005A2C7B">
        <w:rPr>
          <w:spacing w:val="-4"/>
        </w:rPr>
        <w:t xml:space="preserve"> podíl na přidané hodnotě celé ekonomiky vzrostl na rekordních 62,7 %. Růstové tempo zaměstnanosti sláblo (na +1,7 %), přesto bylo vyšší než v celé ekonomice. Sílící náklady na pracovní </w:t>
      </w:r>
      <w:r w:rsidR="00093E3F" w:rsidRPr="005A2C7B">
        <w:rPr>
          <w:spacing w:val="-4"/>
        </w:rPr>
        <w:t>sílu se odrazily</w:t>
      </w:r>
      <w:r w:rsidRPr="005A2C7B">
        <w:rPr>
          <w:spacing w:val="-4"/>
        </w:rPr>
        <w:t xml:space="preserve"> v míře zisku podniků, jež klesla druhým rokem v řadě. V kontextu EU však patřila k nejvyšším, unijní úroveň převyšovala o 9,4 p. </w:t>
      </w:r>
      <w:proofErr w:type="spellStart"/>
      <w:r w:rsidRPr="005A2C7B">
        <w:rPr>
          <w:spacing w:val="-4"/>
        </w:rPr>
        <w:t>b</w:t>
      </w:r>
      <w:proofErr w:type="spellEnd"/>
      <w:r w:rsidRPr="005A2C7B">
        <w:rPr>
          <w:spacing w:val="-4"/>
        </w:rPr>
        <w:t xml:space="preserve">. Výše čistého odlivu vlastnických důchodů ze sektoru nefinančních podniků (509 mld. korun) se meziročně nezměnila, když snížení </w:t>
      </w:r>
      <w:r w:rsidR="00093E3F" w:rsidRPr="005A2C7B">
        <w:rPr>
          <w:spacing w:val="-4"/>
        </w:rPr>
        <w:t>negativní</w:t>
      </w:r>
      <w:r w:rsidRPr="005A2C7B">
        <w:rPr>
          <w:spacing w:val="-4"/>
        </w:rPr>
        <w:t xml:space="preserve">ho </w:t>
      </w:r>
      <w:r w:rsidR="00093E3F" w:rsidRPr="005A2C7B">
        <w:rPr>
          <w:spacing w:val="-4"/>
        </w:rPr>
        <w:t>salda</w:t>
      </w:r>
      <w:r w:rsidRPr="005A2C7B">
        <w:rPr>
          <w:spacing w:val="-4"/>
        </w:rPr>
        <w:t xml:space="preserve"> úroků</w:t>
      </w:r>
      <w:r w:rsidR="00093E3F" w:rsidRPr="005A2C7B">
        <w:rPr>
          <w:spacing w:val="-4"/>
        </w:rPr>
        <w:t xml:space="preserve">, ale i </w:t>
      </w:r>
      <w:r w:rsidRPr="005A2C7B">
        <w:rPr>
          <w:spacing w:val="-4"/>
        </w:rPr>
        <w:t xml:space="preserve">dividend bylo </w:t>
      </w:r>
      <w:r w:rsidRPr="005A2C7B">
        <w:rPr>
          <w:spacing w:val="-4"/>
        </w:rPr>
        <w:lastRenderedPageBreak/>
        <w:t>kompenzováno vyšším objem</w:t>
      </w:r>
      <w:r w:rsidR="005A2C7B">
        <w:rPr>
          <w:spacing w:val="-4"/>
        </w:rPr>
        <w:t>em</w:t>
      </w:r>
      <w:r w:rsidRPr="005A2C7B">
        <w:rPr>
          <w:spacing w:val="-4"/>
        </w:rPr>
        <w:t xml:space="preserve"> </w:t>
      </w:r>
      <w:r w:rsidRPr="005A2C7B">
        <w:rPr>
          <w:rFonts w:cs="Arial"/>
          <w:spacing w:val="-4"/>
          <w:szCs w:val="20"/>
        </w:rPr>
        <w:t xml:space="preserve">reinvestovaných zisků z přímých zahraničních investic. Míra investic podniků </w:t>
      </w:r>
      <w:r w:rsidR="005A2C7B">
        <w:rPr>
          <w:rFonts w:cs="Arial"/>
          <w:spacing w:val="-4"/>
          <w:szCs w:val="20"/>
        </w:rPr>
        <w:t>činil</w:t>
      </w:r>
      <w:r w:rsidRPr="005A2C7B">
        <w:rPr>
          <w:rFonts w:cs="Arial"/>
          <w:spacing w:val="-4"/>
          <w:szCs w:val="20"/>
        </w:rPr>
        <w:t xml:space="preserve">a 28,1 % a meziročně se snížila o 0,8 p. </w:t>
      </w:r>
      <w:proofErr w:type="spellStart"/>
      <w:r w:rsidRPr="005A2C7B">
        <w:rPr>
          <w:rFonts w:cs="Arial"/>
          <w:spacing w:val="-4"/>
          <w:szCs w:val="20"/>
        </w:rPr>
        <w:t>b</w:t>
      </w:r>
      <w:proofErr w:type="spellEnd"/>
      <w:r w:rsidRPr="005A2C7B">
        <w:rPr>
          <w:rFonts w:cs="Arial"/>
          <w:spacing w:val="-4"/>
          <w:szCs w:val="20"/>
        </w:rPr>
        <w:t>. Tempo růstu objemu bankovních úvěrů nefinančním podnikům mírně zvolnilo na 4,9 % (z 6,6 % z roku 2016). Platební morálka podniků se dále zlepšovala</w:t>
      </w:r>
      <w:r w:rsidR="005A2C7B" w:rsidRPr="005A2C7B">
        <w:rPr>
          <w:rFonts w:cs="Arial"/>
          <w:spacing w:val="-4"/>
          <w:szCs w:val="20"/>
        </w:rPr>
        <w:t>.</w:t>
      </w:r>
    </w:p>
    <w:p w:rsidR="006A73A6" w:rsidRPr="005A2C7B" w:rsidRDefault="002B6B06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>V sektoru finančních institucí se začala výrazněji projevov</w:t>
      </w:r>
      <w:r w:rsidR="004F16F7" w:rsidRPr="005A2C7B">
        <w:rPr>
          <w:spacing w:val="-4"/>
        </w:rPr>
        <w:t>at několik let trvající stagnace</w:t>
      </w:r>
      <w:r w:rsidRPr="005A2C7B">
        <w:rPr>
          <w:spacing w:val="-4"/>
        </w:rPr>
        <w:t xml:space="preserve"> zaměstnanosti</w:t>
      </w:r>
      <w:r w:rsidR="004F16F7" w:rsidRPr="005A2C7B">
        <w:rPr>
          <w:spacing w:val="-4"/>
        </w:rPr>
        <w:t>, která loni vyústila do poklesu o 3,2 %</w:t>
      </w:r>
      <w:r w:rsidRPr="005A2C7B">
        <w:rPr>
          <w:spacing w:val="-4"/>
        </w:rPr>
        <w:t>.</w:t>
      </w:r>
      <w:r w:rsidR="004F16F7" w:rsidRPr="005A2C7B">
        <w:rPr>
          <w:spacing w:val="-4"/>
        </w:rPr>
        <w:t xml:space="preserve"> Výsledkem bylo mírné snížení vyplacených náhrad zaměstnancům (navzdory růstu průměrné mzdy ve finančnictví a pojišťovnictví o 3,6 %). Míra zisku celého sektoru následně dosáhla 61,3 %.</w:t>
      </w:r>
    </w:p>
    <w:p w:rsidR="006A73A6" w:rsidRPr="005A2C7B" w:rsidRDefault="006A73A6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>Domácnosti</w:t>
      </w:r>
      <w:r w:rsidR="004F16F7" w:rsidRPr="005A2C7B">
        <w:rPr>
          <w:spacing w:val="-4"/>
        </w:rPr>
        <w:t xml:space="preserve"> čerpaly z úspěšného ekonomického vývoje. Jejich disponibiln</w:t>
      </w:r>
      <w:r w:rsidR="00A230A8" w:rsidRPr="005A2C7B">
        <w:rPr>
          <w:spacing w:val="-4"/>
        </w:rPr>
        <w:t>í důchod loni vzrostl o 4,1 % a </w:t>
      </w:r>
      <w:r w:rsidR="004F16F7" w:rsidRPr="005A2C7B">
        <w:rPr>
          <w:spacing w:val="-4"/>
        </w:rPr>
        <w:t>hlavní měrou se na růstu podílelo zvyšování mezd a platů. Naopak výsledn</w:t>
      </w:r>
      <w:r w:rsidR="009C3ED8">
        <w:rPr>
          <w:spacing w:val="-4"/>
        </w:rPr>
        <w:t>é saldo důchodů z vlastnictví i</w:t>
      </w:r>
      <w:r w:rsidR="009C3ED8" w:rsidRPr="005A2C7B">
        <w:rPr>
          <w:spacing w:val="-4"/>
        </w:rPr>
        <w:t> </w:t>
      </w:r>
      <w:r w:rsidR="004F16F7" w:rsidRPr="005A2C7B">
        <w:rPr>
          <w:spacing w:val="-4"/>
        </w:rPr>
        <w:t>saldo druhotného rozdělení (sociální příspěvky mínus odvedené daně)</w:t>
      </w:r>
      <w:r w:rsidR="00750EF8" w:rsidRPr="005A2C7B">
        <w:rPr>
          <w:spacing w:val="-4"/>
        </w:rPr>
        <w:t xml:space="preserve"> růst disponibilního příjmu tlumilo. Na rozdíl od minulých třech let se v roce 2017 zvýšil rozdíl mezi nominálním růstem příjmů a reálným posílením kupní síly. Výdaje domácností na konečnou spotřebu loni vzrostly o 4,3 %, nejvíce od roku 2003. Rychlejší růst spotřeby než příjmů vedl také k poklesu </w:t>
      </w:r>
      <w:r w:rsidR="00347378" w:rsidRPr="005A2C7B">
        <w:rPr>
          <w:spacing w:val="-4"/>
        </w:rPr>
        <w:t>míry úspor. K nárůstu spotřeby nejvíce přispěly výdaje na služby, které s</w:t>
      </w:r>
      <w:r w:rsidR="00F433FE" w:rsidRPr="005A2C7B">
        <w:rPr>
          <w:spacing w:val="-4"/>
        </w:rPr>
        <w:t>ílily pátým</w:t>
      </w:r>
      <w:r w:rsidR="00347378" w:rsidRPr="005A2C7B">
        <w:rPr>
          <w:spacing w:val="-4"/>
        </w:rPr>
        <w:t xml:space="preserve"> rokem i výraznější růst výdajů na střednědobé statky (oblečení, obuv, sportovní vybavení, atd.). Zvýšená investiční aktivita domácností (především do obydlí) byla spojena mimo jiné s rostoucími cenami nemovitostí. To potvrzují i data ČNB, ze kterých vyplývá rostoucí průměrná výše poskytnutých úvěrů na bydlení.</w:t>
      </w:r>
    </w:p>
    <w:p w:rsidR="006A73A6" w:rsidRPr="005A2C7B" w:rsidRDefault="006A73A6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 xml:space="preserve">Hospodaření </w:t>
      </w:r>
      <w:r w:rsidR="009C3ED8">
        <w:rPr>
          <w:spacing w:val="-4"/>
        </w:rPr>
        <w:t xml:space="preserve">sektoru </w:t>
      </w:r>
      <w:r w:rsidRPr="005A2C7B">
        <w:rPr>
          <w:spacing w:val="-4"/>
        </w:rPr>
        <w:t>vládních institucí</w:t>
      </w:r>
      <w:r w:rsidR="00551238" w:rsidRPr="005A2C7B">
        <w:rPr>
          <w:spacing w:val="-4"/>
        </w:rPr>
        <w:t xml:space="preserve"> bylo loni přebytkové, podruhé v řadě.</w:t>
      </w:r>
      <w:r w:rsidR="00A230A8" w:rsidRPr="005A2C7B">
        <w:rPr>
          <w:spacing w:val="-4"/>
        </w:rPr>
        <w:t xml:space="preserve"> Přebytek se meziročně zvýšil a </w:t>
      </w:r>
      <w:r w:rsidR="00551238" w:rsidRPr="005A2C7B">
        <w:rPr>
          <w:spacing w:val="-4"/>
        </w:rPr>
        <w:t>dosáhl 80,6 mld. korun (1,6 % HDP). V mezinárodním srovnání se tak Česko výší relativního přebytku vyšvihlo na třetí místo v EU. Na výsledku hospodaření se projevil zejména silný růst daňových příjmů spojený s rostoucím výkonem ekonomiky i m</w:t>
      </w:r>
      <w:r w:rsidR="009C3ED8">
        <w:rPr>
          <w:spacing w:val="-4"/>
        </w:rPr>
        <w:t xml:space="preserve">zdovým vývojem. Výdaje </w:t>
      </w:r>
      <w:r w:rsidR="00551238" w:rsidRPr="005A2C7B">
        <w:rPr>
          <w:spacing w:val="-4"/>
        </w:rPr>
        <w:t xml:space="preserve">sektoru </w:t>
      </w:r>
      <w:r w:rsidR="009C3ED8">
        <w:rPr>
          <w:spacing w:val="-4"/>
        </w:rPr>
        <w:t xml:space="preserve">vládních institucí </w:t>
      </w:r>
      <w:r w:rsidR="00551238" w:rsidRPr="005A2C7B">
        <w:rPr>
          <w:spacing w:val="-4"/>
        </w:rPr>
        <w:t>rovněž silně rostly. Klíčový vliv měly náhrady zaměstnanců sektoru (nárůst o 10,2 %)</w:t>
      </w:r>
      <w:r w:rsidR="00182799" w:rsidRPr="005A2C7B">
        <w:rPr>
          <w:spacing w:val="-4"/>
        </w:rPr>
        <w:t>, především místní vládní instituce k tomu přidaly i silný růst investičních výdajů.</w:t>
      </w:r>
    </w:p>
    <w:p w:rsidR="00D1005A" w:rsidRPr="005A2C7B" w:rsidRDefault="00D1005A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 xml:space="preserve">HPH v odvětví zemědělství, lesnictví a rybářství se meziročně snížila o 3,0 %, nejvíce po roce 2010. </w:t>
      </w:r>
      <w:r w:rsidR="00A230A8" w:rsidRPr="005A2C7B">
        <w:rPr>
          <w:spacing w:val="-4"/>
        </w:rPr>
        <w:t>V </w:t>
      </w:r>
      <w:r w:rsidRPr="005A2C7B">
        <w:rPr>
          <w:spacing w:val="-4"/>
        </w:rPr>
        <w:t xml:space="preserve">samotném lesnictví výkony rostly. Rekordní těžba dřeva (nejvyšší po v historii </w:t>
      </w:r>
      <w:r w:rsidR="00A230A8" w:rsidRPr="005A2C7B">
        <w:rPr>
          <w:spacing w:val="-4"/>
        </w:rPr>
        <w:t>ČR) souvisela s </w:t>
      </w:r>
      <w:r w:rsidRPr="005A2C7B">
        <w:rPr>
          <w:color w:val="000000"/>
          <w:spacing w:val="-4"/>
        </w:rPr>
        <w:t xml:space="preserve">kalamitními situacemi. Zemědělství táhla dolů rostlinná produkce, v níž slabší úroda obilovin, olejnin či ovoce zastínila dobré výsledky </w:t>
      </w:r>
      <w:r w:rsidRPr="005A2C7B">
        <w:rPr>
          <w:spacing w:val="-4"/>
        </w:rPr>
        <w:t>producentů cukrové řepy, luskovin, chmele i vinných hroznů. Naopak v živočišné oblasti vyšší produkce mléka i vajec dokázaly pokles výroby masa (o 2,5 % meziročně, nejhlubší za posledních pět let) kompenzovat. Negativní saldo agrárního zahraničního obchodu ČR</w:t>
      </w:r>
      <w:r w:rsidR="009C3ED8">
        <w:rPr>
          <w:spacing w:val="-4"/>
        </w:rPr>
        <w:t xml:space="preserve"> se nadále prohlubovalo – jak u</w:t>
      </w:r>
      <w:r w:rsidR="009C3ED8" w:rsidRPr="005A2C7B">
        <w:rPr>
          <w:spacing w:val="-4"/>
        </w:rPr>
        <w:t> </w:t>
      </w:r>
      <w:r w:rsidRPr="005A2C7B">
        <w:rPr>
          <w:spacing w:val="-4"/>
        </w:rPr>
        <w:t>prvovýrobců, tak zejména u zpracovatelů.</w:t>
      </w:r>
    </w:p>
    <w:p w:rsidR="00BE468E" w:rsidRPr="005A2C7B" w:rsidRDefault="00BE468E" w:rsidP="00067A82">
      <w:pPr>
        <w:pStyle w:val="Normalodrka"/>
        <w:spacing w:after="160"/>
        <w:rPr>
          <w:spacing w:val="-4"/>
        </w:rPr>
      </w:pPr>
      <w:r w:rsidRPr="005A2C7B">
        <w:rPr>
          <w:spacing w:val="-4"/>
        </w:rPr>
        <w:t xml:space="preserve">Průmysl loni těžil z rostoucí tuzemské i zahraniční poptávky. HPH posílila meziročně o 9,0 %, nejvíce po roce 2006. K růstu HPH v průmyslu přispěly z poloviny automobilový průmysl a nejbližší návazné obory. Dařilo se strojírenství, výrobě počítačů, ale i většině menších zpracovatelských oborů. Po ukončení odstávek plně obnovily výrobní kapacity chemický průmysl i energetika. S dlouhodobějšími problémy se </w:t>
      </w:r>
      <w:r w:rsidR="005A2C7B">
        <w:rPr>
          <w:spacing w:val="-4"/>
        </w:rPr>
        <w:t xml:space="preserve">naopak </w:t>
      </w:r>
      <w:r w:rsidRPr="005A2C7B">
        <w:rPr>
          <w:spacing w:val="-4"/>
        </w:rPr>
        <w:t xml:space="preserve">potýkal těžební průmysl a také hutnictví. </w:t>
      </w:r>
    </w:p>
    <w:p w:rsidR="00067A82" w:rsidRPr="005A2C7B" w:rsidRDefault="00067A82" w:rsidP="005A2C7B">
      <w:pPr>
        <w:pStyle w:val="Normalodrka"/>
        <w:spacing w:after="160"/>
        <w:rPr>
          <w:spacing w:val="-4"/>
        </w:rPr>
      </w:pPr>
      <w:r w:rsidRPr="005A2C7B">
        <w:rPr>
          <w:color w:val="0D0D0D" w:themeColor="text1" w:themeTint="F2"/>
          <w:spacing w:val="-4"/>
        </w:rPr>
        <w:t>Meziroční pokles produkce ve stavebnictví se loni zastavil, nepříznivý vývoj v případě HPH ale přetrvával. Ta loni jen nepatrně překračovala úroveň z roku 2012, kdy v tomto odvětví recese vrcholila. K redukci HPH přisp</w:t>
      </w:r>
      <w:r w:rsidR="005A2C7B">
        <w:rPr>
          <w:color w:val="0D0D0D" w:themeColor="text1" w:themeTint="F2"/>
          <w:spacing w:val="-4"/>
        </w:rPr>
        <w:t>ělo loni</w:t>
      </w:r>
      <w:r w:rsidRPr="005A2C7B">
        <w:rPr>
          <w:color w:val="0D0D0D" w:themeColor="text1" w:themeTint="F2"/>
          <w:spacing w:val="-4"/>
        </w:rPr>
        <w:t xml:space="preserve"> </w:t>
      </w:r>
      <w:r w:rsidR="005A2C7B">
        <w:rPr>
          <w:color w:val="0D0D0D" w:themeColor="text1" w:themeTint="F2"/>
          <w:spacing w:val="-4"/>
        </w:rPr>
        <w:t>hlavně inženýrské</w:t>
      </w:r>
      <w:r w:rsidRPr="005A2C7B">
        <w:rPr>
          <w:color w:val="0D0D0D" w:themeColor="text1" w:themeTint="F2"/>
          <w:spacing w:val="-4"/>
        </w:rPr>
        <w:t xml:space="preserve"> stavitelství. Více se dařilo specializovaných stavebním činnostem. </w:t>
      </w:r>
      <w:r w:rsidRPr="005A2C7B">
        <w:rPr>
          <w:spacing w:val="-4"/>
        </w:rPr>
        <w:t xml:space="preserve">Již druhým rokem v řadě zůstaly nejvýznamnější složkou stavebních prací opravy a údržba. Zrychloval růst výstavby </w:t>
      </w:r>
      <w:r w:rsidRPr="005A2C7B">
        <w:rPr>
          <w:color w:val="0D0D0D"/>
          <w:spacing w:val="-4"/>
        </w:rPr>
        <w:t>nebytových výrobních budov. Již čtvrtým rokem v řadě mírně ožívala výstavba bytových budov. Vyhlídky odvětví stavebnictví se v průběhu roku výrazně zlepšovaly, což souviselo s růstem nových zakázek.</w:t>
      </w:r>
    </w:p>
    <w:p w:rsidR="00FF3EEC" w:rsidRPr="005A2C7B" w:rsidRDefault="005A2C7B" w:rsidP="005A2C7B">
      <w:pPr>
        <w:pStyle w:val="Normalodrka"/>
      </w:pPr>
      <w:r w:rsidRPr="005A2C7B">
        <w:rPr>
          <w:spacing w:val="-4"/>
        </w:rPr>
        <w:t>V celém terciárním sektor</w:t>
      </w:r>
      <w:r w:rsidR="00BD2211">
        <w:rPr>
          <w:spacing w:val="-4"/>
        </w:rPr>
        <w:t>u ekonomiky vzrostla v roce 2017 HPH o 4,2</w:t>
      </w:r>
      <w:r w:rsidRPr="005A2C7B">
        <w:rPr>
          <w:spacing w:val="-4"/>
        </w:rPr>
        <w:t xml:space="preserve"> %. Vedle peněžnictví a pojišťovnictví se dařilo zejména informačním komunikačním činnostem (+5,7 %).</w:t>
      </w:r>
      <w:r>
        <w:rPr>
          <w:spacing w:val="-4"/>
        </w:rPr>
        <w:t xml:space="preserve"> Na růstu služeb se </w:t>
      </w:r>
      <w:r w:rsidRPr="005A2C7B">
        <w:rPr>
          <w:spacing w:val="-4"/>
        </w:rPr>
        <w:t>a</w:t>
      </w:r>
      <w:r>
        <w:rPr>
          <w:spacing w:val="-4"/>
        </w:rPr>
        <w:t>le</w:t>
      </w:r>
      <w:r w:rsidRPr="005A2C7B">
        <w:rPr>
          <w:spacing w:val="-4"/>
        </w:rPr>
        <w:t xml:space="preserve"> nejvíce </w:t>
      </w:r>
      <w:r>
        <w:rPr>
          <w:spacing w:val="-4"/>
        </w:rPr>
        <w:t>podílelo uskupení</w:t>
      </w:r>
      <w:r w:rsidRPr="005A2C7B">
        <w:rPr>
          <w:spacing w:val="-4"/>
        </w:rPr>
        <w:t xml:space="preserve"> obchod, doprava, ubytování a pohostinství</w:t>
      </w:r>
      <w:r w:rsidR="00BD2211">
        <w:rPr>
          <w:spacing w:val="-4"/>
        </w:rPr>
        <w:t>, které k mezi</w:t>
      </w:r>
      <w:r w:rsidR="00942C19">
        <w:rPr>
          <w:spacing w:val="-4"/>
        </w:rPr>
        <w:t>r</w:t>
      </w:r>
      <w:r w:rsidR="00BD2211">
        <w:rPr>
          <w:spacing w:val="-4"/>
        </w:rPr>
        <w:t>o</w:t>
      </w:r>
      <w:r w:rsidR="00942C19">
        <w:rPr>
          <w:spacing w:val="-4"/>
        </w:rPr>
        <w:t>čně vyšší HPH p</w:t>
      </w:r>
      <w:r w:rsidR="00D050F8">
        <w:rPr>
          <w:spacing w:val="-4"/>
        </w:rPr>
        <w:t>řispělo</w:t>
      </w:r>
      <w:r w:rsidRPr="005A2C7B">
        <w:rPr>
          <w:spacing w:val="-4"/>
        </w:rPr>
        <w:t xml:space="preserve"> téměř ze 40 %. Příznivý vývoj na trhu práce společně s dalším posílením optimistických očekávání spotřebitelů vyústily v téměř 6 % růst maloobchodních tržeb. Šlo o desetileté maximum. Rostoucí mobilita obyvatel se odrážela ve vyšších přepravních výkonech všech druhů veřejné dopravy. Tržby v ubytování byly podpořeny dynamickým růstem cestovního ruchu. </w:t>
      </w:r>
      <w:r w:rsidRPr="005A2C7B">
        <w:rPr>
          <w:color w:val="0D0D0D"/>
          <w:spacing w:val="-4"/>
        </w:rPr>
        <w:t>Loni počet hostů v hromadných ubytovacích zařízeních meziročně vzrostl o 8,8 % a</w:t>
      </w:r>
      <w:r w:rsidR="00BD2211" w:rsidRPr="005A2C7B">
        <w:rPr>
          <w:spacing w:val="-4"/>
        </w:rPr>
        <w:t> </w:t>
      </w:r>
      <w:r w:rsidR="00BD2211">
        <w:rPr>
          <w:color w:val="0D0D0D"/>
          <w:spacing w:val="-4"/>
        </w:rPr>
        <w:t>poprvé překročil</w:t>
      </w:r>
      <w:r w:rsidRPr="005A2C7B">
        <w:rPr>
          <w:color w:val="0D0D0D"/>
          <w:spacing w:val="-4"/>
        </w:rPr>
        <w:t xml:space="preserve"> hranici</w:t>
      </w:r>
      <w:r w:rsidR="00BD2211">
        <w:rPr>
          <w:color w:val="0D0D0D"/>
          <w:spacing w:val="-4"/>
        </w:rPr>
        <w:t xml:space="preserve"> 20 milionů</w:t>
      </w:r>
      <w:r w:rsidRPr="005A2C7B">
        <w:rPr>
          <w:color w:val="0D0D0D"/>
          <w:spacing w:val="-4"/>
        </w:rPr>
        <w:t>.</w:t>
      </w:r>
      <w:r w:rsidR="002B2127">
        <w:rPr>
          <w:color w:val="0D0D0D"/>
          <w:spacing w:val="-4"/>
        </w:rPr>
        <w:t xml:space="preserve"> K růstu počtu přenocování přispěli v roce 2017 nejvíce ruští občané.</w:t>
      </w:r>
    </w:p>
    <w:sectPr w:rsidR="00FF3EEC" w:rsidRPr="005A2C7B" w:rsidSect="0041514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3C" w:rsidRDefault="00EF0E3C" w:rsidP="00E71A58">
      <w:r>
        <w:separator/>
      </w:r>
    </w:p>
  </w:endnote>
  <w:endnote w:type="continuationSeparator" w:id="0">
    <w:p w:rsidR="00EF0E3C" w:rsidRDefault="00EF0E3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3C17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783C17" w:rsidRPr="00932443">
      <w:rPr>
        <w:szCs w:val="16"/>
      </w:rPr>
      <w:fldChar w:fldCharType="separate"/>
    </w:r>
    <w:r w:rsidR="00415142">
      <w:rPr>
        <w:szCs w:val="16"/>
      </w:rPr>
      <w:t>4</w:t>
    </w:r>
    <w:r w:rsidR="00783C17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783C17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783C17" w:rsidRPr="00932443">
      <w:rPr>
        <w:rStyle w:val="ZpatChar"/>
        <w:szCs w:val="16"/>
      </w:rPr>
      <w:fldChar w:fldCharType="separate"/>
    </w:r>
    <w:r w:rsidR="00415142">
      <w:rPr>
        <w:rStyle w:val="ZpatChar"/>
        <w:szCs w:val="16"/>
      </w:rPr>
      <w:t>5</w:t>
    </w:r>
    <w:r w:rsidR="00783C17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3C" w:rsidRDefault="00EF0E3C" w:rsidP="00E71A58">
      <w:r>
        <w:separator/>
      </w:r>
    </w:p>
  </w:footnote>
  <w:footnote w:type="continuationSeparator" w:id="0">
    <w:p w:rsidR="00EF0E3C" w:rsidRDefault="00EF0E3C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142"/>
    <w:rsid w:val="004159C3"/>
    <w:rsid w:val="004225C6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D4DB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B7041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0E3C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2D7E-FFD7-4AB0-BBFF-B3D68694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3</TotalTime>
  <Pages>2</Pages>
  <Words>1374</Words>
  <Characters>8111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9467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4</cp:revision>
  <cp:lastPrinted>2014-07-17T14:07:00Z</cp:lastPrinted>
  <dcterms:created xsi:type="dcterms:W3CDTF">2018-10-29T15:12:00Z</dcterms:created>
  <dcterms:modified xsi:type="dcterms:W3CDTF">2018-10-29T15:17:00Z</dcterms:modified>
</cp:coreProperties>
</file>