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31" w:rsidRPr="00902C3F" w:rsidRDefault="00A52976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>31</w:t>
      </w:r>
      <w:r w:rsidR="00E41331">
        <w:rPr>
          <w:rFonts w:ascii="Arial" w:hAnsi="Arial" w:cs="Arial"/>
          <w:b/>
          <w:bCs/>
          <w:i/>
          <w:iCs/>
        </w:rPr>
        <w:t xml:space="preserve">. SELECTED INDICATORS ON </w:t>
      </w:r>
      <w:r w:rsidR="00A8165D">
        <w:rPr>
          <w:rFonts w:ascii="Arial" w:hAnsi="Arial" w:cs="Arial"/>
          <w:b/>
          <w:bCs/>
          <w:i/>
          <w:iCs/>
        </w:rPr>
        <w:t xml:space="preserve">COHESION REGIONS </w:t>
      </w:r>
      <w:r w:rsidR="00E41331">
        <w:rPr>
          <w:rFonts w:ascii="Arial" w:hAnsi="Arial" w:cs="Arial"/>
          <w:b/>
          <w:bCs/>
          <w:i/>
          <w:iCs/>
        </w:rPr>
        <w:t>AND REGIONS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733148" w:rsidRDefault="00E41331" w:rsidP="00007B4C">
      <w:pPr>
        <w:pStyle w:val="Zkladntextodsazen"/>
        <w:spacing w:before="0"/>
        <w:rPr>
          <w:szCs w:val="19"/>
        </w:rPr>
      </w:pPr>
      <w:r>
        <w:t>The</w:t>
      </w:r>
      <w:r w:rsidR="002D7764">
        <w:t xml:space="preserve"> </w:t>
      </w:r>
      <w:r>
        <w:t>NUTS classification (from the French</w:t>
      </w:r>
      <w:r w:rsidR="00A315D0">
        <w:t xml:space="preserve"> version</w:t>
      </w:r>
      <w:r w:rsidR="002D7764">
        <w:t xml:space="preserve"> </w:t>
      </w:r>
      <w:r w:rsidR="0053001E" w:rsidRPr="0053001E">
        <w:rPr>
          <w:i w:val="0"/>
          <w:lang w:val="fr-FR"/>
        </w:rPr>
        <w:t>Nomenclature des Unités Territoriales Statistiques</w:t>
      </w:r>
      <w:r>
        <w:t>) is a fundamental</w:t>
      </w:r>
      <w:r w:rsidR="00B3183D">
        <w:t xml:space="preserve"> systematic</w:t>
      </w:r>
      <w:r>
        <w:t xml:space="preserve"> tool for providing</w:t>
      </w:r>
      <w:r w:rsidR="002F5DC5">
        <w:t xml:space="preserve"> of</w:t>
      </w:r>
      <w:r>
        <w:t xml:space="preserve"> statistical information to the European Union. </w:t>
      </w:r>
      <w:r w:rsidR="009951AC">
        <w:t xml:space="preserve">At present </w:t>
      </w:r>
      <w:r w:rsidR="007D240B">
        <w:t>it</w:t>
      </w:r>
      <w:r w:rsidR="00DE217B">
        <w:t xml:space="preserve"> comprises four levels</w:t>
      </w:r>
      <w:r w:rsidR="007D240B">
        <w:t>, which</w:t>
      </w:r>
      <w:r w:rsidR="004422FE" w:rsidRPr="00733148">
        <w:rPr>
          <w:szCs w:val="19"/>
        </w:rPr>
        <w:t xml:space="preserve"> are </w:t>
      </w:r>
      <w:r w:rsidR="006766AD">
        <w:rPr>
          <w:szCs w:val="19"/>
        </w:rPr>
        <w:t>defined</w:t>
      </w:r>
      <w:r w:rsidR="004422FE" w:rsidRPr="00733148">
        <w:rPr>
          <w:szCs w:val="19"/>
        </w:rPr>
        <w:t xml:space="preserve"> by the</w:t>
      </w:r>
      <w:r w:rsidR="00733148">
        <w:rPr>
          <w:szCs w:val="19"/>
        </w:rPr>
        <w:t> </w:t>
      </w:r>
      <w:r w:rsidR="004422FE" w:rsidRPr="00733148">
        <w:rPr>
          <w:szCs w:val="19"/>
        </w:rPr>
        <w:t>population size and area</w:t>
      </w:r>
      <w:r w:rsidR="00DE217B">
        <w:rPr>
          <w:szCs w:val="19"/>
        </w:rPr>
        <w:t xml:space="preserve"> </w:t>
      </w:r>
      <w:r w:rsidR="00DE217B">
        <w:t xml:space="preserve">(NUTS 3 level is the lowest). </w:t>
      </w:r>
      <w:bookmarkStart w:id="1" w:name="back5"/>
      <w:bookmarkEnd w:id="1"/>
      <w:r w:rsidR="00DE217B">
        <w:t>At lower levels, so-called local administrative units (LAU) have been introduced. Prague is not broken down into LAU levels.</w:t>
      </w:r>
    </w:p>
    <w:p w:rsidR="00E41331" w:rsidRPr="00972935" w:rsidRDefault="00E41331">
      <w:pPr>
        <w:pStyle w:val="Zkladntextodsazen"/>
        <w:spacing w:before="0"/>
        <w:ind w:firstLine="0"/>
        <w:rPr>
          <w:color w:val="101010"/>
        </w:rPr>
      </w:pPr>
    </w:p>
    <w:p w:rsidR="00E41331" w:rsidRDefault="00E41331" w:rsidP="00733148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0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state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1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territory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i/>
          <w:iCs/>
          <w:sz w:val="20"/>
        </w:rPr>
        <w:t>cohesion 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8</w:t>
      </w:r>
      <w:r w:rsidRPr="006D5CDD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groupings of NUTS 3 regions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3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14 higher territorial self-governing units</w:t>
      </w:r>
    </w:p>
    <w:p w:rsidR="00B53E24" w:rsidRDefault="002D6259" w:rsidP="001E5023">
      <w:pPr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municipalities</w:t>
      </w:r>
      <w:r>
        <w:rPr>
          <w:rFonts w:ascii="Arial" w:hAnsi="Arial" w:cs="Arial"/>
          <w:i/>
          <w:iCs/>
          <w:sz w:val="20"/>
        </w:rPr>
        <w:t xml:space="preserve">, i.e. to 6 258 municipalities (as at 1 January </w:t>
      </w:r>
      <w:r w:rsidR="0009540A">
        <w:rPr>
          <w:rFonts w:ascii="Arial" w:hAnsi="Arial" w:cs="Arial"/>
          <w:i/>
          <w:iCs/>
          <w:sz w:val="20"/>
        </w:rPr>
        <w:t>2018</w:t>
      </w:r>
      <w:r w:rsidR="0017246D">
        <w:rPr>
          <w:rFonts w:ascii="Arial" w:hAnsi="Arial" w:cs="Arial"/>
          <w:i/>
          <w:iCs/>
          <w:sz w:val="20"/>
        </w:rPr>
        <w:t>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1E5023" w:rsidRDefault="001E5023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Summary of </w:t>
      </w:r>
      <w:r w:rsidR="00E964C0">
        <w:rPr>
          <w:rFonts w:ascii="Arial" w:hAnsi="Arial" w:cs="Arial"/>
          <w:b/>
          <w:bCs/>
          <w:i/>
          <w:iCs/>
          <w:sz w:val="20"/>
        </w:rPr>
        <w:t>cohesion regions</w:t>
      </w:r>
      <w:r>
        <w:rPr>
          <w:rFonts w:ascii="Arial" w:hAnsi="Arial" w:cs="Arial"/>
          <w:b/>
          <w:bCs/>
          <w:i/>
          <w:iCs/>
          <w:sz w:val="20"/>
        </w:rPr>
        <w:t xml:space="preserve"> (NUTS 2) and regions (NUTS 3):</w:t>
      </w:r>
    </w:p>
    <w:p w:rsidR="00E41331" w:rsidRPr="00902C3F" w:rsidRDefault="00E41331" w:rsidP="00AC1AC4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NUTS 2</w:t>
      </w:r>
      <w:r>
        <w:rPr>
          <w:rFonts w:ascii="Arial" w:hAnsi="Arial" w:cs="Arial"/>
          <w:b/>
          <w:bCs/>
          <w:sz w:val="20"/>
        </w:rPr>
        <w:tab/>
        <w:t>NUTS 3</w:t>
      </w:r>
    </w:p>
    <w:p w:rsidR="00E41331" w:rsidRDefault="0053001E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 w:rsidRPr="0053001E">
        <w:rPr>
          <w:rFonts w:ascii="Arial" w:hAnsi="Arial"/>
          <w:b/>
          <w:bCs/>
          <w:sz w:val="20"/>
        </w:rPr>
        <w:t>Praha</w:t>
      </w:r>
      <w:r w:rsidRPr="0053001E">
        <w:rPr>
          <w:rFonts w:ascii="Arial" w:hAnsi="Arial"/>
          <w:b/>
          <w:bCs/>
          <w:sz w:val="20"/>
        </w:rPr>
        <w:tab/>
      </w:r>
      <w:r w:rsidRPr="0053001E">
        <w:rPr>
          <w:rFonts w:ascii="Arial" w:hAnsi="Arial"/>
          <w:sz w:val="20"/>
        </w:rPr>
        <w:t>Hl. m. Praha</w:t>
      </w:r>
      <w:r w:rsidR="002741C8">
        <w:rPr>
          <w:rFonts w:ascii="Arial" w:hAnsi="Arial"/>
          <w:sz w:val="20"/>
        </w:rPr>
        <w:t xml:space="preserve"> </w:t>
      </w:r>
      <w:r w:rsidRPr="0053001E">
        <w:rPr>
          <w:rFonts w:ascii="Arial" w:hAnsi="Arial"/>
          <w:i/>
          <w:sz w:val="20"/>
        </w:rPr>
        <w:t>Region</w:t>
      </w:r>
      <w:r w:rsidRPr="0053001E">
        <w:rPr>
          <w:rFonts w:ascii="Arial" w:hAnsi="Arial"/>
          <w:sz w:val="20"/>
        </w:rPr>
        <w:t xml:space="preserve"> (PHA)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Čechy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Středočeský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(STČ)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Jihočeský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Plzeňský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Karlovarský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(KVK)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Ústecký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(ULK)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Liberecký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(LBK)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Královéhradecký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(HKK)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Pardubický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(PAK)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Vysočina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(VYS)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Jihomoravský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(JHM)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Morava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Olomoucký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(OLK)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Zlínský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(ZLK)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/>
          <w:b/>
          <w:bCs/>
          <w:i w:val="0"/>
          <w:iCs w:val="0"/>
          <w:sz w:val="20"/>
        </w:rPr>
        <w:t>Moravskoslezsko</w:t>
      </w:r>
      <w:r>
        <w:rPr>
          <w:rFonts w:ascii="Arial" w:hAnsi="Arial"/>
          <w:b/>
          <w:bCs/>
          <w:i w:val="0"/>
          <w:iCs w:val="0"/>
          <w:sz w:val="20"/>
        </w:rPr>
        <w:tab/>
      </w:r>
      <w:r>
        <w:rPr>
          <w:rFonts w:ascii="Arial" w:hAnsi="Arial"/>
          <w:i w:val="0"/>
          <w:iCs w:val="0"/>
          <w:sz w:val="20"/>
        </w:rPr>
        <w:t>Moravskoslezský</w:t>
      </w:r>
      <w:r>
        <w:rPr>
          <w:rFonts w:ascii="Arial" w:hAnsi="Arial"/>
          <w:sz w:val="20"/>
        </w:rPr>
        <w:t xml:space="preserve"> Region </w:t>
      </w:r>
      <w:r>
        <w:rPr>
          <w:rFonts w:ascii="Arial" w:hAnsi="Arial"/>
          <w:i w:val="0"/>
          <w:iCs w:val="0"/>
          <w:sz w:val="20"/>
        </w:rPr>
        <w:t>(MSK)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902C3F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 on </w:t>
      </w:r>
      <w:r w:rsidR="00E1213E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ables</w:t>
      </w:r>
    </w:p>
    <w:p w:rsidR="00902C3F" w:rsidRPr="00902C3F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E41331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2472A7" w:rsidRDefault="002472A7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3C4F76">
        <w:rPr>
          <w:rFonts w:ascii="Arial" w:hAnsi="Arial" w:cs="Arial"/>
          <w:b/>
          <w:i/>
          <w:sz w:val="20"/>
          <w:szCs w:val="20"/>
        </w:rPr>
        <w:t xml:space="preserve">Immigrants </w:t>
      </w:r>
      <w:r w:rsidRPr="003C4F76">
        <w:rPr>
          <w:rFonts w:ascii="Arial" w:hAnsi="Arial" w:cs="Arial"/>
          <w:i/>
          <w:sz w:val="20"/>
          <w:szCs w:val="20"/>
        </w:rPr>
        <w:t>are in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regional context persons, who moved/migrated (registered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change of their place of residence) to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given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fro</w:t>
      </w:r>
      <w:r>
        <w:rPr>
          <w:rFonts w:ascii="Arial" w:hAnsi="Arial" w:cs="Arial"/>
          <w:i/>
          <w:sz w:val="20"/>
          <w:szCs w:val="20"/>
        </w:rPr>
        <w:t>m another cohesion region (or a </w:t>
      </w:r>
      <w:r w:rsidRPr="003C4F76">
        <w:rPr>
          <w:rFonts w:ascii="Arial" w:hAnsi="Arial" w:cs="Arial"/>
          <w:i/>
          <w:sz w:val="20"/>
          <w:szCs w:val="20"/>
        </w:rPr>
        <w:t xml:space="preserve">Region) or from abroad. </w:t>
      </w:r>
      <w:r w:rsidRPr="003C4F76">
        <w:rPr>
          <w:rFonts w:ascii="Arial" w:hAnsi="Arial" w:cs="Arial"/>
          <w:b/>
          <w:i/>
          <w:sz w:val="20"/>
          <w:szCs w:val="20"/>
        </w:rPr>
        <w:t>Emigrants</w:t>
      </w:r>
      <w:r w:rsidRPr="003C4F76">
        <w:rPr>
          <w:rFonts w:ascii="Arial" w:hAnsi="Arial" w:cs="Arial"/>
          <w:i/>
          <w:sz w:val="20"/>
          <w:szCs w:val="20"/>
        </w:rPr>
        <w:t xml:space="preserve"> are in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regional context persons, who from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given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migrated out (registered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change of their place of residence) to another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or to abroad. Data for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Czech Republic include only persons, who migrated from abroad or to abroad.</w:t>
      </w:r>
    </w:p>
    <w:p w:rsidR="00980C55" w:rsidRPr="00980C55" w:rsidRDefault="00980C55" w:rsidP="002472A7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980C55">
        <w:rPr>
          <w:rFonts w:ascii="Arial" w:hAnsi="Arial" w:cs="Arial"/>
          <w:i/>
          <w:sz w:val="20"/>
          <w:szCs w:val="20"/>
        </w:rPr>
        <w:t>in the breakdown by region is based mainly on the production method of calculation as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sum of values added of local units (workplaces), which are economically active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given region</w:t>
      </w:r>
      <w:r w:rsidR="003D0F6C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980C55">
        <w:rPr>
          <w:rFonts w:ascii="Arial" w:hAnsi="Arial" w:cs="Arial"/>
          <w:i/>
          <w:sz w:val="20"/>
          <w:szCs w:val="20"/>
        </w:rPr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980C55">
        <w:rPr>
          <w:rFonts w:ascii="Arial" w:hAnsi="Arial" w:cs="Arial"/>
          <w:i/>
          <w:sz w:val="20"/>
          <w:szCs w:val="20"/>
        </w:rPr>
        <w:t>is an amount, which households</w:t>
      </w:r>
      <w:r w:rsidR="002D7764">
        <w:rPr>
          <w:rFonts w:ascii="Arial" w:hAnsi="Arial" w:cs="Arial"/>
          <w:i/>
          <w:sz w:val="20"/>
          <w:szCs w:val="20"/>
        </w:rPr>
        <w:t xml:space="preserve"> (residents on the </w:t>
      </w:r>
      <w:r w:rsidR="009307FA" w:rsidRPr="00980C55">
        <w:rPr>
          <w:rFonts w:ascii="Arial" w:hAnsi="Arial" w:cs="Arial"/>
          <w:i/>
          <w:sz w:val="20"/>
          <w:szCs w:val="20"/>
        </w:rPr>
        <w:t>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="009307FA" w:rsidRPr="00980C55">
        <w:rPr>
          <w:rFonts w:ascii="Arial" w:hAnsi="Arial" w:cs="Arial"/>
          <w:i/>
          <w:sz w:val="20"/>
          <w:szCs w:val="20"/>
        </w:rPr>
        <w:t>region)</w:t>
      </w:r>
      <w:r w:rsidRPr="009307FA">
        <w:rPr>
          <w:rFonts w:ascii="Arial" w:hAnsi="Arial" w:cs="Arial"/>
          <w:i/>
          <w:sz w:val="20"/>
          <w:szCs w:val="20"/>
        </w:rPr>
        <w:t xml:space="preserve"> can spend on final consumption, saving</w:t>
      </w:r>
      <w:r w:rsidR="00401185">
        <w:rPr>
          <w:rFonts w:ascii="Arial" w:hAnsi="Arial" w:cs="Arial"/>
          <w:i/>
          <w:sz w:val="20"/>
          <w:szCs w:val="20"/>
        </w:rPr>
        <w:t>s in the</w:t>
      </w:r>
      <w:r w:rsidR="00733148">
        <w:rPr>
          <w:rFonts w:ascii="Arial" w:hAnsi="Arial" w:cs="Arial"/>
          <w:i/>
          <w:sz w:val="20"/>
          <w:szCs w:val="20"/>
        </w:rPr>
        <w:t> </w:t>
      </w:r>
      <w:r w:rsidR="00401185">
        <w:rPr>
          <w:rFonts w:ascii="Arial" w:hAnsi="Arial" w:cs="Arial"/>
          <w:i/>
          <w:sz w:val="20"/>
          <w:szCs w:val="20"/>
        </w:rPr>
        <w:t>form</w:t>
      </w:r>
      <w:r w:rsidRPr="009307FA">
        <w:rPr>
          <w:rFonts w:ascii="Arial" w:hAnsi="Arial" w:cs="Arial"/>
          <w:i/>
          <w:sz w:val="20"/>
          <w:szCs w:val="20"/>
        </w:rPr>
        <w:t xml:space="preserve"> of financial assets</w:t>
      </w:r>
      <w:r w:rsidR="00BF3671">
        <w:rPr>
          <w:rFonts w:ascii="Arial" w:hAnsi="Arial" w:cs="Arial"/>
          <w:i/>
          <w:sz w:val="20"/>
          <w:szCs w:val="20"/>
        </w:rPr>
        <w:t>,</w:t>
      </w:r>
      <w:r w:rsidR="00733148">
        <w:rPr>
          <w:rFonts w:ascii="Arial" w:hAnsi="Arial" w:cs="Arial"/>
          <w:i/>
          <w:sz w:val="20"/>
          <w:szCs w:val="20"/>
        </w:rPr>
        <w:t xml:space="preserve"> and </w:t>
      </w:r>
      <w:r w:rsidRPr="009307FA">
        <w:rPr>
          <w:rFonts w:ascii="Arial" w:hAnsi="Arial" w:cs="Arial"/>
          <w:i/>
          <w:sz w:val="20"/>
          <w:szCs w:val="20"/>
        </w:rPr>
        <w:t>accumulation of tangible and intangible assets. It shows the way the balance of primary income</w:t>
      </w:r>
      <w:r w:rsidR="00AC1AC4">
        <w:rPr>
          <w:rFonts w:ascii="Arial" w:hAnsi="Arial" w:cs="Arial"/>
          <w:i/>
          <w:sz w:val="20"/>
          <w:szCs w:val="20"/>
        </w:rPr>
        <w:t xml:space="preserve"> is redistributed: by </w:t>
      </w:r>
      <w:r>
        <w:rPr>
          <w:rFonts w:ascii="Arial" w:hAnsi="Arial" w:cs="Arial"/>
          <w:i/>
          <w:sz w:val="20"/>
          <w:szCs w:val="20"/>
        </w:rPr>
        <w:t>current taxes, social contributions and</w:t>
      </w:r>
      <w:r w:rsidR="00EE2ED3">
        <w:rPr>
          <w:rFonts w:ascii="Arial" w:hAnsi="Arial" w:cs="Arial"/>
          <w:i/>
          <w:sz w:val="20"/>
          <w:szCs w:val="20"/>
        </w:rPr>
        <w:t xml:space="preserve"> social</w:t>
      </w:r>
      <w:r>
        <w:rPr>
          <w:rFonts w:ascii="Arial" w:hAnsi="Arial" w:cs="Arial"/>
          <w:i/>
          <w:sz w:val="20"/>
          <w:szCs w:val="20"/>
        </w:rPr>
        <w:t xml:space="preserve"> benefit</w:t>
      </w:r>
      <w:r w:rsidR="000F0A5F">
        <w:rPr>
          <w:rFonts w:ascii="Arial" w:hAnsi="Arial" w:cs="Arial"/>
          <w:i/>
          <w:sz w:val="20"/>
          <w:szCs w:val="20"/>
        </w:rPr>
        <w:t>s, and other current transfers.</w:t>
      </w:r>
    </w:p>
    <w:p w:rsidR="005B73CE" w:rsidRPr="00DC6471" w:rsidRDefault="001A6BA8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A6BA8">
        <w:rPr>
          <w:rFonts w:ascii="Arial" w:hAnsi="Arial" w:cs="Arial"/>
          <w:i/>
          <w:sz w:val="20"/>
          <w:szCs w:val="19"/>
        </w:rPr>
        <w:t>The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b/>
          <w:i/>
          <w:sz w:val="20"/>
          <w:szCs w:val="19"/>
        </w:rPr>
        <w:t>average monthly amount of</w:t>
      </w:r>
      <w:r w:rsidR="00FF4C63">
        <w:rPr>
          <w:rFonts w:ascii="Arial" w:hAnsi="Arial" w:cs="Arial"/>
          <w:b/>
          <w:i/>
          <w:sz w:val="20"/>
          <w:szCs w:val="19"/>
        </w:rPr>
        <w:t xml:space="preserve"> old-age</w:t>
      </w:r>
      <w:r w:rsidR="002C0B21">
        <w:rPr>
          <w:rFonts w:ascii="Arial" w:hAnsi="Arial" w:cs="Arial"/>
          <w:b/>
          <w:i/>
          <w:sz w:val="20"/>
          <w:szCs w:val="19"/>
        </w:rPr>
        <w:t xml:space="preserve"> pension</w:t>
      </w:r>
      <w:r w:rsidRPr="001A6BA8">
        <w:rPr>
          <w:rFonts w:ascii="Arial" w:hAnsi="Arial" w:cs="Arial"/>
          <w:i/>
          <w:sz w:val="20"/>
          <w:szCs w:val="19"/>
        </w:rPr>
        <w:t xml:space="preserve"> </w:t>
      </w:r>
      <w:r w:rsidR="002C0B21">
        <w:rPr>
          <w:rFonts w:ascii="Arial" w:hAnsi="Arial" w:cs="Arial"/>
          <w:i/>
          <w:sz w:val="20"/>
          <w:szCs w:val="19"/>
        </w:rPr>
        <w:t>as at</w:t>
      </w:r>
      <w:r w:rsidRPr="001A6BA8">
        <w:rPr>
          <w:rFonts w:ascii="Arial" w:hAnsi="Arial" w:cs="Arial"/>
          <w:i/>
          <w:sz w:val="20"/>
          <w:szCs w:val="19"/>
        </w:rPr>
        <w:t xml:space="preserve"> 31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i/>
          <w:sz w:val="20"/>
          <w:szCs w:val="19"/>
        </w:rPr>
        <w:t>Decemb</w:t>
      </w:r>
      <w:r w:rsidR="000F0A5F">
        <w:rPr>
          <w:rFonts w:ascii="Arial" w:hAnsi="Arial" w:cs="Arial"/>
          <w:i/>
          <w:sz w:val="20"/>
          <w:szCs w:val="19"/>
        </w:rPr>
        <w:t xml:space="preserve">er of the reference year </w:t>
      </w:r>
      <w:r w:rsidR="00D15F91">
        <w:rPr>
          <w:rFonts w:ascii="Arial" w:hAnsi="Arial" w:cs="Arial"/>
          <w:i/>
          <w:sz w:val="20"/>
          <w:szCs w:val="19"/>
        </w:rPr>
        <w:t xml:space="preserve">is the average amount of </w:t>
      </w:r>
      <w:r w:rsidR="004422FE" w:rsidRPr="00733148">
        <w:rPr>
          <w:rFonts w:ascii="Arial" w:hAnsi="Arial" w:cs="Arial"/>
          <w:i/>
          <w:sz w:val="20"/>
          <w:szCs w:val="19"/>
        </w:rPr>
        <w:t xml:space="preserve">full single old-age </w:t>
      </w:r>
      <w:r w:rsidR="00D15F91">
        <w:rPr>
          <w:rFonts w:ascii="Arial" w:hAnsi="Arial" w:cs="Arial"/>
          <w:i/>
          <w:sz w:val="20"/>
          <w:szCs w:val="19"/>
        </w:rPr>
        <w:t xml:space="preserve">pension </w:t>
      </w:r>
      <w:r w:rsidR="003D1650">
        <w:rPr>
          <w:rFonts w:ascii="Arial" w:hAnsi="Arial" w:cs="Arial"/>
          <w:i/>
          <w:sz w:val="20"/>
          <w:szCs w:val="19"/>
        </w:rPr>
        <w:t xml:space="preserve">paid in December </w:t>
      </w:r>
      <w:r w:rsidR="00D15F91">
        <w:rPr>
          <w:rFonts w:ascii="Arial" w:hAnsi="Arial" w:cs="Arial"/>
          <w:i/>
          <w:sz w:val="20"/>
          <w:szCs w:val="19"/>
        </w:rPr>
        <w:t>per pensioner.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Pr="00902C3F" w:rsidRDefault="00E41331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Data sources:</w:t>
      </w:r>
    </w:p>
    <w:p w:rsidR="00E41331" w:rsidRDefault="00E41331" w:rsidP="00FA67E7">
      <w:pPr>
        <w:pStyle w:val="Zkladntextodsazen"/>
        <w:ind w:firstLine="0"/>
      </w:pPr>
      <w:r>
        <w:t>The data are produced by the CZSO unless a source is given.</w:t>
      </w:r>
    </w:p>
    <w:p w:rsidR="00E41331" w:rsidRDefault="00E41331" w:rsidP="002472A7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Unemployment, job vacancies: Minist</w:t>
      </w:r>
      <w:r w:rsidR="009F0C6C">
        <w:rPr>
          <w:rFonts w:ascii="Arial" w:hAnsi="Arial" w:cs="Arial"/>
          <w:i/>
          <w:iCs/>
          <w:sz w:val="20"/>
        </w:rPr>
        <w:t>ry of Labour and Social Affairs</w:t>
      </w:r>
    </w:p>
    <w:p w:rsidR="00C83588" w:rsidRDefault="00E41331">
      <w:pPr>
        <w:pStyle w:val="Nadpis3"/>
        <w:keepNext w:val="0"/>
        <w:ind w:left="0" w:firstLine="0"/>
      </w:pPr>
      <w:r>
        <w:t>Social security: Czech Social Security Administration</w:t>
      </w:r>
      <w:r w:rsidR="000876C7">
        <w:t>, calculation according to the Ministry of Labour and Social Affairs</w:t>
      </w:r>
    </w:p>
    <w:p w:rsidR="00E41331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Crime: Police Presidium of the CR</w:t>
      </w:r>
    </w:p>
    <w:p w:rsidR="00761EE7" w:rsidRDefault="006405D3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Road accidents: Police Presidium of the CR, Directorate of the Traffic Police</w:t>
      </w:r>
      <w:r w:rsidR="003C1DA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Service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B325CE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Further </w:t>
      </w:r>
      <w:r w:rsidR="00EB2E0E">
        <w:rPr>
          <w:rFonts w:ascii="Arial" w:hAnsi="Arial" w:cs="Arial"/>
          <w:sz w:val="20"/>
        </w:rPr>
        <w:t xml:space="preserve">information </w:t>
      </w:r>
      <w:r>
        <w:rPr>
          <w:rFonts w:ascii="Arial" w:hAnsi="Arial" w:cs="Arial"/>
          <w:sz w:val="20"/>
        </w:rPr>
        <w:t>can be found on the </w:t>
      </w:r>
      <w:r w:rsidR="00EB18D8">
        <w:rPr>
          <w:rFonts w:ascii="Arial" w:hAnsi="Arial" w:cs="Arial"/>
          <w:sz w:val="20"/>
        </w:rPr>
        <w:t>web</w:t>
      </w:r>
      <w:r w:rsidR="007768BA">
        <w:rPr>
          <w:rFonts w:ascii="Arial" w:hAnsi="Arial" w:cs="Arial"/>
          <w:sz w:val="20"/>
        </w:rPr>
        <w:t>site</w:t>
      </w:r>
      <w:r w:rsidR="00EB18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the Czech Statistical Office at:</w:t>
      </w:r>
    </w:p>
    <w:p w:rsidR="00A8579F" w:rsidRDefault="00860076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– </w:t>
      </w:r>
      <w:hyperlink r:id="rId6" w:history="1">
        <w:r w:rsidR="00A8579F">
          <w:rPr>
            <w:rStyle w:val="Hypertextovodkaz"/>
            <w:rFonts w:ascii="Arial" w:hAnsi="Arial" w:cs="Arial"/>
            <w:i w:val="0"/>
            <w:iCs w:val="0"/>
            <w:sz w:val="20"/>
          </w:rPr>
          <w:t>www.czso.cz/csu/czso/regions_towns_</w:t>
        </w:r>
      </w:hyperlink>
    </w:p>
    <w:sectPr w:rsidR="00A8579F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1"/>
    <w:rsid w:val="000000D4"/>
    <w:rsid w:val="00007B4C"/>
    <w:rsid w:val="00021607"/>
    <w:rsid w:val="00033BA3"/>
    <w:rsid w:val="00084052"/>
    <w:rsid w:val="000876C7"/>
    <w:rsid w:val="0009540A"/>
    <w:rsid w:val="000A79E9"/>
    <w:rsid w:val="000B1342"/>
    <w:rsid w:val="000B1DE0"/>
    <w:rsid w:val="000E4A1D"/>
    <w:rsid w:val="000F0A5F"/>
    <w:rsid w:val="0010037C"/>
    <w:rsid w:val="0017246D"/>
    <w:rsid w:val="0017669F"/>
    <w:rsid w:val="00181B91"/>
    <w:rsid w:val="001A6BA8"/>
    <w:rsid w:val="001B2DE9"/>
    <w:rsid w:val="001B572E"/>
    <w:rsid w:val="001C77EC"/>
    <w:rsid w:val="001E5023"/>
    <w:rsid w:val="001F5AD6"/>
    <w:rsid w:val="00222343"/>
    <w:rsid w:val="002472A7"/>
    <w:rsid w:val="002667C6"/>
    <w:rsid w:val="002672A9"/>
    <w:rsid w:val="002741C8"/>
    <w:rsid w:val="00277652"/>
    <w:rsid w:val="00285A3C"/>
    <w:rsid w:val="002A392F"/>
    <w:rsid w:val="002C0B21"/>
    <w:rsid w:val="002C1E3B"/>
    <w:rsid w:val="002D6259"/>
    <w:rsid w:val="002D7764"/>
    <w:rsid w:val="002E5B04"/>
    <w:rsid w:val="002F4D1E"/>
    <w:rsid w:val="002F5DC5"/>
    <w:rsid w:val="00300273"/>
    <w:rsid w:val="00300A74"/>
    <w:rsid w:val="00303158"/>
    <w:rsid w:val="00312111"/>
    <w:rsid w:val="0031499D"/>
    <w:rsid w:val="00317E4C"/>
    <w:rsid w:val="003241F4"/>
    <w:rsid w:val="003242A5"/>
    <w:rsid w:val="0033001F"/>
    <w:rsid w:val="003370A2"/>
    <w:rsid w:val="003664AC"/>
    <w:rsid w:val="00373C34"/>
    <w:rsid w:val="00384A18"/>
    <w:rsid w:val="003877B5"/>
    <w:rsid w:val="0039747D"/>
    <w:rsid w:val="003B0E68"/>
    <w:rsid w:val="003C1DA9"/>
    <w:rsid w:val="003D0F6C"/>
    <w:rsid w:val="003D1650"/>
    <w:rsid w:val="003D2B4B"/>
    <w:rsid w:val="003E7DF1"/>
    <w:rsid w:val="00401185"/>
    <w:rsid w:val="00401B55"/>
    <w:rsid w:val="00420CDC"/>
    <w:rsid w:val="004422FE"/>
    <w:rsid w:val="004608C2"/>
    <w:rsid w:val="00496EEE"/>
    <w:rsid w:val="004B1682"/>
    <w:rsid w:val="004B314D"/>
    <w:rsid w:val="004C3200"/>
    <w:rsid w:val="004C6BBF"/>
    <w:rsid w:val="004C6BFB"/>
    <w:rsid w:val="004C772D"/>
    <w:rsid w:val="004F103B"/>
    <w:rsid w:val="004F5CFF"/>
    <w:rsid w:val="005105B8"/>
    <w:rsid w:val="0053001E"/>
    <w:rsid w:val="00557574"/>
    <w:rsid w:val="00566C99"/>
    <w:rsid w:val="00576535"/>
    <w:rsid w:val="00577CF0"/>
    <w:rsid w:val="005B73CE"/>
    <w:rsid w:val="00625199"/>
    <w:rsid w:val="006405D3"/>
    <w:rsid w:val="006766AD"/>
    <w:rsid w:val="006A0CEC"/>
    <w:rsid w:val="006D5CDD"/>
    <w:rsid w:val="006E3CBA"/>
    <w:rsid w:val="00704FAA"/>
    <w:rsid w:val="00710729"/>
    <w:rsid w:val="00733148"/>
    <w:rsid w:val="007336AE"/>
    <w:rsid w:val="00734CEF"/>
    <w:rsid w:val="00740082"/>
    <w:rsid w:val="007444C2"/>
    <w:rsid w:val="00761EE7"/>
    <w:rsid w:val="00762669"/>
    <w:rsid w:val="007768BA"/>
    <w:rsid w:val="00787411"/>
    <w:rsid w:val="007902FD"/>
    <w:rsid w:val="007B0CB5"/>
    <w:rsid w:val="007B4219"/>
    <w:rsid w:val="007D240B"/>
    <w:rsid w:val="007D2763"/>
    <w:rsid w:val="008206B8"/>
    <w:rsid w:val="00844A31"/>
    <w:rsid w:val="00852153"/>
    <w:rsid w:val="00860076"/>
    <w:rsid w:val="00861DDA"/>
    <w:rsid w:val="008815E1"/>
    <w:rsid w:val="008E69AF"/>
    <w:rsid w:val="00902C3F"/>
    <w:rsid w:val="00915D33"/>
    <w:rsid w:val="00917A88"/>
    <w:rsid w:val="0092030C"/>
    <w:rsid w:val="009307FA"/>
    <w:rsid w:val="009428DA"/>
    <w:rsid w:val="00942C05"/>
    <w:rsid w:val="00946204"/>
    <w:rsid w:val="00972935"/>
    <w:rsid w:val="00980173"/>
    <w:rsid w:val="00980C55"/>
    <w:rsid w:val="009951AC"/>
    <w:rsid w:val="009B32CD"/>
    <w:rsid w:val="009E2A55"/>
    <w:rsid w:val="009E5523"/>
    <w:rsid w:val="009F0C6C"/>
    <w:rsid w:val="00A265C5"/>
    <w:rsid w:val="00A315BD"/>
    <w:rsid w:val="00A315D0"/>
    <w:rsid w:val="00A45ACC"/>
    <w:rsid w:val="00A47F7F"/>
    <w:rsid w:val="00A52976"/>
    <w:rsid w:val="00A8165D"/>
    <w:rsid w:val="00A82887"/>
    <w:rsid w:val="00A8579F"/>
    <w:rsid w:val="00AC1AC4"/>
    <w:rsid w:val="00AC3CF5"/>
    <w:rsid w:val="00AC4A34"/>
    <w:rsid w:val="00B04131"/>
    <w:rsid w:val="00B05571"/>
    <w:rsid w:val="00B23CB1"/>
    <w:rsid w:val="00B3183D"/>
    <w:rsid w:val="00B325CE"/>
    <w:rsid w:val="00B46BF9"/>
    <w:rsid w:val="00B53E24"/>
    <w:rsid w:val="00B647B8"/>
    <w:rsid w:val="00B74D06"/>
    <w:rsid w:val="00B914B3"/>
    <w:rsid w:val="00BA5945"/>
    <w:rsid w:val="00BE5C64"/>
    <w:rsid w:val="00BF02F0"/>
    <w:rsid w:val="00BF3671"/>
    <w:rsid w:val="00BF7D2C"/>
    <w:rsid w:val="00C115D1"/>
    <w:rsid w:val="00C11628"/>
    <w:rsid w:val="00C31D19"/>
    <w:rsid w:val="00C33F5A"/>
    <w:rsid w:val="00C358B3"/>
    <w:rsid w:val="00C3728A"/>
    <w:rsid w:val="00C53095"/>
    <w:rsid w:val="00C562C4"/>
    <w:rsid w:val="00C61C52"/>
    <w:rsid w:val="00C83588"/>
    <w:rsid w:val="00C86545"/>
    <w:rsid w:val="00C8741E"/>
    <w:rsid w:val="00CF42C7"/>
    <w:rsid w:val="00CF599C"/>
    <w:rsid w:val="00D15F91"/>
    <w:rsid w:val="00D2475C"/>
    <w:rsid w:val="00D3233A"/>
    <w:rsid w:val="00D44A53"/>
    <w:rsid w:val="00D51697"/>
    <w:rsid w:val="00D6116E"/>
    <w:rsid w:val="00DA2C2D"/>
    <w:rsid w:val="00DC1AFD"/>
    <w:rsid w:val="00DC6471"/>
    <w:rsid w:val="00DD744F"/>
    <w:rsid w:val="00DE217B"/>
    <w:rsid w:val="00E1213E"/>
    <w:rsid w:val="00E21D96"/>
    <w:rsid w:val="00E22D6D"/>
    <w:rsid w:val="00E41331"/>
    <w:rsid w:val="00E50C77"/>
    <w:rsid w:val="00E95AFC"/>
    <w:rsid w:val="00E964C0"/>
    <w:rsid w:val="00EB18D8"/>
    <w:rsid w:val="00EB1E14"/>
    <w:rsid w:val="00EB2E0E"/>
    <w:rsid w:val="00EB3DA6"/>
    <w:rsid w:val="00EB4495"/>
    <w:rsid w:val="00EC446C"/>
    <w:rsid w:val="00EC5B4B"/>
    <w:rsid w:val="00EE2ED3"/>
    <w:rsid w:val="00EE45C1"/>
    <w:rsid w:val="00F21E36"/>
    <w:rsid w:val="00F371FD"/>
    <w:rsid w:val="00FA13C4"/>
    <w:rsid w:val="00FA67E7"/>
    <w:rsid w:val="00FB1F62"/>
    <w:rsid w:val="00FB2CD4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DD3A64-C2F6-4C20-B554-1BDF2571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qFormat/>
    <w:rsid w:val="00852153"/>
    <w:rPr>
      <w:b/>
      <w:bCs/>
    </w:rPr>
  </w:style>
  <w:style w:type="paragraph" w:styleId="Zkladntext">
    <w:name w:val="Body Text"/>
    <w:basedOn w:val="Normln"/>
    <w:link w:val="ZkladntextChar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semiHidden/>
    <w:rsid w:val="00852153"/>
    <w:rPr>
      <w:sz w:val="16"/>
      <w:szCs w:val="16"/>
    </w:rPr>
  </w:style>
  <w:style w:type="character" w:styleId="Hypertextovodkaz">
    <w:name w:val="Hyperlink"/>
    <w:semiHidden/>
    <w:rsid w:val="00852153"/>
    <w:rPr>
      <w:color w:val="0000FF"/>
      <w:u w:val="single"/>
    </w:rPr>
  </w:style>
  <w:style w:type="character" w:styleId="Sledovanodkaz">
    <w:name w:val="FollowedHyperlink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68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682"/>
    <w:rPr>
      <w:b/>
      <w:bCs/>
      <w:lang w:val="en-GB"/>
    </w:rPr>
  </w:style>
  <w:style w:type="paragraph" w:styleId="Revize">
    <w:name w:val="Revision"/>
    <w:hidden/>
    <w:uiPriority w:val="99"/>
    <w:semiHidden/>
    <w:rsid w:val="000E4A1D"/>
    <w:rPr>
      <w:sz w:val="24"/>
      <w:szCs w:val="26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2472A7"/>
    <w:rPr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C8AA0-FB7F-4C38-BC31-9EF519E3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3289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Ing. Dana Habartová</cp:lastModifiedBy>
  <cp:revision>6</cp:revision>
  <cp:lastPrinted>2018-08-30T11:18:00Z</cp:lastPrinted>
  <dcterms:created xsi:type="dcterms:W3CDTF">2018-08-28T07:58:00Z</dcterms:created>
  <dcterms:modified xsi:type="dcterms:W3CDTF">2018-10-18T08:31:00Z</dcterms:modified>
</cp:coreProperties>
</file>