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36C6A" w:rsidP="00AE6D5B">
      <w:pPr>
        <w:pStyle w:val="Datum"/>
      </w:pPr>
      <w:r>
        <w:t>22</w:t>
      </w:r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004BBE" w:rsidP="00AE6D5B">
      <w:pPr>
        <w:pStyle w:val="Nzev"/>
      </w:pPr>
      <w:r>
        <w:t>Saldo hospodaření bylo</w:t>
      </w:r>
      <w:r w:rsidR="00482A2E">
        <w:t xml:space="preserve"> v roce 2017 </w:t>
      </w:r>
      <w:r>
        <w:t>v přebytku, zadlužení pokleslo</w:t>
      </w:r>
    </w:p>
    <w:p w:rsidR="00482A2E" w:rsidRDefault="000D476F" w:rsidP="000D476F">
      <w:pPr>
        <w:pStyle w:val="Perex"/>
        <w:jc w:val="left"/>
      </w:pPr>
      <w:r>
        <w:t>Saldo hospodaření sektoru vládních institucí skončilo za rok 2017 přebytkem ve výši 78,2 mld. Kč.</w:t>
      </w:r>
      <w:r w:rsidR="00004BBE">
        <w:t xml:space="preserve"> Výše zadlužení sektoru dosáhla na konci roku 2017 úrovně 34,68 % HDP.</w:t>
      </w:r>
    </w:p>
    <w:p w:rsidR="00482A2E" w:rsidRDefault="00482A2E" w:rsidP="00482A2E">
      <w:pPr>
        <w:jc w:val="left"/>
      </w:pPr>
      <w:r w:rsidRPr="001E178C">
        <w:rPr>
          <w:i/>
        </w:rPr>
        <w:t>„Hospodaření vládních institucí skončil</w:t>
      </w:r>
      <w:r w:rsidR="000D476F">
        <w:rPr>
          <w:i/>
        </w:rPr>
        <w:t>o v roce 2017 přebytkem 78,2 miliardy</w:t>
      </w:r>
      <w:r w:rsidRPr="001E178C">
        <w:rPr>
          <w:i/>
        </w:rPr>
        <w:t xml:space="preserve"> korun, což odpovídá 1,55 % HDP. Meziroč</w:t>
      </w:r>
      <w:r w:rsidR="000D476F">
        <w:rPr>
          <w:i/>
        </w:rPr>
        <w:t>ně vzrostl přebytek o 43,6 miliard</w:t>
      </w:r>
      <w:r w:rsidRPr="001E178C">
        <w:rPr>
          <w:i/>
        </w:rPr>
        <w:t xml:space="preserve"> a to zejména v důsledku zlepšení hospodaření ústředních vládních institucí,“</w:t>
      </w:r>
      <w:r>
        <w:t xml:space="preserve"> </w:t>
      </w:r>
      <w:r w:rsidR="000D476F">
        <w:t>uvádí</w:t>
      </w:r>
      <w:r w:rsidR="001E178C">
        <w:t xml:space="preserve"> Petr Musil, ředitel odboru vládních a finančních účtů ČSÚ.</w:t>
      </w:r>
    </w:p>
    <w:p w:rsidR="001E178C" w:rsidRDefault="001E178C" w:rsidP="00482A2E">
      <w:pPr>
        <w:jc w:val="left"/>
      </w:pPr>
    </w:p>
    <w:p w:rsidR="00482A2E" w:rsidRPr="00004BBE" w:rsidRDefault="001E178C" w:rsidP="00482A2E">
      <w:pPr>
        <w:jc w:val="left"/>
        <w:rPr>
          <w:i/>
        </w:rPr>
      </w:pPr>
      <w:r w:rsidRPr="000D476F">
        <w:rPr>
          <w:i/>
        </w:rPr>
        <w:t>„</w:t>
      </w:r>
      <w:r w:rsidR="00004BBE">
        <w:rPr>
          <w:i/>
        </w:rPr>
        <w:t>Výše salda i dluhu vládních institucí zůstaly po pravidelných konzultacích s Eurostatem</w:t>
      </w:r>
      <w:bookmarkStart w:id="0" w:name="_GoBack"/>
      <w:bookmarkEnd w:id="0"/>
      <w:r w:rsidR="00004BBE">
        <w:rPr>
          <w:i/>
        </w:rPr>
        <w:t xml:space="preserve"> neměnné oproti údajům zveřejněným 3. října,“ </w:t>
      </w:r>
      <w:r>
        <w:t>doplňuje Musil</w:t>
      </w:r>
      <w:r w:rsidR="000D476F">
        <w:t>.</w:t>
      </w:r>
    </w:p>
    <w:p w:rsidR="001E178C" w:rsidRDefault="001E178C" w:rsidP="00482A2E">
      <w:pPr>
        <w:jc w:val="left"/>
      </w:pPr>
    </w:p>
    <w:p w:rsidR="001E178C" w:rsidRDefault="001E178C" w:rsidP="00482A2E">
      <w:pPr>
        <w:jc w:val="left"/>
      </w:pPr>
      <w:r>
        <w:t xml:space="preserve">Podrobnosti byly zveřejněny v dnes vydané Rychlé informaci k notifikaci deficitu a dluhu vládních institucí za rok 2017: </w:t>
      </w:r>
      <w:hyperlink r:id="rId7" w:history="1">
        <w:r w:rsidR="00004BBE">
          <w:rPr>
            <w:rStyle w:val="Hypertextovodkaz"/>
            <w:rFonts w:ascii="Segoe UI" w:hAnsi="Segoe UI" w:cs="Segoe UI"/>
            <w:szCs w:val="20"/>
          </w:rPr>
          <w:t>https://www.czso.cz/csu/czso/cri/notifikace-deficitu-a-dluhu-vladnich-instituci-2017-2</w:t>
        </w:r>
      </w:hyperlink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423FEF" w:rsidRPr="00192499">
          <w:rPr>
            <w:rStyle w:val="Hypertextovodkaz"/>
            <w:rFonts w:cs="Arial"/>
          </w:rPr>
          <w:t>jan.cieslar@czso.cz</w:t>
        </w:r>
      </w:hyperlink>
      <w:r w:rsidR="00423FE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F0" w:rsidRDefault="00BC79F0" w:rsidP="00BA6370">
      <w:r>
        <w:separator/>
      </w:r>
    </w:p>
  </w:endnote>
  <w:endnote w:type="continuationSeparator" w:id="0">
    <w:p w:rsidR="00BC79F0" w:rsidRDefault="00BC79F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3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443F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443F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23FE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443F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F0" w:rsidRDefault="00BC79F0" w:rsidP="00BA6370">
      <w:r>
        <w:separator/>
      </w:r>
    </w:p>
  </w:footnote>
  <w:footnote w:type="continuationSeparator" w:id="0">
    <w:p w:rsidR="00BC79F0" w:rsidRDefault="00BC79F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04BBE"/>
    <w:rsid w:val="00043BF4"/>
    <w:rsid w:val="00070B0C"/>
    <w:rsid w:val="000842D2"/>
    <w:rsid w:val="000843A5"/>
    <w:rsid w:val="000B6F63"/>
    <w:rsid w:val="000C435D"/>
    <w:rsid w:val="000D476F"/>
    <w:rsid w:val="00136C6A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23FEF"/>
    <w:rsid w:val="004436EE"/>
    <w:rsid w:val="0045547F"/>
    <w:rsid w:val="00482A2E"/>
    <w:rsid w:val="00486905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A3FF4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70329F"/>
    <w:rsid w:val="00707F7D"/>
    <w:rsid w:val="00717EC5"/>
    <w:rsid w:val="00737B80"/>
    <w:rsid w:val="007443F3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BC79F0"/>
    <w:rsid w:val="00C13FE4"/>
    <w:rsid w:val="00C269D4"/>
    <w:rsid w:val="00C4160D"/>
    <w:rsid w:val="00C52466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7-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782B-2293-4D75-82AE-F9CFF086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2018-05-14T07:58:00Z</cp:lastPrinted>
  <dcterms:created xsi:type="dcterms:W3CDTF">2018-10-19T08:16:00Z</dcterms:created>
  <dcterms:modified xsi:type="dcterms:W3CDTF">2018-10-19T08:21:00Z</dcterms:modified>
</cp:coreProperties>
</file>