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1" w:rsidRPr="008A1665" w:rsidRDefault="006E66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center"/>
        <w:rPr>
          <w:rFonts w:ascii="Arial" w:hAnsi="Arial" w:cs="Arial"/>
          <w:bCs/>
          <w:i/>
          <w:lang w:val="en-GB"/>
        </w:rPr>
      </w:pPr>
      <w:bookmarkStart w:id="0" w:name="_GoBack"/>
      <w:bookmarkEnd w:id="0"/>
      <w:r w:rsidRPr="008A1665">
        <w:rPr>
          <w:rFonts w:ascii="Arial" w:hAnsi="Arial" w:cs="Arial"/>
          <w:b/>
          <w:bCs/>
          <w:i/>
          <w:lang w:val="en-GB"/>
        </w:rPr>
        <w:t xml:space="preserve">11. </w:t>
      </w:r>
      <w:r w:rsidR="00712CB4" w:rsidRPr="008A1665">
        <w:rPr>
          <w:rFonts w:ascii="Arial" w:hAnsi="Arial" w:cs="Arial"/>
          <w:b/>
          <w:bCs/>
          <w:i/>
          <w:lang w:val="en-GB"/>
        </w:rPr>
        <w:t>EXTERNAL TRADE</w:t>
      </w:r>
    </w:p>
    <w:p w:rsidR="008A1665" w:rsidRDefault="008A166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712CB4" w:rsidRPr="00767411" w:rsidRDefault="00712CB4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Since 2011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Statistical Office has been publishing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external trade in goods following two concepts –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cross border concept. This chapter shows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exclusively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 of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external trade statistics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, which reveals facts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economy performances in exports and imports therefore also </w:t>
      </w:r>
      <w:r w:rsidR="00371FB2" w:rsidRPr="00767411">
        <w:rPr>
          <w:rFonts w:ascii="Arial" w:hAnsi="Arial" w:cs="Arial"/>
          <w:bCs/>
          <w:i/>
          <w:sz w:val="20"/>
          <w:szCs w:val="20"/>
          <w:lang w:val="en-GB"/>
        </w:rPr>
        <w:t>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t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rade balance in external trade.</w:t>
      </w:r>
    </w:p>
    <w:p w:rsidR="005F65BC" w:rsidRPr="00767411" w:rsidRDefault="005F65BC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based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thesis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external trade happens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moment when Czech entities (residents) and foreign entities (non-residents) make </w:t>
      </w:r>
      <w:r w:rsidR="00FC21F4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mutual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movement of goods across borders may not be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decisive for.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goods movements across borders is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which,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contrary, defines exports and imports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basis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moment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movement a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state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border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irrespective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is made betw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een residents or non-residents.</w:t>
      </w:r>
    </w:p>
    <w:p w:rsidR="00346885" w:rsidRDefault="0034688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source of information for 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estimating exports and imports of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national concept 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is, first of all, information on cross-border movements of goods (i.e. 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border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concept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supplemented from other data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sources,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mainly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from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value added tax return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forms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 xml:space="preserve"> and </w:t>
      </w:r>
      <w:r w:rsidR="00250C4A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industry st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at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istics.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goods, which is moved to and/or from 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Czech Republic by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foreign entities, is not taken as exports or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concept. Conversely,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trade carried out among Czech entities and foreign ones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is considered exports and imports, which is enabled due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involvement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unified European market.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E05C5" w:rsidRPr="00767411" w:rsidRDefault="005B7EAC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information on cross-border movement of goods, i.e.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statistics of external trade in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a total of intra-EU trade (i.e. trade with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States of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Union) and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countries. Data on goods, which is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subject of trade among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States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reporting units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submit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Customs Office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form for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along with data on dispatching or receiving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goods. Data on goods, which is exported 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and/o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 imported within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countries </w:t>
      </w:r>
      <w:r w:rsidR="00FE50E5" w:rsidRPr="00767411">
        <w:rPr>
          <w:rFonts w:ascii="Arial" w:hAnsi="Arial" w:cs="Arial"/>
          <w:bCs/>
          <w:i/>
          <w:sz w:val="20"/>
          <w:szCs w:val="20"/>
          <w:lang w:val="en-GB"/>
        </w:rPr>
        <w:t>(Extrastat)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B5457A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given in customs declarations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collection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of these data and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primary checks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thereof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General Directorate of Customs.</w:t>
      </w:r>
    </w:p>
    <w:p w:rsidR="001675F1" w:rsidRDefault="001675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 compliance with binding EU regulations the surveying of data on exports and imports is regulated by the Act No 242/2016 Sb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the Customs Act, as amen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ded. For the data collection in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 system of Intrastat the surveying is governed by the 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Decision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of the Government of the CR No 244/2016 Sb implementing certain provisions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Customs Act in statistics, as amended.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E622CF" w:rsidRPr="00767411" w:rsidRDefault="00840E4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statistics of external trade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="00B83BDB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value of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exported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by residents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purchased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="00EE7000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exports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E7000" w:rsidRPr="00767411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 value of 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directly by residents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sold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649DF" w:rsidRPr="00552800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This way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solely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data for non-residents are adjusted when moving from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cross-border movement of goods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i.e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cross border concept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national concept.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Values of exports and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imports reported by Czech entities remain unchanged and </w:t>
      </w:r>
      <w:r w:rsidR="00250C4A">
        <w:rPr>
          <w:rFonts w:ascii="Arial" w:hAnsi="Arial" w:cs="Arial"/>
          <w:b/>
          <w:bCs/>
          <w:i/>
          <w:sz w:val="20"/>
          <w:szCs w:val="20"/>
          <w:lang w:val="en-GB"/>
        </w:rPr>
        <w:t>therefore they are identical in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both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concepts.</w:t>
      </w:r>
    </w:p>
    <w:p w:rsidR="00EE7000" w:rsidRDefault="00446BDD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Because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value added tax return forms do not contain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commodity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structure 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purchases and sales of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is derived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of cross-border transactions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 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non-residents and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industry statistics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 xml:space="preserve">, that means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entities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 sell the</w:t>
      </w:r>
      <w:r w:rsidR="004023AB">
        <w:rPr>
          <w:rFonts w:ascii="Arial" w:hAnsi="Arial" w:cs="Arial"/>
          <w:bCs/>
          <w:i/>
          <w:sz w:val="20"/>
          <w:szCs w:val="20"/>
          <w:lang w:val="en-GB"/>
        </w:rPr>
        <w:t>ir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production to non-residents as early as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171BE" w:rsidRPr="00767411" w:rsidRDefault="009B4064" w:rsidP="00B019C8">
      <w:pPr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lastRenderedPageBreak/>
        <w:t>Data of both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concepts of external trade contain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value of goods dispatched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received for processing according to a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contract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so-called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goods sent abroad for processing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).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is excluded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values of exports and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external trade balance and </w:t>
      </w:r>
      <w:r w:rsidR="008D51DB">
        <w:rPr>
          <w:rFonts w:ascii="Arial" w:hAnsi="Arial" w:cs="Arial"/>
          <w:bCs/>
          <w:i/>
          <w:sz w:val="20"/>
          <w:szCs w:val="20"/>
          <w:lang w:val="en-GB"/>
        </w:rPr>
        <w:t>national accounts in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accordance with the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European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System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Accounts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ESA 2010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a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nd Balance</w:t>
      </w:r>
      <w:r w:rsidR="008D51DB">
        <w:rPr>
          <w:rFonts w:ascii="Arial" w:hAnsi="Arial" w:cs="Arial"/>
          <w:bCs/>
          <w:i/>
          <w:sz w:val="20"/>
          <w:szCs w:val="20"/>
          <w:lang w:val="en-GB"/>
        </w:rPr>
        <w:t xml:space="preserve"> of Payments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International Investment Position Manual, Sixth Edition (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BPM6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9B4064" w:rsidRDefault="00894D2F" w:rsidP="008A1665">
      <w:pPr>
        <w:pStyle w:val="Zkladntextodsazen3"/>
        <w:ind w:firstLine="720"/>
        <w:rPr>
          <w:rFonts w:cs="Arial"/>
          <w:bCs/>
          <w:i/>
          <w:szCs w:val="20"/>
          <w:lang w:val="en-GB"/>
        </w:rPr>
      </w:pPr>
      <w:r w:rsidRPr="00767411">
        <w:rPr>
          <w:rFonts w:cs="Arial"/>
          <w:bCs/>
          <w:i/>
          <w:szCs w:val="20"/>
          <w:lang w:val="en-GB"/>
        </w:rPr>
        <w:t>Data o</w:t>
      </w:r>
      <w:r w:rsidR="009B4064" w:rsidRPr="00767411">
        <w:rPr>
          <w:rFonts w:cs="Arial"/>
          <w:bCs/>
          <w:i/>
          <w:szCs w:val="20"/>
          <w:lang w:val="en-GB"/>
        </w:rPr>
        <w:t>n external trade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national concept are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basic source data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compilation of</w:t>
      </w:r>
      <w:r w:rsidR="008D0B4F">
        <w:rPr>
          <w:rFonts w:cs="Arial"/>
          <w:bCs/>
          <w:i/>
          <w:szCs w:val="20"/>
          <w:lang w:val="en-GB"/>
        </w:rPr>
        <w:t> </w:t>
      </w:r>
      <w:r w:rsidR="000D7836">
        <w:rPr>
          <w:rFonts w:cs="Arial"/>
          <w:bCs/>
          <w:i/>
          <w:szCs w:val="20"/>
          <w:lang w:val="en-GB"/>
        </w:rPr>
        <w:t>the </w:t>
      </w:r>
      <w:r w:rsidR="009B4064" w:rsidRPr="00767411">
        <w:rPr>
          <w:rFonts w:cs="Arial"/>
          <w:bCs/>
          <w:i/>
          <w:szCs w:val="20"/>
          <w:lang w:val="en-GB"/>
        </w:rPr>
        <w:t>GDP applying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 xml:space="preserve">expenditure method </w:t>
      </w:r>
      <w:r w:rsidR="00E649DF" w:rsidRPr="00767411">
        <w:rPr>
          <w:rFonts w:cs="Arial"/>
          <w:bCs/>
          <w:i/>
          <w:szCs w:val="20"/>
          <w:lang w:val="en-GB"/>
        </w:rPr>
        <w:t>and also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current account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balance</w:t>
      </w:r>
      <w:r w:rsidR="00500315" w:rsidRPr="00767411">
        <w:rPr>
          <w:rFonts w:cs="Arial"/>
          <w:bCs/>
          <w:i/>
          <w:szCs w:val="20"/>
          <w:lang w:val="en-GB"/>
        </w:rPr>
        <w:t xml:space="preserve"> of payments</w:t>
      </w:r>
      <w:r w:rsidR="00E649DF" w:rsidRPr="00767411">
        <w:rPr>
          <w:rFonts w:cs="Arial"/>
          <w:bCs/>
          <w:i/>
          <w:szCs w:val="20"/>
          <w:lang w:val="en-GB"/>
        </w:rPr>
        <w:t>. Besides these data,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later macroeconomic statistics include other items as, for instance, imports of goods by individuals, smuggling, etc. What also differs is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evaluation when imports in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national concept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 xml:space="preserve">external trade statistics </w:t>
      </w:r>
      <w:r w:rsidR="00A11343" w:rsidRPr="00767411">
        <w:rPr>
          <w:rFonts w:cs="Arial"/>
          <w:bCs/>
          <w:i/>
          <w:szCs w:val="20"/>
          <w:lang w:val="en-GB"/>
        </w:rPr>
        <w:t>are</w:t>
      </w:r>
      <w:r w:rsidR="00E649DF" w:rsidRPr="00767411">
        <w:rPr>
          <w:rFonts w:cs="Arial"/>
          <w:bCs/>
          <w:i/>
          <w:szCs w:val="20"/>
          <w:lang w:val="en-GB"/>
        </w:rPr>
        <w:t xml:space="preserve"> expressed </w:t>
      </w:r>
      <w:r w:rsidR="00552800">
        <w:rPr>
          <w:rFonts w:cs="Arial"/>
          <w:bCs/>
          <w:i/>
          <w:szCs w:val="20"/>
          <w:lang w:val="en-GB"/>
        </w:rPr>
        <w:t>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borders of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importing country (CIF), while national accounts (sector accounts and quarterly estimate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8D0B4F">
        <w:rPr>
          <w:rFonts w:cs="Arial"/>
          <w:bCs/>
          <w:i/>
          <w:szCs w:val="20"/>
          <w:lang w:val="en-GB"/>
        </w:rPr>
        <w:t xml:space="preserve"> of 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GDP) and balance of payment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E649DF" w:rsidRPr="00767411">
        <w:rPr>
          <w:rFonts w:cs="Arial"/>
          <w:bCs/>
          <w:i/>
          <w:szCs w:val="20"/>
          <w:lang w:val="en-GB"/>
        </w:rPr>
        <w:t xml:space="preserve"> use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value of imports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 Exports are in all statistical domains evaluated identically 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</w:t>
      </w:r>
      <w:r w:rsidR="00552800">
        <w:rPr>
          <w:rFonts w:cs="Arial"/>
          <w:bCs/>
          <w:i/>
          <w:szCs w:val="20"/>
          <w:lang w:val="en-GB"/>
        </w:rPr>
        <w:t>f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difference in between both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evaluations of goods consists in costs for transp</w:t>
      </w:r>
      <w:r w:rsidR="00552800">
        <w:rPr>
          <w:rFonts w:cs="Arial"/>
          <w:bCs/>
          <w:i/>
          <w:szCs w:val="20"/>
          <w:lang w:val="en-GB"/>
        </w:rPr>
        <w:t>ort and insurance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552800">
        <w:rPr>
          <w:rFonts w:cs="Arial"/>
          <w:bCs/>
          <w:i/>
          <w:szCs w:val="20"/>
          <w:lang w:val="en-GB"/>
        </w:rPr>
        <w:t>goods.</w:t>
      </w:r>
    </w:p>
    <w:p w:rsidR="00E4748C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E4748C" w:rsidRPr="00767411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1675F1" w:rsidRPr="00767411" w:rsidRDefault="001675F1" w:rsidP="00E4748C">
      <w:pPr>
        <w:pStyle w:val="Zkladntext"/>
        <w:spacing w:before="0"/>
        <w:ind w:firstLine="720"/>
        <w:rPr>
          <w:rFonts w:cs="Arial"/>
          <w:i/>
          <w:iCs/>
          <w:lang w:val="en-GB"/>
        </w:rPr>
      </w:pPr>
      <w:r w:rsidRPr="00767411">
        <w:rPr>
          <w:rFonts w:cs="Arial"/>
          <w:i/>
          <w:iCs/>
          <w:lang w:val="en-GB"/>
        </w:rPr>
        <w:t xml:space="preserve">Since 1999, following </w:t>
      </w:r>
      <w:r w:rsidR="004023AB">
        <w:rPr>
          <w:rFonts w:cs="Arial"/>
          <w:i/>
          <w:iCs/>
          <w:lang w:val="en-GB"/>
        </w:rPr>
        <w:t>a</w:t>
      </w:r>
      <w:r w:rsidR="004023AB" w:rsidRPr="00767411">
        <w:rPr>
          <w:rFonts w:cs="Arial"/>
          <w:i/>
          <w:iCs/>
          <w:lang w:val="en-GB"/>
        </w:rPr>
        <w:t> </w:t>
      </w:r>
      <w:r w:rsidRPr="00767411">
        <w:rPr>
          <w:rFonts w:cs="Arial"/>
          <w:i/>
          <w:iCs/>
          <w:lang w:val="en-GB"/>
        </w:rPr>
        <w:t>regulation of Eurostat, the Czech Statistical Office has been using the territorial breakdown according to the Geonomenclature</w:t>
      </w:r>
      <w:r w:rsidR="00A446E1" w:rsidRPr="00767411">
        <w:rPr>
          <w:rFonts w:cs="Arial"/>
          <w:i/>
          <w:iCs/>
          <w:lang w:val="en-GB"/>
        </w:rPr>
        <w:t xml:space="preserve"> (GEONOM)</w:t>
      </w:r>
      <w:r w:rsidRPr="00767411">
        <w:rPr>
          <w:rFonts w:cs="Arial"/>
          <w:i/>
          <w:iCs/>
          <w:lang w:val="en-GB"/>
        </w:rPr>
        <w:t>. The international standard of GEONOM is binding for the international trade statistics both for the trade among the EU Member States and with states outside the EU.</w:t>
      </w:r>
    </w:p>
    <w:p w:rsidR="001675F1" w:rsidRPr="0076741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bookmarkStart w:id="1" w:name="OLE_LINK1"/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EU28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(European Union)</w:t>
      </w:r>
      <w:r w:rsidR="004023AB">
        <w:rPr>
          <w:rFonts w:ascii="Arial" w:hAnsi="Arial" w:cs="Arial"/>
          <w:bCs/>
          <w:i/>
          <w:iCs/>
          <w:sz w:val="20"/>
          <w:lang w:val="en-GB"/>
        </w:rPr>
        <w:t xml:space="preserve"> includes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: Austria; Belgium; Bulgaria; Croatia; the Czech Republic; Cyprus; Denmark; Estonia; Finland; France; Germany; Greece; Hungary; Ireland; Italy; Latvia; Lithuania; Luxembourg; Malta; the Netherlands; Poland; Portugal; Romania; Slovakia; Slovenia; Spain; Sweden; and the United Kingdom.</w:t>
      </w:r>
    </w:p>
    <w:p w:rsidR="001675F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A11343" w:rsidRPr="00767411">
        <w:rPr>
          <w:rFonts w:ascii="Arial" w:hAnsi="Arial" w:cs="Arial"/>
          <w:b/>
          <w:bCs/>
          <w:i/>
          <w:iCs/>
          <w:sz w:val="20"/>
          <w:lang w:val="en-GB"/>
        </w:rPr>
        <w:t>A</w:t>
      </w: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19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</w:t>
      </w:r>
      <w:r w:rsidR="00A11343" w:rsidRPr="00767411">
        <w:rPr>
          <w:rFonts w:ascii="Arial" w:hAnsi="Arial" w:cs="Arial"/>
          <w:bCs/>
          <w:i/>
          <w:iCs/>
          <w:sz w:val="20"/>
          <w:lang w:val="en-GB"/>
        </w:rPr>
        <w:t xml:space="preserve">Euro 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area)</w:t>
      </w:r>
      <w:r w:rsidR="004023AB">
        <w:rPr>
          <w:rFonts w:ascii="Arial" w:hAnsi="Arial" w:cs="Arial"/>
          <w:bCs/>
          <w:i/>
          <w:iCs/>
          <w:sz w:val="20"/>
          <w:lang w:val="en-GB"/>
        </w:rPr>
        <w:t xml:space="preserve"> includes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: Austria; Belgium; Cyprus; Estonia; Finland; France; Germany; Greece; Ireland; Italy; Latvia; Lithuania; Luxembourg; Malta; the Netherlands; Po</w:t>
      </w:r>
      <w:r w:rsidR="00552800">
        <w:rPr>
          <w:rFonts w:ascii="Arial" w:hAnsi="Arial" w:cs="Arial"/>
          <w:bCs/>
          <w:i/>
          <w:iCs/>
          <w:sz w:val="20"/>
          <w:lang w:val="en-GB"/>
        </w:rPr>
        <w:t>rtugal; Slovakia; Slovenia; and 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Spain.</w:t>
      </w:r>
    </w:p>
    <w:p w:rsidR="00E4748C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E4748C" w:rsidRPr="00767411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bookmarkEnd w:id="1"/>
    <w:p w:rsidR="00524979" w:rsidRPr="00767411" w:rsidRDefault="00524979" w:rsidP="00E4748C">
      <w:pPr>
        <w:numPr>
          <w:ins w:id="2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are compiled and published according to the breakdown of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version of the European Classification of Products by Activity (CZ-CPA).</w:t>
      </w:r>
    </w:p>
    <w:p w:rsidR="009A45AD" w:rsidRPr="00767411" w:rsidRDefault="00524979" w:rsidP="008D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are compiled in time series starting in</w:t>
      </w:r>
      <w:r w:rsidR="00552800">
        <w:rPr>
          <w:rFonts w:ascii="Arial" w:hAnsi="Arial" w:cs="Arial"/>
          <w:i/>
          <w:sz w:val="20"/>
          <w:szCs w:val="20"/>
          <w:lang w:val="en-GB"/>
        </w:rPr>
        <w:t> </w:t>
      </w:r>
      <w:r w:rsidR="009A45AD" w:rsidRPr="00767411">
        <w:rPr>
          <w:rFonts w:ascii="Arial" w:hAnsi="Arial" w:cs="Arial"/>
          <w:i/>
          <w:sz w:val="20"/>
          <w:szCs w:val="20"/>
          <w:lang w:val="en-GB"/>
        </w:rPr>
        <w:t xml:space="preserve">2005, </w:t>
      </w:r>
      <w:r w:rsidRPr="00767411">
        <w:rPr>
          <w:rFonts w:ascii="Arial" w:hAnsi="Arial" w:cs="Arial"/>
          <w:i/>
          <w:sz w:val="20"/>
          <w:szCs w:val="20"/>
          <w:lang w:val="en-GB"/>
        </w:rPr>
        <w:t>i.e</w:t>
      </w:r>
      <w:r w:rsidR="008D0B4F">
        <w:rPr>
          <w:rFonts w:ascii="Arial" w:hAnsi="Arial" w:cs="Arial"/>
          <w:i/>
          <w:sz w:val="20"/>
          <w:szCs w:val="20"/>
          <w:lang w:val="en-GB"/>
        </w:rPr>
        <w:t>. </w:t>
      </w:r>
      <w:r w:rsidRPr="00767411">
        <w:rPr>
          <w:rFonts w:ascii="Arial" w:hAnsi="Arial" w:cs="Arial"/>
          <w:i/>
          <w:sz w:val="20"/>
          <w:szCs w:val="20"/>
          <w:lang w:val="en-GB"/>
        </w:rPr>
        <w:t>following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accession to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i/>
          <w:sz w:val="20"/>
          <w:szCs w:val="20"/>
          <w:lang w:val="en-GB"/>
        </w:rPr>
        <w:t>European Union and after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got involved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unifi</w:t>
      </w:r>
      <w:r w:rsidR="008D0B4F">
        <w:rPr>
          <w:rFonts w:ascii="Arial" w:hAnsi="Arial" w:cs="Arial"/>
          <w:i/>
          <w:sz w:val="20"/>
          <w:szCs w:val="20"/>
          <w:lang w:val="en-GB"/>
        </w:rPr>
        <w:t>ed European market. Data before </w:t>
      </w:r>
      <w:r w:rsidR="00804235" w:rsidRPr="00767411">
        <w:rPr>
          <w:rFonts w:ascii="Arial" w:hAnsi="Arial" w:cs="Arial"/>
          <w:i/>
          <w:sz w:val="20"/>
          <w:szCs w:val="20"/>
          <w:lang w:val="en-GB"/>
        </w:rPr>
        <w:t xml:space="preserve">2005 </w:t>
      </w:r>
      <w:r w:rsidRPr="00767411">
        <w:rPr>
          <w:rFonts w:ascii="Arial" w:hAnsi="Arial" w:cs="Arial"/>
          <w:i/>
          <w:sz w:val="20"/>
          <w:szCs w:val="20"/>
          <w:lang w:val="en-GB"/>
        </w:rPr>
        <w:t>can be considered as compatible both with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data in terms of methodology</w:t>
      </w:r>
      <w:r w:rsidR="008D0B4F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C6011" w:rsidRPr="00767411" w:rsidRDefault="00524979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 data published are final data</w:t>
      </w:r>
      <w:r w:rsidR="00BC6011" w:rsidRPr="00767411">
        <w:rPr>
          <w:rFonts w:ascii="Arial" w:hAnsi="Arial" w:cs="Arial"/>
          <w:i/>
          <w:sz w:val="20"/>
          <w:szCs w:val="20"/>
          <w:lang w:val="en-GB"/>
        </w:rPr>
        <w:t>.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552800" w:rsidRPr="001731FE" w:rsidRDefault="00552800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524979" w:rsidP="008A1665">
      <w:pPr>
        <w:pStyle w:val="Zkladntextodsazen3"/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Further information can be found on the website of the Czech Statistical Office</w:t>
      </w:r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national concept here:</w:t>
      </w:r>
    </w:p>
    <w:p w:rsidR="00993FB2" w:rsidRPr="008D0B4F" w:rsidRDefault="00E4748C" w:rsidP="00E4748C">
      <w:pPr>
        <w:pStyle w:val="Zkladntextodsazen3"/>
        <w:ind w:firstLine="0"/>
        <w:rPr>
          <w:i/>
        </w:rPr>
      </w:pPr>
      <w:r>
        <w:t>– </w:t>
      </w:r>
      <w:hyperlink r:id="rId6" w:history="1">
        <w:r w:rsidR="00552800">
          <w:rPr>
            <w:rStyle w:val="Hypertextovodkaz"/>
          </w:rPr>
          <w:t>www.czso.cz/csu/czso/external_trade_in_goods_according_to_the_change_of_ownership_-national_concept-_</w:t>
        </w:r>
      </w:hyperlink>
      <w:hyperlink r:id="rId7" w:history="1"/>
      <w:r w:rsidR="00524979" w:rsidRPr="008D0B4F">
        <w:rPr>
          <w:i/>
          <w:lang w:val="en-GB"/>
        </w:rPr>
        <w:t>; and</w:t>
      </w:r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cross border concept here:</w:t>
      </w:r>
    </w:p>
    <w:p w:rsidR="00C751E2" w:rsidRDefault="00E4748C" w:rsidP="00E4748C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  <w:lang w:val="en-GB"/>
        </w:rPr>
      </w:pPr>
      <w:r>
        <w:t>– </w:t>
      </w:r>
      <w:hyperlink r:id="rId8" w:history="1">
        <w:r w:rsidR="00C751E2">
          <w:rPr>
            <w:rStyle w:val="Hypertextovodkaz"/>
            <w:rFonts w:cs="Arial"/>
            <w:szCs w:val="20"/>
            <w:lang w:val="en-GB"/>
          </w:rPr>
          <w:t>www.czso.cz/csu/czso/external_trade_in_goods_according_to_the_movement_-cross_border_concept-_</w:t>
        </w:r>
      </w:hyperlink>
      <w:r w:rsidR="00C751E2">
        <w:rPr>
          <w:rFonts w:cs="Arial"/>
          <w:szCs w:val="20"/>
          <w:lang w:val="en-GB"/>
        </w:rPr>
        <w:t>.</w:t>
      </w:r>
    </w:p>
    <w:sectPr w:rsidR="00C751E2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D77"/>
    <w:rsid w:val="00093DEC"/>
    <w:rsid w:val="000B3C0A"/>
    <w:rsid w:val="000D75BC"/>
    <w:rsid w:val="000D7836"/>
    <w:rsid w:val="000E24A2"/>
    <w:rsid w:val="000E4D11"/>
    <w:rsid w:val="000F5B67"/>
    <w:rsid w:val="000F6F5A"/>
    <w:rsid w:val="000F7885"/>
    <w:rsid w:val="001060DF"/>
    <w:rsid w:val="00110414"/>
    <w:rsid w:val="001119FE"/>
    <w:rsid w:val="00123A6E"/>
    <w:rsid w:val="0012673A"/>
    <w:rsid w:val="0015395D"/>
    <w:rsid w:val="001675F1"/>
    <w:rsid w:val="0017077B"/>
    <w:rsid w:val="00171938"/>
    <w:rsid w:val="0018178A"/>
    <w:rsid w:val="00193E89"/>
    <w:rsid w:val="001A6BC5"/>
    <w:rsid w:val="001D7D2C"/>
    <w:rsid w:val="001E04AB"/>
    <w:rsid w:val="001E667D"/>
    <w:rsid w:val="00212C6C"/>
    <w:rsid w:val="00215472"/>
    <w:rsid w:val="002161C7"/>
    <w:rsid w:val="002266B3"/>
    <w:rsid w:val="002332CC"/>
    <w:rsid w:val="00242BC8"/>
    <w:rsid w:val="00243716"/>
    <w:rsid w:val="0024529D"/>
    <w:rsid w:val="0025075D"/>
    <w:rsid w:val="00250C4A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3007A2"/>
    <w:rsid w:val="00310E26"/>
    <w:rsid w:val="00311E61"/>
    <w:rsid w:val="0032520C"/>
    <w:rsid w:val="00346186"/>
    <w:rsid w:val="00346885"/>
    <w:rsid w:val="00360CA9"/>
    <w:rsid w:val="00361CD2"/>
    <w:rsid w:val="00371FB2"/>
    <w:rsid w:val="00394E50"/>
    <w:rsid w:val="003A120C"/>
    <w:rsid w:val="003A3D28"/>
    <w:rsid w:val="003A43C4"/>
    <w:rsid w:val="003A43CB"/>
    <w:rsid w:val="003E23CD"/>
    <w:rsid w:val="003E552A"/>
    <w:rsid w:val="003F7486"/>
    <w:rsid w:val="004023AB"/>
    <w:rsid w:val="004041C0"/>
    <w:rsid w:val="00412115"/>
    <w:rsid w:val="0041250E"/>
    <w:rsid w:val="00412692"/>
    <w:rsid w:val="00416829"/>
    <w:rsid w:val="00420652"/>
    <w:rsid w:val="0042764F"/>
    <w:rsid w:val="00432F70"/>
    <w:rsid w:val="004361E8"/>
    <w:rsid w:val="00446BDD"/>
    <w:rsid w:val="0046420D"/>
    <w:rsid w:val="004B2C28"/>
    <w:rsid w:val="004F6BC1"/>
    <w:rsid w:val="00500315"/>
    <w:rsid w:val="00502B63"/>
    <w:rsid w:val="00521B34"/>
    <w:rsid w:val="00524979"/>
    <w:rsid w:val="00524D97"/>
    <w:rsid w:val="00525174"/>
    <w:rsid w:val="00530D4D"/>
    <w:rsid w:val="0053311B"/>
    <w:rsid w:val="0054014F"/>
    <w:rsid w:val="00552800"/>
    <w:rsid w:val="00561422"/>
    <w:rsid w:val="0056286C"/>
    <w:rsid w:val="0056619B"/>
    <w:rsid w:val="00572264"/>
    <w:rsid w:val="00586104"/>
    <w:rsid w:val="005A6851"/>
    <w:rsid w:val="005B5317"/>
    <w:rsid w:val="005B7EAC"/>
    <w:rsid w:val="005D1221"/>
    <w:rsid w:val="005E739C"/>
    <w:rsid w:val="005F0D05"/>
    <w:rsid w:val="005F65BC"/>
    <w:rsid w:val="00604A34"/>
    <w:rsid w:val="00610CB2"/>
    <w:rsid w:val="00621B20"/>
    <w:rsid w:val="00644B11"/>
    <w:rsid w:val="0065538C"/>
    <w:rsid w:val="00663BF0"/>
    <w:rsid w:val="006649B9"/>
    <w:rsid w:val="00677B94"/>
    <w:rsid w:val="00692CA6"/>
    <w:rsid w:val="00693382"/>
    <w:rsid w:val="006A0F6C"/>
    <w:rsid w:val="006C563C"/>
    <w:rsid w:val="006E4DC1"/>
    <w:rsid w:val="006E66F1"/>
    <w:rsid w:val="006F616E"/>
    <w:rsid w:val="00712CB4"/>
    <w:rsid w:val="007278D8"/>
    <w:rsid w:val="00735211"/>
    <w:rsid w:val="0073580F"/>
    <w:rsid w:val="00767411"/>
    <w:rsid w:val="007726C6"/>
    <w:rsid w:val="00776B6A"/>
    <w:rsid w:val="007818E0"/>
    <w:rsid w:val="007914AA"/>
    <w:rsid w:val="00793676"/>
    <w:rsid w:val="007937F6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0E48"/>
    <w:rsid w:val="00844149"/>
    <w:rsid w:val="00857722"/>
    <w:rsid w:val="00875CDE"/>
    <w:rsid w:val="00894D2F"/>
    <w:rsid w:val="008A1665"/>
    <w:rsid w:val="008B1454"/>
    <w:rsid w:val="008C0C30"/>
    <w:rsid w:val="008C5437"/>
    <w:rsid w:val="008D0B4F"/>
    <w:rsid w:val="008D4FFD"/>
    <w:rsid w:val="008D513E"/>
    <w:rsid w:val="008D51DB"/>
    <w:rsid w:val="008E05C5"/>
    <w:rsid w:val="008E5535"/>
    <w:rsid w:val="008F2D72"/>
    <w:rsid w:val="0091016D"/>
    <w:rsid w:val="0092371A"/>
    <w:rsid w:val="00944789"/>
    <w:rsid w:val="009542C4"/>
    <w:rsid w:val="00970D4F"/>
    <w:rsid w:val="00974B2E"/>
    <w:rsid w:val="0097695A"/>
    <w:rsid w:val="00982140"/>
    <w:rsid w:val="00993FB2"/>
    <w:rsid w:val="00995894"/>
    <w:rsid w:val="009A45AD"/>
    <w:rsid w:val="009B098E"/>
    <w:rsid w:val="009B4064"/>
    <w:rsid w:val="009C6F4C"/>
    <w:rsid w:val="009E5DBF"/>
    <w:rsid w:val="009E6C18"/>
    <w:rsid w:val="009F1E2D"/>
    <w:rsid w:val="00A11343"/>
    <w:rsid w:val="00A1513A"/>
    <w:rsid w:val="00A154A1"/>
    <w:rsid w:val="00A159DC"/>
    <w:rsid w:val="00A421B3"/>
    <w:rsid w:val="00A446E1"/>
    <w:rsid w:val="00A46C70"/>
    <w:rsid w:val="00A63D7B"/>
    <w:rsid w:val="00A65DC9"/>
    <w:rsid w:val="00A81C01"/>
    <w:rsid w:val="00A8613D"/>
    <w:rsid w:val="00AA0C72"/>
    <w:rsid w:val="00AD5D87"/>
    <w:rsid w:val="00AF64F6"/>
    <w:rsid w:val="00B0155A"/>
    <w:rsid w:val="00B019C8"/>
    <w:rsid w:val="00B03A97"/>
    <w:rsid w:val="00B16219"/>
    <w:rsid w:val="00B22E92"/>
    <w:rsid w:val="00B33E2D"/>
    <w:rsid w:val="00B36FD1"/>
    <w:rsid w:val="00B5457A"/>
    <w:rsid w:val="00B54F7D"/>
    <w:rsid w:val="00B6015B"/>
    <w:rsid w:val="00B70633"/>
    <w:rsid w:val="00B76AEC"/>
    <w:rsid w:val="00B83BDB"/>
    <w:rsid w:val="00B877DD"/>
    <w:rsid w:val="00BA2389"/>
    <w:rsid w:val="00BA5D98"/>
    <w:rsid w:val="00BA7743"/>
    <w:rsid w:val="00BB2437"/>
    <w:rsid w:val="00BB51DF"/>
    <w:rsid w:val="00BC6011"/>
    <w:rsid w:val="00C277E1"/>
    <w:rsid w:val="00C335C8"/>
    <w:rsid w:val="00C35369"/>
    <w:rsid w:val="00C50AFF"/>
    <w:rsid w:val="00C53FB8"/>
    <w:rsid w:val="00C556C8"/>
    <w:rsid w:val="00C60E4D"/>
    <w:rsid w:val="00C751E2"/>
    <w:rsid w:val="00C803BD"/>
    <w:rsid w:val="00C83F00"/>
    <w:rsid w:val="00C97035"/>
    <w:rsid w:val="00C97598"/>
    <w:rsid w:val="00CC494C"/>
    <w:rsid w:val="00CD4DCF"/>
    <w:rsid w:val="00CE2097"/>
    <w:rsid w:val="00CF3FF5"/>
    <w:rsid w:val="00CF42D7"/>
    <w:rsid w:val="00D01C19"/>
    <w:rsid w:val="00D206DB"/>
    <w:rsid w:val="00D32465"/>
    <w:rsid w:val="00D44830"/>
    <w:rsid w:val="00D4505C"/>
    <w:rsid w:val="00D453AE"/>
    <w:rsid w:val="00D5011A"/>
    <w:rsid w:val="00D60DD6"/>
    <w:rsid w:val="00D613DB"/>
    <w:rsid w:val="00D64C1C"/>
    <w:rsid w:val="00D93DD0"/>
    <w:rsid w:val="00D96E18"/>
    <w:rsid w:val="00DB0154"/>
    <w:rsid w:val="00DB70B7"/>
    <w:rsid w:val="00DC1177"/>
    <w:rsid w:val="00DC784F"/>
    <w:rsid w:val="00DD4E37"/>
    <w:rsid w:val="00DD53F9"/>
    <w:rsid w:val="00DF4919"/>
    <w:rsid w:val="00E01254"/>
    <w:rsid w:val="00E060AA"/>
    <w:rsid w:val="00E276C8"/>
    <w:rsid w:val="00E30158"/>
    <w:rsid w:val="00E4304D"/>
    <w:rsid w:val="00E467AC"/>
    <w:rsid w:val="00E4748C"/>
    <w:rsid w:val="00E51B17"/>
    <w:rsid w:val="00E54254"/>
    <w:rsid w:val="00E55105"/>
    <w:rsid w:val="00E574C4"/>
    <w:rsid w:val="00E602A8"/>
    <w:rsid w:val="00E622CF"/>
    <w:rsid w:val="00E649DF"/>
    <w:rsid w:val="00E64FE2"/>
    <w:rsid w:val="00E66654"/>
    <w:rsid w:val="00E7091D"/>
    <w:rsid w:val="00E92F55"/>
    <w:rsid w:val="00EA3F46"/>
    <w:rsid w:val="00EA73AE"/>
    <w:rsid w:val="00EB2235"/>
    <w:rsid w:val="00EB40A3"/>
    <w:rsid w:val="00ED59A0"/>
    <w:rsid w:val="00EE22CC"/>
    <w:rsid w:val="00EE7000"/>
    <w:rsid w:val="00F10016"/>
    <w:rsid w:val="00F3025B"/>
    <w:rsid w:val="00F30875"/>
    <w:rsid w:val="00F41F18"/>
    <w:rsid w:val="00F50AC1"/>
    <w:rsid w:val="00F73765"/>
    <w:rsid w:val="00F83964"/>
    <w:rsid w:val="00F91295"/>
    <w:rsid w:val="00F97528"/>
    <w:rsid w:val="00FA01E4"/>
    <w:rsid w:val="00FA4C8F"/>
    <w:rsid w:val="00FA7049"/>
    <w:rsid w:val="00FC21F4"/>
    <w:rsid w:val="00FD376A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BBDE1"/>
  <w15:docId w15:val="{8A1708C7-9037-40F6-8385-B70E995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ternal_trade_in_goods_according_to_the_movement_-cross_border_concept-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zo_se_zbozim_podle_zmeny_vlastnictvi_narodni_poj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0A27-79E9-4241-8E82-557B55A4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7748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Ing. Dana Habartová</cp:lastModifiedBy>
  <cp:revision>3</cp:revision>
  <cp:lastPrinted>2017-02-22T08:51:00Z</cp:lastPrinted>
  <dcterms:created xsi:type="dcterms:W3CDTF">2018-09-04T07:11:00Z</dcterms:created>
  <dcterms:modified xsi:type="dcterms:W3CDTF">2018-09-04T07:12:00Z</dcterms:modified>
</cp:coreProperties>
</file>