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charts/chart25.xml" ContentType="application/vnd.openxmlformats-officedocument.drawingml.chart+xml"/>
  <Override PartName="/word/drawings/drawing25.xml" ContentType="application/vnd.openxmlformats-officedocument.drawingml.chartshapes+xml"/>
  <Override PartName="/word/charts/chart26.xml" ContentType="application/vnd.openxmlformats-officedocument.drawingml.chart+xml"/>
  <Override PartName="/word/drawings/drawing26.xml" ContentType="application/vnd.openxmlformats-officedocument.drawingml.chartshapes+xml"/>
  <Override PartName="/word/charts/chart27.xml" ContentType="application/vnd.openxmlformats-officedocument.drawingml.chart+xml"/>
  <Override PartName="/word/drawings/drawing27.xml" ContentType="application/vnd.openxmlformats-officedocument.drawingml.chartshapes+xml"/>
  <Override PartName="/word/charts/chart28.xml" ContentType="application/vnd.openxmlformats-officedocument.drawingml.chart+xml"/>
  <Override PartName="/word/drawings/drawing28.xml" ContentType="application/vnd.openxmlformats-officedocument.drawingml.chartshapes+xml"/>
  <Override PartName="/word/charts/chart29.xml" ContentType="application/vnd.openxmlformats-officedocument.drawingml.chart+xml"/>
  <Override PartName="/word/drawings/drawing29.xml" ContentType="application/vnd.openxmlformats-officedocument.drawingml.chartshapes+xml"/>
  <Override PartName="/word/charts/chart30.xml" ContentType="application/vnd.openxmlformats-officedocument.drawingml.chart+xml"/>
  <Override PartName="/word/drawings/drawing30.xml" ContentType="application/vnd.openxmlformats-officedocument.drawingml.chartshapes+xml"/>
  <Override PartName="/word/charts/chart31.xml" ContentType="application/vnd.openxmlformats-officedocument.drawingml.chart+xml"/>
  <Override PartName="/word/drawings/drawing31.xml" ContentType="application/vnd.openxmlformats-officedocument.drawingml.chartshapes+xml"/>
  <Override PartName="/word/charts/chart32.xml" ContentType="application/vnd.openxmlformats-officedocument.drawingml.chart+xml"/>
  <Override PartName="/word/drawings/drawing32.xml" ContentType="application/vnd.openxmlformats-officedocument.drawingml.chartshapes+xml"/>
  <Override PartName="/word/charts/chart33.xml" ContentType="application/vnd.openxmlformats-officedocument.drawingml.chart+xml"/>
  <Override PartName="/word/drawings/drawing33.xml" ContentType="application/vnd.openxmlformats-officedocument.drawingml.chartshapes+xml"/>
  <Override PartName="/word/charts/chart34.xml" ContentType="application/vnd.openxmlformats-officedocument.drawingml.chart+xml"/>
  <Override PartName="/word/drawings/drawing34.xml" ContentType="application/vnd.openxmlformats-officedocument.drawingml.chartshapes+xml"/>
  <Override PartName="/word/charts/chart35.xml" ContentType="application/vnd.openxmlformats-officedocument.drawingml.chart+xml"/>
  <Override PartName="/word/drawings/drawing3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D1" w:rsidRPr="009759AC" w:rsidRDefault="009171D1" w:rsidP="009759AC">
      <w:pPr>
        <w:pStyle w:val="Nadpis1"/>
      </w:pPr>
      <w:bookmarkStart w:id="0" w:name="_Toc525303534"/>
      <w:bookmarkStart w:id="1" w:name="_Toc444112496"/>
      <w:r w:rsidRPr="001318E4">
        <w:t xml:space="preserve">Kapitola C Jednotlivci a </w:t>
      </w:r>
      <w:r w:rsidR="00D1205B">
        <w:t>ICT</w:t>
      </w:r>
      <w:bookmarkEnd w:id="0"/>
    </w:p>
    <w:p w:rsidR="009171D1" w:rsidRPr="001318E4" w:rsidRDefault="009171D1" w:rsidP="009171D1">
      <w:pPr>
        <w:pStyle w:val="Zkladntext"/>
        <w:spacing w:before="0" w:after="80" w:line="264" w:lineRule="auto"/>
        <w:rPr>
          <w:i/>
          <w:sz w:val="20"/>
        </w:rPr>
      </w:pPr>
      <w:r w:rsidRPr="001318E4">
        <w:rPr>
          <w:i/>
          <w:sz w:val="20"/>
        </w:rPr>
        <w:t>Nejen přístup k internetu a ostatním moderním informačním a komunikačním technologiím (dále jen ICT), ale především motivace a schopnost jednotlivců efektivně používat aplikace a služby nabízené prostřednictvím těchto technologií, jsou v současnosti považovány za jeden z klíčových faktorů ekonomického, sociálního a politického rozvoje společnosti. Na druhé straně však rozvoj ICT přináší i řadu negativních jevů, jakými jsou ztráta soukromí, ohrožení bezpečnosti dat, kybernetická šikana, zahlcování nežádoucími informacemi, závislost na těchto technologiích a mnohé další.</w:t>
      </w:r>
    </w:p>
    <w:p w:rsidR="009171D1" w:rsidRPr="001318E4" w:rsidRDefault="009171D1" w:rsidP="009171D1">
      <w:pPr>
        <w:pStyle w:val="Zkladntext"/>
        <w:spacing w:before="0" w:after="100" w:line="264" w:lineRule="auto"/>
        <w:rPr>
          <w:i/>
          <w:sz w:val="20"/>
        </w:rPr>
      </w:pPr>
      <w:r w:rsidRPr="001318E4">
        <w:rPr>
          <w:i/>
          <w:sz w:val="20"/>
        </w:rPr>
        <w:t>V kapitole věnované jednotlivcům lze sledovat vývoj rozšíření a používání moderních ICT ‒ především počítače a internetu – mezi jednotlivci již od roku 2002, kdy Český statistický úřad uskutečnil své první výběrové šetření o využívání informačních technologií mezi jednotlivci.</w:t>
      </w:r>
      <w:r w:rsidRPr="001318E4">
        <w:rPr>
          <w:rStyle w:val="Znakapoznpodarou"/>
          <w:i/>
          <w:sz w:val="20"/>
        </w:rPr>
        <w:footnoteReference w:id="1"/>
      </w:r>
      <w:r w:rsidRPr="001318E4">
        <w:rPr>
          <w:i/>
          <w:sz w:val="20"/>
        </w:rPr>
        <w:t xml:space="preserve"> Výsledky z tohoto pravidelného zjišťování umožňují sledovat nejen to, že internet proniká do každodenního života stále více lidí, ale například také to, z jakých zařízení se k němu nejčastěji připojují a k čemu jim nejčastěji slouží. To vše v závislosti na pohlaví, věku či stupni dosaženého vzdělání nebo ekonomické aktivitě.</w:t>
      </w:r>
    </w:p>
    <w:p w:rsidR="009171D1" w:rsidRPr="001318E4" w:rsidRDefault="009171D1" w:rsidP="009171D1">
      <w:pPr>
        <w:pStyle w:val="Nadpis2"/>
        <w:spacing w:before="240" w:after="120" w:line="264" w:lineRule="auto"/>
      </w:pPr>
      <w:bookmarkStart w:id="3" w:name="_Toc525303535"/>
      <w:r w:rsidRPr="001318E4">
        <w:t>C. 1 Jednotlivci a počítač</w:t>
      </w:r>
      <w:bookmarkEnd w:id="3"/>
    </w:p>
    <w:p w:rsidR="009171D1" w:rsidRPr="001318E4" w:rsidRDefault="009171D1" w:rsidP="009171D1">
      <w:pPr>
        <w:pStyle w:val="Zkladntext"/>
        <w:spacing w:before="0" w:after="80" w:line="264" w:lineRule="auto"/>
        <w:rPr>
          <w:i/>
          <w:sz w:val="20"/>
        </w:rPr>
      </w:pPr>
      <w:r w:rsidRPr="001318E4">
        <w:rPr>
          <w:i/>
          <w:sz w:val="20"/>
        </w:rPr>
        <w:t xml:space="preserve">Podobně jako v případě telefonů mají Češi ve stále větší oblibě i přenosné a mobilní verze počítačů. Již v roce 2014 převýšil počet notebooků a </w:t>
      </w:r>
      <w:proofErr w:type="spellStart"/>
      <w:r w:rsidRPr="001318E4">
        <w:rPr>
          <w:i/>
          <w:sz w:val="20"/>
        </w:rPr>
        <w:t>tabletů</w:t>
      </w:r>
      <w:proofErr w:type="spellEnd"/>
      <w:r w:rsidRPr="001318E4">
        <w:rPr>
          <w:i/>
          <w:sz w:val="20"/>
        </w:rPr>
        <w:t xml:space="preserve"> v českých domácnostech počet stolních počítačů. Zároveň se také zvyšuje frekvence využívání těchto zařízení, ale cestu k nim si nacházejí i senioři.</w:t>
      </w:r>
    </w:p>
    <w:p w:rsidR="00976E82" w:rsidRPr="009759AC" w:rsidRDefault="009171D1" w:rsidP="00F556CA">
      <w:pPr>
        <w:pStyle w:val="Zkladntext"/>
        <w:keepNext/>
        <w:numPr>
          <w:ilvl w:val="0"/>
          <w:numId w:val="14"/>
        </w:numPr>
        <w:tabs>
          <w:tab w:val="clear" w:pos="360"/>
          <w:tab w:val="num" w:pos="284"/>
        </w:tabs>
        <w:spacing w:before="0" w:line="264" w:lineRule="auto"/>
        <w:ind w:left="284" w:hanging="284"/>
        <w:rPr>
          <w:color w:val="FFFFFF" w:themeColor="background1"/>
          <w:sz w:val="4"/>
          <w:szCs w:val="4"/>
        </w:rPr>
      </w:pPr>
      <w:r w:rsidRPr="009759AC">
        <w:rPr>
          <w:sz w:val="20"/>
          <w:szCs w:val="20"/>
        </w:rPr>
        <w:t>Stejně jako roste počet počítačů v českých domácnostech, roste také počet osob, které</w:t>
      </w:r>
      <w:r w:rsidR="0036231A" w:rsidRPr="009759AC">
        <w:rPr>
          <w:sz w:val="20"/>
          <w:szCs w:val="20"/>
        </w:rPr>
        <w:t xml:space="preserve"> počítač, ať už doma či kdekoliv</w:t>
      </w:r>
      <w:r w:rsidRPr="009759AC">
        <w:rPr>
          <w:sz w:val="20"/>
          <w:szCs w:val="20"/>
        </w:rPr>
        <w:t xml:space="preserve"> jinde</w:t>
      </w:r>
      <w:r w:rsidR="0036231A" w:rsidRPr="009759AC">
        <w:rPr>
          <w:sz w:val="20"/>
          <w:szCs w:val="20"/>
        </w:rPr>
        <w:t>,</w:t>
      </w:r>
      <w:r w:rsidRPr="009759AC">
        <w:rPr>
          <w:sz w:val="20"/>
          <w:szCs w:val="20"/>
        </w:rPr>
        <w:t xml:space="preserve"> používají. Za posledních 10 let vzrostl v Česku podíl jednotlivců starších 16 let používajících počítač – </w:t>
      </w:r>
      <w:r w:rsidRPr="009759AC">
        <w:rPr>
          <w:b/>
          <w:sz w:val="20"/>
          <w:szCs w:val="20"/>
        </w:rPr>
        <w:t>uživatelé počítače</w:t>
      </w:r>
      <w:r w:rsidRPr="001318E4">
        <w:rPr>
          <w:rStyle w:val="Znakapoznpodarou"/>
          <w:b/>
          <w:sz w:val="20"/>
          <w:szCs w:val="20"/>
        </w:rPr>
        <w:footnoteReference w:id="2"/>
      </w:r>
      <w:r w:rsidRPr="009759AC">
        <w:rPr>
          <w:sz w:val="20"/>
          <w:szCs w:val="20"/>
        </w:rPr>
        <w:t xml:space="preserve"> ‒ z 51 % v roce 2007 na 77 % v roce 2017, s tím, že rychlost růstu počtu uživatelů se každým rokem </w:t>
      </w:r>
      <w:proofErr w:type="spellStart"/>
      <w:proofErr w:type="gramStart"/>
      <w:r w:rsidRPr="009759AC">
        <w:rPr>
          <w:sz w:val="20"/>
          <w:szCs w:val="20"/>
        </w:rPr>
        <w:t>zpomaluje.</w:t>
      </w:r>
      <w:bookmarkStart w:id="4" w:name="_Toc524332530"/>
      <w:r w:rsidR="00976E82" w:rsidRPr="009759AC">
        <w:rPr>
          <w:color w:val="FFFFFF" w:themeColor="background1"/>
          <w:sz w:val="4"/>
          <w:szCs w:val="4"/>
        </w:rPr>
        <w:t>Graf</w:t>
      </w:r>
      <w:proofErr w:type="spellEnd"/>
      <w:proofErr w:type="gramEnd"/>
      <w:r w:rsidR="00976E82" w:rsidRPr="009759AC">
        <w:rPr>
          <w:color w:val="FFFFFF" w:themeColor="background1"/>
          <w:sz w:val="4"/>
          <w:szCs w:val="4"/>
        </w:rPr>
        <w:t xml:space="preserve"> C</w:t>
      </w:r>
      <w:r w:rsidR="00976E82" w:rsidRPr="009759AC">
        <w:rPr>
          <w:color w:val="FFFFFF" w:themeColor="background1"/>
          <w:sz w:val="4"/>
          <w:szCs w:val="4"/>
        </w:rPr>
        <w:fldChar w:fldCharType="begin"/>
      </w:r>
      <w:r w:rsidR="00976E82" w:rsidRPr="009759AC">
        <w:rPr>
          <w:color w:val="FFFFFF" w:themeColor="background1"/>
          <w:sz w:val="4"/>
          <w:szCs w:val="4"/>
        </w:rPr>
        <w:instrText xml:space="preserve"> SEQ Graf_C \* ARABIC </w:instrText>
      </w:r>
      <w:r w:rsidR="00976E82" w:rsidRPr="009759AC">
        <w:rPr>
          <w:color w:val="FFFFFF" w:themeColor="background1"/>
          <w:sz w:val="4"/>
          <w:szCs w:val="4"/>
        </w:rPr>
        <w:fldChar w:fldCharType="separate"/>
      </w:r>
      <w:r w:rsidR="001C4EA2" w:rsidRPr="009759AC">
        <w:rPr>
          <w:noProof/>
          <w:color w:val="FFFFFF" w:themeColor="background1"/>
          <w:sz w:val="4"/>
          <w:szCs w:val="4"/>
        </w:rPr>
        <w:t>1</w:t>
      </w:r>
      <w:r w:rsidR="00976E82" w:rsidRPr="009759AC">
        <w:rPr>
          <w:color w:val="FFFFFF" w:themeColor="background1"/>
          <w:sz w:val="4"/>
          <w:szCs w:val="4"/>
        </w:rPr>
        <w:fldChar w:fldCharType="end"/>
      </w:r>
      <w:r w:rsidR="00976E82" w:rsidRPr="009759AC">
        <w:rPr>
          <w:color w:val="FFFFFF" w:themeColor="background1"/>
          <w:sz w:val="4"/>
          <w:szCs w:val="4"/>
        </w:rPr>
        <w:t xml:space="preserve"> Jednotlivci v Česku používající notebook nebo tablet</w:t>
      </w:r>
      <w:bookmarkEnd w:id="4"/>
    </w:p>
    <w:p w:rsidR="00F556CA" w:rsidRPr="00F556CA" w:rsidRDefault="00F556CA" w:rsidP="00F556CA">
      <w:pPr>
        <w:pStyle w:val="Titulek"/>
        <w:keepNext/>
        <w:spacing w:after="0"/>
        <w:jc w:val="both"/>
        <w:rPr>
          <w:color w:val="FFFFFF" w:themeColor="background1"/>
          <w:sz w:val="4"/>
          <w:szCs w:val="4"/>
        </w:rPr>
      </w:pPr>
      <w:bookmarkStart w:id="5" w:name="_Toc524332531"/>
      <w:r w:rsidRPr="00F556CA">
        <w:rPr>
          <w:color w:val="FFFFFF" w:themeColor="background1"/>
          <w:sz w:val="4"/>
          <w:szCs w:val="4"/>
        </w:rPr>
        <w:t>Graf C</w:t>
      </w:r>
      <w:r w:rsidRPr="00F556CA">
        <w:rPr>
          <w:color w:val="FFFFFF" w:themeColor="background1"/>
          <w:sz w:val="4"/>
          <w:szCs w:val="4"/>
        </w:rPr>
        <w:fldChar w:fldCharType="begin"/>
      </w:r>
      <w:r w:rsidRPr="00F556CA">
        <w:rPr>
          <w:color w:val="FFFFFF" w:themeColor="background1"/>
          <w:sz w:val="4"/>
          <w:szCs w:val="4"/>
        </w:rPr>
        <w:instrText xml:space="preserve"> SEQ Graf_C \* ARABIC </w:instrText>
      </w:r>
      <w:r w:rsidRPr="00F556CA">
        <w:rPr>
          <w:color w:val="FFFFFF" w:themeColor="background1"/>
          <w:sz w:val="4"/>
          <w:szCs w:val="4"/>
        </w:rPr>
        <w:fldChar w:fldCharType="separate"/>
      </w:r>
      <w:r w:rsidR="001C4EA2">
        <w:rPr>
          <w:noProof/>
          <w:color w:val="FFFFFF" w:themeColor="background1"/>
          <w:sz w:val="4"/>
          <w:szCs w:val="4"/>
        </w:rPr>
        <w:t>2</w:t>
      </w:r>
      <w:r w:rsidRPr="00F556CA">
        <w:rPr>
          <w:color w:val="FFFFFF" w:themeColor="background1"/>
          <w:sz w:val="4"/>
          <w:szCs w:val="4"/>
        </w:rPr>
        <w:fldChar w:fldCharType="end"/>
      </w:r>
      <w:r w:rsidRPr="00F556CA">
        <w:rPr>
          <w:color w:val="FFFFFF" w:themeColor="background1"/>
          <w:sz w:val="4"/>
          <w:szCs w:val="4"/>
        </w:rPr>
        <w:t xml:space="preserve"> Jednotlivci v Česku používající tablet v roce 2017</w:t>
      </w:r>
      <w:bookmarkEnd w:id="5"/>
    </w:p>
    <w:p w:rsidR="009171D1" w:rsidRPr="009171D1" w:rsidRDefault="009171D1" w:rsidP="009171D1">
      <w:pPr>
        <w:pStyle w:val="Zkladntext"/>
        <w:spacing w:before="0" w:after="120" w:line="288" w:lineRule="auto"/>
        <w:rPr>
          <w:i/>
          <w:sz w:val="20"/>
        </w:rPr>
      </w:pPr>
      <w:r w:rsidRPr="001318E4">
        <w:rPr>
          <w:noProof/>
        </w:rPr>
        <w:drawing>
          <wp:inline distT="0" distB="0" distL="0" distR="0" wp14:anchorId="1D02A81F" wp14:editId="09F86C94">
            <wp:extent cx="3024000" cy="3204000"/>
            <wp:effectExtent l="0" t="0" r="5080" b="0"/>
            <wp:docPr id="58" name="Graf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318E4">
        <w:rPr>
          <w:noProof/>
        </w:rPr>
        <w:drawing>
          <wp:inline distT="0" distB="0" distL="0" distR="0" wp14:anchorId="1A6A2FE7" wp14:editId="76BC64FD">
            <wp:extent cx="3019425" cy="3204000"/>
            <wp:effectExtent l="0" t="0" r="9525" b="0"/>
            <wp:docPr id="59" name="Graf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71D1" w:rsidRPr="001318E4" w:rsidRDefault="009171D1" w:rsidP="009171D1">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lastRenderedPageBreak/>
        <w:t xml:space="preserve">Kromě toho, že roste počet osob, které počítač používají, roste také </w:t>
      </w:r>
      <w:r w:rsidRPr="001318E4">
        <w:rPr>
          <w:b/>
          <w:sz w:val="20"/>
          <w:szCs w:val="20"/>
        </w:rPr>
        <w:t>frekvence jeho využívání</w:t>
      </w:r>
      <w:r w:rsidRPr="001318E4">
        <w:rPr>
          <w:sz w:val="20"/>
          <w:szCs w:val="20"/>
        </w:rPr>
        <w:t xml:space="preserve">. V roce 2007 používalo počítač každý nebo skoro každý den 61 % jeho uživatelů, v současnosti ho stejně často používá 80 % uživatelů. </w:t>
      </w:r>
    </w:p>
    <w:p w:rsidR="009171D1" w:rsidRPr="001318E4" w:rsidRDefault="009171D1" w:rsidP="009171D1">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Rychlý nárůst počtu uživatelů počítače má již Česká republika za sebou. Neplatí to však pro všechny skupiny obyvatel. V posledních několika letech roste rychleji především podíl osob používajících počítač v </w:t>
      </w:r>
      <w:r w:rsidRPr="001318E4">
        <w:rPr>
          <w:b/>
          <w:sz w:val="20"/>
          <w:szCs w:val="20"/>
        </w:rPr>
        <w:t>důchodovém a předdůchodovém věku</w:t>
      </w:r>
      <w:r w:rsidRPr="001318E4">
        <w:rPr>
          <w:sz w:val="20"/>
          <w:szCs w:val="20"/>
        </w:rPr>
        <w:t>. V roce 2007 používalo mezi seniory počítač jen necelých 8 % osob, v roce 2017 se tento podíl vyšplhal na 36 %.</w:t>
      </w:r>
    </w:p>
    <w:p w:rsidR="009171D1" w:rsidRPr="001318E4" w:rsidRDefault="009171D1" w:rsidP="009171D1">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V posledních letech roste obliba používání přenosných počítačů, ať už jde o notebooky či tablety. Popularita těchto zařízení souvisí zejména s možností jejich využívání téměř kdekoliv, a to včetně přístupu na internet, tj. nejen doma či na pracovišti, ale např. </w:t>
      </w:r>
      <w:r w:rsidR="0036231A">
        <w:rPr>
          <w:sz w:val="20"/>
          <w:szCs w:val="20"/>
        </w:rPr>
        <w:t xml:space="preserve">i </w:t>
      </w:r>
      <w:r w:rsidRPr="001318E4">
        <w:rPr>
          <w:sz w:val="20"/>
          <w:szCs w:val="20"/>
        </w:rPr>
        <w:t xml:space="preserve">ve vlaku či v kavárně. V roce 2017 používalo v Česku </w:t>
      </w:r>
      <w:r w:rsidRPr="001318E4">
        <w:rPr>
          <w:b/>
          <w:sz w:val="20"/>
          <w:szCs w:val="20"/>
        </w:rPr>
        <w:t>přenosný počítač (notebook či tablet)</w:t>
      </w:r>
      <w:r w:rsidRPr="001318E4">
        <w:rPr>
          <w:sz w:val="20"/>
          <w:szCs w:val="20"/>
        </w:rPr>
        <w:t xml:space="preserve"> 61 % jednotlivců starších 16 let v porovnání s 8 % v roce 2007.</w:t>
      </w:r>
    </w:p>
    <w:p w:rsidR="009171D1" w:rsidRPr="001318E4" w:rsidRDefault="009171D1" w:rsidP="009171D1">
      <w:pPr>
        <w:pStyle w:val="Zkladntext"/>
        <w:numPr>
          <w:ilvl w:val="0"/>
          <w:numId w:val="14"/>
        </w:numPr>
        <w:tabs>
          <w:tab w:val="clear" w:pos="360"/>
          <w:tab w:val="num" w:pos="284"/>
        </w:tabs>
        <w:spacing w:before="0" w:after="80" w:line="264" w:lineRule="auto"/>
        <w:ind w:left="284" w:hanging="284"/>
        <w:rPr>
          <w:sz w:val="20"/>
          <w:szCs w:val="20"/>
        </w:rPr>
      </w:pPr>
      <w:r w:rsidRPr="001318E4">
        <w:rPr>
          <w:b/>
          <w:sz w:val="20"/>
          <w:szCs w:val="20"/>
        </w:rPr>
        <w:t>Tablet</w:t>
      </w:r>
      <w:r w:rsidRPr="001318E4">
        <w:rPr>
          <w:sz w:val="20"/>
          <w:szCs w:val="20"/>
        </w:rPr>
        <w:t xml:space="preserve">, jako zařízení, které se začalo v Česku používat až v posledních několika letech, je objevován stále více uživateli. Zatímco v roce 2012 ho používalo pouze 1 % obyvatel, v roce 2017 ho využívala již téměř pětina (19 %) obyvatel starších 16 let. </w:t>
      </w:r>
    </w:p>
    <w:p w:rsidR="009171D1" w:rsidRPr="001318E4" w:rsidRDefault="009171D1" w:rsidP="009171D1">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Skupinou osob, která v používání </w:t>
      </w:r>
      <w:proofErr w:type="spellStart"/>
      <w:r w:rsidRPr="001318E4">
        <w:rPr>
          <w:sz w:val="20"/>
          <w:szCs w:val="20"/>
        </w:rPr>
        <w:t>tabletů</w:t>
      </w:r>
      <w:proofErr w:type="spellEnd"/>
      <w:r w:rsidRPr="001318E4">
        <w:rPr>
          <w:sz w:val="20"/>
          <w:szCs w:val="20"/>
        </w:rPr>
        <w:t xml:space="preserve"> dominuje, jsou studenti – před 5 lety používalo tablet 2 % studentů, dnes (2. čtvrtletí 2017) jejich podíl činí 40 %. V hojné míře tablet používají také osoby v rodičovském věku, které si ho často pořizují mimo jiné i kvůli svým dětem. Ve věkové skupině 35‒44 let ho používá 29 % osob. Naopak poměrně málo je zatím tablet rozšířen mezi starobními důchodci – využívají ho necelá 4 %. </w:t>
      </w:r>
    </w:p>
    <w:p w:rsidR="009171D1" w:rsidRPr="001318E4" w:rsidRDefault="009171D1" w:rsidP="009171D1">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V rámci ročního šetření ČSÚ o využívání informačních technologií v domácnostech a mezi jednotlivci se sledují i vybrané </w:t>
      </w:r>
      <w:r w:rsidRPr="001318E4">
        <w:rPr>
          <w:b/>
          <w:sz w:val="20"/>
          <w:szCs w:val="20"/>
        </w:rPr>
        <w:t>počítačové dovednosti</w:t>
      </w:r>
      <w:r w:rsidRPr="001318E4">
        <w:rPr>
          <w:sz w:val="20"/>
          <w:szCs w:val="20"/>
        </w:rPr>
        <w:t xml:space="preserve">. Výsledky z otázek na tyto dovednosti jednotlivců jsou uvedeny v kapitole </w:t>
      </w:r>
      <w:r w:rsidRPr="001318E4">
        <w:rPr>
          <w:i/>
          <w:sz w:val="20"/>
          <w:szCs w:val="20"/>
        </w:rPr>
        <w:t>F ICT ve vzdělávání a digitální dovednosti</w:t>
      </w:r>
      <w:r w:rsidRPr="001318E4">
        <w:rPr>
          <w:sz w:val="20"/>
          <w:szCs w:val="20"/>
        </w:rPr>
        <w:t>.</w:t>
      </w:r>
    </w:p>
    <w:p w:rsidR="009171D1" w:rsidRPr="001318E4" w:rsidRDefault="009171D1" w:rsidP="009171D1">
      <w:pPr>
        <w:pStyle w:val="Nadpis2"/>
        <w:spacing w:before="240" w:after="120" w:line="264" w:lineRule="auto"/>
      </w:pPr>
      <w:bookmarkStart w:id="6" w:name="_Toc525303536"/>
      <w:r w:rsidRPr="001318E4">
        <w:t>C. 2 Jednotlivci a internet</w:t>
      </w:r>
      <w:bookmarkEnd w:id="6"/>
      <w:r w:rsidRPr="001318E4">
        <w:t xml:space="preserve"> </w:t>
      </w:r>
    </w:p>
    <w:p w:rsidR="009171D1" w:rsidRPr="001318E4" w:rsidRDefault="009171D1" w:rsidP="009171D1">
      <w:pPr>
        <w:pStyle w:val="Zkladntext"/>
        <w:spacing w:before="0" w:after="80" w:line="264" w:lineRule="auto"/>
        <w:rPr>
          <w:i/>
          <w:sz w:val="20"/>
          <w:highlight w:val="yellow"/>
        </w:rPr>
      </w:pPr>
      <w:r w:rsidRPr="001318E4">
        <w:rPr>
          <w:i/>
          <w:sz w:val="20"/>
        </w:rPr>
        <w:t xml:space="preserve">K základní vybavenosti většiny lidí nepatří už jen vlastnictví mobilního telefonu a počítače, ale především připojení k internetu, jednomu z největších fenoménů dnešního světa. Současná globální společnost a ekonomika z velké části stojí právě na možnostech, které nám přinášejí tyto digitální technologie a související aplikace. </w:t>
      </w:r>
    </w:p>
    <w:p w:rsidR="009171D1" w:rsidRPr="001318E4" w:rsidRDefault="009171D1" w:rsidP="009171D1">
      <w:pPr>
        <w:pStyle w:val="Nadpis3"/>
        <w:spacing w:before="240" w:after="120" w:line="264" w:lineRule="auto"/>
      </w:pPr>
      <w:bookmarkStart w:id="7" w:name="_Toc525303537"/>
      <w:r w:rsidRPr="001318E4">
        <w:t>Základní údaje o uživatelích internetu</w:t>
      </w:r>
      <w:bookmarkEnd w:id="7"/>
    </w:p>
    <w:p w:rsidR="009171D1" w:rsidRPr="001318E4" w:rsidRDefault="009171D1" w:rsidP="009171D1">
      <w:pPr>
        <w:pStyle w:val="Zkladntext"/>
        <w:spacing w:before="0" w:after="80" w:line="264" w:lineRule="auto"/>
        <w:rPr>
          <w:sz w:val="20"/>
          <w:szCs w:val="20"/>
        </w:rPr>
      </w:pPr>
      <w:r w:rsidRPr="001318E4">
        <w:rPr>
          <w:i/>
          <w:sz w:val="20"/>
        </w:rPr>
        <w:t>Podle odhadů Mezinárodní telekomunikační unie (ITU) v současné době používá internet polovina světové populace. Oproti tomu v roce 2005 to bylo 15 %. Jedním z klíčových faktorů ovlivňující</w:t>
      </w:r>
      <w:r w:rsidR="0036231A">
        <w:rPr>
          <w:i/>
          <w:sz w:val="20"/>
        </w:rPr>
        <w:t>ch</w:t>
      </w:r>
      <w:r w:rsidRPr="001318E4">
        <w:rPr>
          <w:i/>
          <w:sz w:val="20"/>
        </w:rPr>
        <w:t xml:space="preserve"> počet uživatelů internetu je stupeň rozvoje dané země. Zatímco rozvinuté země mají více než 80% základnu uživatelů internetu, v rozvojových zemích je podíl poloviční.</w:t>
      </w:r>
    </w:p>
    <w:p w:rsidR="009171D1" w:rsidRPr="001318E4" w:rsidRDefault="009171D1" w:rsidP="009171D1">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Dle posledních výsledků z roku 2017 využilo internet v Česku </w:t>
      </w:r>
      <w:r w:rsidRPr="001318E4">
        <w:rPr>
          <w:b/>
          <w:sz w:val="20"/>
          <w:szCs w:val="20"/>
        </w:rPr>
        <w:t>alespoň jednou v životě</w:t>
      </w:r>
      <w:r w:rsidRPr="001318E4">
        <w:rPr>
          <w:sz w:val="20"/>
          <w:szCs w:val="20"/>
        </w:rPr>
        <w:t xml:space="preserve"> 83 % osob starších 16 let. Více než tři čtvrtiny (79 %), 6,9 milionů osob starších 16 let</w:t>
      </w:r>
      <w:r w:rsidR="0036231A">
        <w:rPr>
          <w:sz w:val="20"/>
          <w:szCs w:val="20"/>
        </w:rPr>
        <w:t>,</w:t>
      </w:r>
      <w:r w:rsidRPr="001318E4">
        <w:rPr>
          <w:sz w:val="20"/>
          <w:szCs w:val="20"/>
        </w:rPr>
        <w:t xml:space="preserve"> jej pak použilo alespoň jednou za poslední 3 měsíce. V Česku se tak téměř osm z deseti osob mohlo zařadit mezi tzv. </w:t>
      </w:r>
      <w:r w:rsidRPr="001318E4">
        <w:rPr>
          <w:b/>
          <w:sz w:val="20"/>
          <w:szCs w:val="20"/>
        </w:rPr>
        <w:t>uživatele internetu</w:t>
      </w:r>
      <w:r w:rsidRPr="001318E4">
        <w:rPr>
          <w:rStyle w:val="Znakapoznpodarou"/>
          <w:b/>
          <w:sz w:val="20"/>
          <w:szCs w:val="20"/>
        </w:rPr>
        <w:footnoteReference w:id="3"/>
      </w:r>
      <w:r w:rsidRPr="001318E4">
        <w:rPr>
          <w:b/>
          <w:sz w:val="20"/>
          <w:szCs w:val="20"/>
        </w:rPr>
        <w:t xml:space="preserve"> </w:t>
      </w:r>
      <w:r w:rsidRPr="001318E4">
        <w:rPr>
          <w:sz w:val="20"/>
          <w:szCs w:val="20"/>
        </w:rPr>
        <w:t>‒ základní ukazatel</w:t>
      </w:r>
      <w:r w:rsidRPr="001318E4">
        <w:rPr>
          <w:b/>
          <w:sz w:val="20"/>
          <w:szCs w:val="20"/>
        </w:rPr>
        <w:t xml:space="preserve"> </w:t>
      </w:r>
      <w:r w:rsidRPr="001318E4">
        <w:rPr>
          <w:sz w:val="20"/>
          <w:szCs w:val="20"/>
        </w:rPr>
        <w:t>používaný pro mezinárodní srovnání v této oblasti. Od roku 2005, kdy internet používala necelá třetina populace, vzrostl počet uživatelů internetu starších 16 let v české populaci o 4 miliony osob.</w:t>
      </w:r>
    </w:p>
    <w:p w:rsidR="009171D1" w:rsidRPr="001318E4" w:rsidRDefault="009171D1" w:rsidP="009171D1">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Nárůst uživatelů internetu patrný v agregovaných datech samozřejmě zakrývá rozdílný vývoj </w:t>
      </w:r>
      <w:r w:rsidRPr="001318E4">
        <w:rPr>
          <w:b/>
          <w:sz w:val="20"/>
          <w:szCs w:val="20"/>
        </w:rPr>
        <w:t xml:space="preserve">v jednotlivých </w:t>
      </w:r>
      <w:proofErr w:type="spellStart"/>
      <w:r w:rsidRPr="001318E4">
        <w:rPr>
          <w:b/>
          <w:sz w:val="20"/>
          <w:szCs w:val="20"/>
        </w:rPr>
        <w:t>socio</w:t>
      </w:r>
      <w:proofErr w:type="spellEnd"/>
      <w:r w:rsidRPr="001318E4">
        <w:rPr>
          <w:b/>
          <w:sz w:val="20"/>
          <w:szCs w:val="20"/>
        </w:rPr>
        <w:t>-demografických skupinách</w:t>
      </w:r>
      <w:r w:rsidRPr="001318E4">
        <w:rPr>
          <w:sz w:val="20"/>
          <w:szCs w:val="20"/>
        </w:rPr>
        <w:t>. Ve všech sledovaných letech však lze zaznamenat jisté pravidelnosti: internet je více využíván ze strany mladší generace (v posledních letech i střední), více ho využívají osoby s vyšším dosaženým vzděláním a také muži než ženy (především ve starší generaci). S nárůstem počtu osob používajících internet se však tyto rozdíly postupně snižují.</w:t>
      </w:r>
    </w:p>
    <w:p w:rsidR="009171D1" w:rsidRPr="001318E4" w:rsidRDefault="009171D1" w:rsidP="009171D1">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lastRenderedPageBreak/>
        <w:t xml:space="preserve">V posledních letech roste obliba internetu i mezi </w:t>
      </w:r>
      <w:r w:rsidRPr="001318E4">
        <w:rPr>
          <w:b/>
          <w:sz w:val="20"/>
          <w:szCs w:val="20"/>
        </w:rPr>
        <w:t>starší generací</w:t>
      </w:r>
      <w:r w:rsidRPr="001318E4">
        <w:rPr>
          <w:sz w:val="20"/>
          <w:szCs w:val="20"/>
        </w:rPr>
        <w:t>. Například mezi seniory nad 65 let se za posledních deset let zvýšil podíl uživatelů internetu ze 4 % na jednu třetinu. V roce 2017 šlo o 660 tisíc seniorů. I do budoucna lze očekávat, že se počty uživatelů internetu z řad seniorů budou výrazně zvyšovat. Do důchodového věku se dnes totiž dostávají lidé, kteří jsou zvyklí automaticky využívat internetové technologie jak v pracovním, tak v osobním životě. Vloni používaly internet tři čtvrtiny lidí v předdůchodovém věku 55 až 64 let.</w:t>
      </w:r>
    </w:p>
    <w:p w:rsidR="0031346B" w:rsidRPr="0031346B" w:rsidRDefault="0031346B" w:rsidP="0031346B">
      <w:pPr>
        <w:pStyle w:val="Titulek"/>
        <w:keepNext/>
        <w:spacing w:after="0"/>
        <w:jc w:val="both"/>
        <w:rPr>
          <w:color w:val="FFFFFF" w:themeColor="background1"/>
          <w:sz w:val="4"/>
          <w:szCs w:val="4"/>
        </w:rPr>
      </w:pPr>
      <w:bookmarkStart w:id="8" w:name="_Toc524332532"/>
      <w:r w:rsidRPr="0031346B">
        <w:rPr>
          <w:color w:val="FFFFFF" w:themeColor="background1"/>
          <w:sz w:val="4"/>
          <w:szCs w:val="4"/>
        </w:rPr>
        <w:t>Graf C</w:t>
      </w:r>
      <w:r w:rsidRPr="0031346B">
        <w:rPr>
          <w:color w:val="FFFFFF" w:themeColor="background1"/>
          <w:sz w:val="4"/>
          <w:szCs w:val="4"/>
        </w:rPr>
        <w:fldChar w:fldCharType="begin"/>
      </w:r>
      <w:r w:rsidRPr="0031346B">
        <w:rPr>
          <w:color w:val="FFFFFF" w:themeColor="background1"/>
          <w:sz w:val="4"/>
          <w:szCs w:val="4"/>
        </w:rPr>
        <w:instrText xml:space="preserve"> SEQ Graf_C \* ARABIC </w:instrText>
      </w:r>
      <w:r w:rsidRPr="0031346B">
        <w:rPr>
          <w:color w:val="FFFFFF" w:themeColor="background1"/>
          <w:sz w:val="4"/>
          <w:szCs w:val="4"/>
        </w:rPr>
        <w:fldChar w:fldCharType="separate"/>
      </w:r>
      <w:r w:rsidR="001C4EA2">
        <w:rPr>
          <w:noProof/>
          <w:color w:val="FFFFFF" w:themeColor="background1"/>
          <w:sz w:val="4"/>
          <w:szCs w:val="4"/>
        </w:rPr>
        <w:t>3</w:t>
      </w:r>
      <w:r w:rsidRPr="0031346B">
        <w:rPr>
          <w:color w:val="FFFFFF" w:themeColor="background1"/>
          <w:sz w:val="4"/>
          <w:szCs w:val="4"/>
        </w:rPr>
        <w:fldChar w:fldCharType="end"/>
      </w:r>
      <w:r w:rsidRPr="0031346B">
        <w:rPr>
          <w:color w:val="FFFFFF" w:themeColor="background1"/>
          <w:sz w:val="4"/>
          <w:szCs w:val="4"/>
        </w:rPr>
        <w:t xml:space="preserve"> Jednotlivci v Česku ve věku 16 let a starší používající internet – uživatelé internetu</w:t>
      </w:r>
      <w:bookmarkEnd w:id="8"/>
    </w:p>
    <w:p w:rsidR="0031346B" w:rsidRPr="0031346B" w:rsidRDefault="0031346B" w:rsidP="0031346B">
      <w:pPr>
        <w:pStyle w:val="Titulek"/>
        <w:keepNext/>
        <w:spacing w:after="0"/>
        <w:jc w:val="both"/>
        <w:rPr>
          <w:color w:val="FFFFFF" w:themeColor="background1"/>
          <w:sz w:val="4"/>
          <w:szCs w:val="4"/>
        </w:rPr>
      </w:pPr>
      <w:bookmarkStart w:id="9" w:name="_Toc524332533"/>
      <w:r w:rsidRPr="0031346B">
        <w:rPr>
          <w:color w:val="FFFFFF" w:themeColor="background1"/>
          <w:sz w:val="4"/>
          <w:szCs w:val="4"/>
        </w:rPr>
        <w:t>Graf C</w:t>
      </w:r>
      <w:r w:rsidRPr="0031346B">
        <w:rPr>
          <w:color w:val="FFFFFF" w:themeColor="background1"/>
          <w:sz w:val="4"/>
          <w:szCs w:val="4"/>
        </w:rPr>
        <w:fldChar w:fldCharType="begin"/>
      </w:r>
      <w:r w:rsidRPr="0031346B">
        <w:rPr>
          <w:color w:val="FFFFFF" w:themeColor="background1"/>
          <w:sz w:val="4"/>
          <w:szCs w:val="4"/>
        </w:rPr>
        <w:instrText xml:space="preserve"> SEQ Graf_C \* ARABIC </w:instrText>
      </w:r>
      <w:r w:rsidRPr="0031346B">
        <w:rPr>
          <w:color w:val="FFFFFF" w:themeColor="background1"/>
          <w:sz w:val="4"/>
          <w:szCs w:val="4"/>
        </w:rPr>
        <w:fldChar w:fldCharType="separate"/>
      </w:r>
      <w:r w:rsidR="001C4EA2">
        <w:rPr>
          <w:noProof/>
          <w:color w:val="FFFFFF" w:themeColor="background1"/>
          <w:sz w:val="4"/>
          <w:szCs w:val="4"/>
        </w:rPr>
        <w:t>4</w:t>
      </w:r>
      <w:r w:rsidRPr="0031346B">
        <w:rPr>
          <w:color w:val="FFFFFF" w:themeColor="background1"/>
          <w:sz w:val="4"/>
          <w:szCs w:val="4"/>
        </w:rPr>
        <w:fldChar w:fldCharType="end"/>
      </w:r>
      <w:r w:rsidRPr="0031346B">
        <w:rPr>
          <w:color w:val="FFFFFF" w:themeColor="background1"/>
          <w:sz w:val="4"/>
          <w:szCs w:val="4"/>
        </w:rPr>
        <w:t xml:space="preserve"> Jednotlivci v Česku používající internet</w:t>
      </w:r>
      <w:bookmarkEnd w:id="9"/>
      <w:r w:rsidRPr="0031346B">
        <w:rPr>
          <w:color w:val="FFFFFF" w:themeColor="background1"/>
          <w:sz w:val="4"/>
          <w:szCs w:val="4"/>
        </w:rPr>
        <w:t xml:space="preserve"> </w:t>
      </w:r>
    </w:p>
    <w:p w:rsidR="009171D1" w:rsidRPr="001318E4" w:rsidRDefault="009171D1" w:rsidP="009171D1">
      <w:pPr>
        <w:pStyle w:val="Zkladntext"/>
        <w:spacing w:before="120" w:after="120" w:line="288" w:lineRule="auto"/>
        <w:rPr>
          <w:sz w:val="20"/>
          <w:szCs w:val="20"/>
        </w:rPr>
      </w:pPr>
      <w:r w:rsidRPr="001318E4">
        <w:rPr>
          <w:noProof/>
        </w:rPr>
        <w:drawing>
          <wp:inline distT="0" distB="0" distL="0" distR="0" wp14:anchorId="347B4754" wp14:editId="786C4072">
            <wp:extent cx="3019425" cy="3238500"/>
            <wp:effectExtent l="0" t="0" r="0" b="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318E4">
        <w:rPr>
          <w:noProof/>
          <w:lang w:eastAsia="en-US"/>
        </w:rPr>
        <w:t xml:space="preserve"> </w:t>
      </w:r>
      <w:r w:rsidRPr="001318E4">
        <w:rPr>
          <w:noProof/>
        </w:rPr>
        <w:drawing>
          <wp:inline distT="0" distB="0" distL="0" distR="0" wp14:anchorId="6BF15AEF" wp14:editId="253A770A">
            <wp:extent cx="3024000" cy="3240000"/>
            <wp:effectExtent l="0" t="0" r="5080" b="0"/>
            <wp:docPr id="61" name="Graf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71D1" w:rsidRPr="001318E4" w:rsidRDefault="009171D1" w:rsidP="009171D1">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V roce 2017 jsme v podílu jednotlivců používajících internet mírně předčili </w:t>
      </w:r>
      <w:r w:rsidRPr="001318E4">
        <w:rPr>
          <w:b/>
          <w:sz w:val="20"/>
          <w:szCs w:val="20"/>
        </w:rPr>
        <w:t>průměr EU28</w:t>
      </w:r>
      <w:r w:rsidRPr="001318E4">
        <w:rPr>
          <w:sz w:val="20"/>
          <w:szCs w:val="20"/>
        </w:rPr>
        <w:t>. Mezi země, v nichž internet v roce 2017 používalo více než 90 % obyvatelstva ve věku 16 až 74 let, patří dlouhodobě skandinávské státy, Nizozemsko, Lucembursko, Velká Británie a Německo. K této hranici se rychle blíží i Estonsko, Rakousko a Belgie.</w:t>
      </w:r>
    </w:p>
    <w:p w:rsidR="0031346B" w:rsidRPr="0031346B" w:rsidRDefault="0031346B" w:rsidP="0031346B">
      <w:pPr>
        <w:pStyle w:val="Titulek"/>
        <w:keepNext/>
        <w:spacing w:after="0"/>
        <w:jc w:val="both"/>
        <w:rPr>
          <w:color w:val="FFFFFF" w:themeColor="background1"/>
          <w:sz w:val="4"/>
          <w:szCs w:val="4"/>
        </w:rPr>
      </w:pPr>
      <w:bookmarkStart w:id="10" w:name="_Toc524332534"/>
      <w:r w:rsidRPr="0031346B">
        <w:rPr>
          <w:color w:val="FFFFFF" w:themeColor="background1"/>
          <w:sz w:val="4"/>
          <w:szCs w:val="4"/>
        </w:rPr>
        <w:t>Graf C</w:t>
      </w:r>
      <w:r w:rsidRPr="0031346B">
        <w:rPr>
          <w:color w:val="FFFFFF" w:themeColor="background1"/>
          <w:sz w:val="4"/>
          <w:szCs w:val="4"/>
        </w:rPr>
        <w:fldChar w:fldCharType="begin"/>
      </w:r>
      <w:r w:rsidRPr="0031346B">
        <w:rPr>
          <w:color w:val="FFFFFF" w:themeColor="background1"/>
          <w:sz w:val="4"/>
          <w:szCs w:val="4"/>
        </w:rPr>
        <w:instrText xml:space="preserve"> SEQ Graf_C \* ARABIC </w:instrText>
      </w:r>
      <w:r w:rsidRPr="0031346B">
        <w:rPr>
          <w:color w:val="FFFFFF" w:themeColor="background1"/>
          <w:sz w:val="4"/>
          <w:szCs w:val="4"/>
        </w:rPr>
        <w:fldChar w:fldCharType="separate"/>
      </w:r>
      <w:r w:rsidR="001C4EA2">
        <w:rPr>
          <w:noProof/>
          <w:color w:val="FFFFFF" w:themeColor="background1"/>
          <w:sz w:val="4"/>
          <w:szCs w:val="4"/>
        </w:rPr>
        <w:t>5</w:t>
      </w:r>
      <w:r w:rsidRPr="0031346B">
        <w:rPr>
          <w:color w:val="FFFFFF" w:themeColor="background1"/>
          <w:sz w:val="4"/>
          <w:szCs w:val="4"/>
        </w:rPr>
        <w:fldChar w:fldCharType="end"/>
      </w:r>
      <w:r w:rsidRPr="0031346B">
        <w:rPr>
          <w:color w:val="FFFFFF" w:themeColor="background1"/>
          <w:sz w:val="4"/>
          <w:szCs w:val="4"/>
        </w:rPr>
        <w:t xml:space="preserve"> </w:t>
      </w:r>
      <w:proofErr w:type="spellStart"/>
      <w:r w:rsidRPr="0031346B">
        <w:rPr>
          <w:color w:val="FFFFFF" w:themeColor="background1"/>
          <w:sz w:val="4"/>
          <w:szCs w:val="4"/>
          <w:lang w:val="en-US"/>
        </w:rPr>
        <w:t>Jednotlivci</w:t>
      </w:r>
      <w:proofErr w:type="spellEnd"/>
      <w:r w:rsidRPr="0031346B">
        <w:rPr>
          <w:color w:val="FFFFFF" w:themeColor="background1"/>
          <w:sz w:val="4"/>
          <w:szCs w:val="4"/>
          <w:lang w:val="en-US"/>
        </w:rPr>
        <w:t xml:space="preserve"> v </w:t>
      </w:r>
      <w:proofErr w:type="spellStart"/>
      <w:r w:rsidRPr="0031346B">
        <w:rPr>
          <w:color w:val="FFFFFF" w:themeColor="background1"/>
          <w:sz w:val="4"/>
          <w:szCs w:val="4"/>
          <w:lang w:val="en-US"/>
        </w:rPr>
        <w:t>zemích</w:t>
      </w:r>
      <w:proofErr w:type="spellEnd"/>
      <w:r w:rsidRPr="0031346B">
        <w:rPr>
          <w:color w:val="FFFFFF" w:themeColor="background1"/>
          <w:sz w:val="4"/>
          <w:szCs w:val="4"/>
          <w:lang w:val="en-US"/>
        </w:rPr>
        <w:t xml:space="preserve"> EU </w:t>
      </w:r>
      <w:proofErr w:type="spellStart"/>
      <w:r w:rsidRPr="0031346B">
        <w:rPr>
          <w:color w:val="FFFFFF" w:themeColor="background1"/>
          <w:sz w:val="4"/>
          <w:szCs w:val="4"/>
          <w:lang w:val="en-US"/>
        </w:rPr>
        <w:t>používající</w:t>
      </w:r>
      <w:proofErr w:type="spellEnd"/>
      <w:r w:rsidRPr="0031346B">
        <w:rPr>
          <w:color w:val="FFFFFF" w:themeColor="background1"/>
          <w:sz w:val="4"/>
          <w:szCs w:val="4"/>
          <w:lang w:val="en-US"/>
        </w:rPr>
        <w:t xml:space="preserve"> internet </w:t>
      </w:r>
      <w:r w:rsidRPr="0031346B">
        <w:rPr>
          <w:color w:val="FFFFFF" w:themeColor="background1"/>
          <w:sz w:val="4"/>
          <w:szCs w:val="4"/>
        </w:rPr>
        <w:t>–</w:t>
      </w:r>
      <w:r w:rsidRPr="0031346B">
        <w:rPr>
          <w:color w:val="FFFFFF" w:themeColor="background1"/>
          <w:sz w:val="4"/>
          <w:szCs w:val="4"/>
          <w:lang w:val="en-US"/>
        </w:rPr>
        <w:t xml:space="preserve"> </w:t>
      </w:r>
      <w:proofErr w:type="spellStart"/>
      <w:r w:rsidRPr="0031346B">
        <w:rPr>
          <w:color w:val="FFFFFF" w:themeColor="background1"/>
          <w:sz w:val="4"/>
          <w:szCs w:val="4"/>
          <w:lang w:val="en-US"/>
        </w:rPr>
        <w:t>uživatelé</w:t>
      </w:r>
      <w:proofErr w:type="spellEnd"/>
      <w:r w:rsidRPr="0031346B">
        <w:rPr>
          <w:color w:val="FFFFFF" w:themeColor="background1"/>
          <w:sz w:val="4"/>
          <w:szCs w:val="4"/>
          <w:lang w:val="en-US"/>
        </w:rPr>
        <w:t xml:space="preserve"> </w:t>
      </w:r>
      <w:proofErr w:type="spellStart"/>
      <w:r w:rsidRPr="0031346B">
        <w:rPr>
          <w:color w:val="FFFFFF" w:themeColor="background1"/>
          <w:sz w:val="4"/>
          <w:szCs w:val="4"/>
          <w:lang w:val="en-US"/>
        </w:rPr>
        <w:t>internetu</w:t>
      </w:r>
      <w:proofErr w:type="spellEnd"/>
      <w:r w:rsidRPr="0031346B">
        <w:rPr>
          <w:color w:val="FFFFFF" w:themeColor="background1"/>
          <w:sz w:val="4"/>
          <w:szCs w:val="4"/>
        </w:rPr>
        <w:t xml:space="preserve"> ve věku 16 až 74 let</w:t>
      </w:r>
      <w:bookmarkEnd w:id="10"/>
      <w:r w:rsidRPr="0031346B">
        <w:rPr>
          <w:color w:val="FFFFFF" w:themeColor="background1"/>
          <w:sz w:val="4"/>
          <w:szCs w:val="4"/>
        </w:rPr>
        <w:t xml:space="preserve"> </w:t>
      </w:r>
    </w:p>
    <w:p w:rsidR="009171D1" w:rsidRPr="009171D1" w:rsidRDefault="009171D1" w:rsidP="009171D1">
      <w:pPr>
        <w:pStyle w:val="Zkladntext"/>
        <w:spacing w:before="120" w:after="120" w:line="288" w:lineRule="auto"/>
        <w:rPr>
          <w:strike/>
          <w:sz w:val="20"/>
          <w:szCs w:val="20"/>
        </w:rPr>
      </w:pPr>
      <w:r w:rsidRPr="001318E4">
        <w:rPr>
          <w:noProof/>
        </w:rPr>
        <w:drawing>
          <wp:inline distT="0" distB="0" distL="0" distR="0" wp14:anchorId="4EF589FB" wp14:editId="3CBB49BC">
            <wp:extent cx="5972810" cy="3112135"/>
            <wp:effectExtent l="0" t="0" r="0" b="0"/>
            <wp:docPr id="62" name="Graf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71D1" w:rsidRPr="001318E4" w:rsidRDefault="009171D1" w:rsidP="009171D1">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Čtyři z pěti uživatelů internetu se v Česku připojují k síti </w:t>
      </w:r>
      <w:r w:rsidRPr="001318E4">
        <w:rPr>
          <w:b/>
          <w:sz w:val="20"/>
          <w:szCs w:val="20"/>
        </w:rPr>
        <w:t>každý den</w:t>
      </w:r>
      <w:r w:rsidRPr="001318E4">
        <w:rPr>
          <w:sz w:val="20"/>
          <w:szCs w:val="20"/>
        </w:rPr>
        <w:t xml:space="preserve">. Mladí lidé do 24 let jsou na internetu denně nebo téměř denně již téměř všichni – 97 % v roce 2017. Osob nad 65 let se denně na internet </w:t>
      </w:r>
      <w:r w:rsidRPr="001318E4">
        <w:rPr>
          <w:sz w:val="20"/>
          <w:szCs w:val="20"/>
        </w:rPr>
        <w:lastRenderedPageBreak/>
        <w:t>připojuje necelá pětina (19,6 %). Když už senioři používají internet, tak lze předpokládat, že na něm v porovnání se svými mladšími spoluobčany většinou netráví příliš mnoho času.</w:t>
      </w:r>
    </w:p>
    <w:p w:rsidR="009171D1" w:rsidRPr="001318E4" w:rsidRDefault="009171D1" w:rsidP="009171D1">
      <w:pPr>
        <w:pStyle w:val="Zkladntext"/>
        <w:numPr>
          <w:ilvl w:val="0"/>
          <w:numId w:val="14"/>
        </w:numPr>
        <w:spacing w:before="0" w:after="80" w:line="264" w:lineRule="auto"/>
        <w:rPr>
          <w:sz w:val="20"/>
          <w:szCs w:val="20"/>
        </w:rPr>
      </w:pPr>
      <w:r w:rsidRPr="001318E4">
        <w:rPr>
          <w:sz w:val="20"/>
          <w:szCs w:val="20"/>
        </w:rPr>
        <w:t>V zemích EU používá internet denně 72 % jednotlivců. Podíl těchto osob mezi uživateli internetu je nejvyšší v Itálii (96 %), naopak nejnižší v Rumunsku (73 %).</w:t>
      </w:r>
    </w:p>
    <w:p w:rsidR="009171D1" w:rsidRPr="001318E4" w:rsidRDefault="009171D1" w:rsidP="009171D1">
      <w:pPr>
        <w:pStyle w:val="Nadpis3"/>
        <w:spacing w:before="240" w:after="120" w:line="264" w:lineRule="auto"/>
      </w:pPr>
      <w:bookmarkStart w:id="11" w:name="_Toc525303538"/>
      <w:r w:rsidRPr="001318E4">
        <w:t>Jednotlivci, kteří stále nepoužívají internet</w:t>
      </w:r>
      <w:bookmarkEnd w:id="11"/>
    </w:p>
    <w:p w:rsidR="009171D1" w:rsidRPr="001318E4" w:rsidRDefault="009171D1" w:rsidP="00B1686C">
      <w:pPr>
        <w:pStyle w:val="Zkladntext"/>
        <w:spacing w:before="0" w:after="80" w:line="264" w:lineRule="auto"/>
        <w:rPr>
          <w:i/>
          <w:sz w:val="20"/>
        </w:rPr>
      </w:pPr>
      <w:r w:rsidRPr="001318E4">
        <w:rPr>
          <w:i/>
          <w:sz w:val="20"/>
        </w:rPr>
        <w:t>I v rámci EU se využívání internetu liší podle věku a aktivita starší generace je právě ten faktor, který nejvíce ovlivňuje výsledky za danou zemi. Mezi mladými lidmi v ČR i EU totiž surfuje na internetu téměř každý. U starších lidí pak používání internetu často úzce souvisí s dosaženým vzděláním.</w:t>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V roce 2017 bylo v dospělé populaci (16+) v Česku stále 17 % (1,4 miliónu) lidí, </w:t>
      </w:r>
      <w:r w:rsidRPr="001318E4">
        <w:rPr>
          <w:b/>
          <w:sz w:val="20"/>
          <w:szCs w:val="20"/>
        </w:rPr>
        <w:t>kteří internet nikdy nepoužili</w:t>
      </w:r>
      <w:r w:rsidRPr="001318E4">
        <w:rPr>
          <w:sz w:val="20"/>
          <w:szCs w:val="20"/>
        </w:rPr>
        <w:t xml:space="preserve">. Počet těchto osob se ale rok od roku snižuje. Před deseti lety jich byla ještě téměř polovina a v roce 2005 dokonce 62 %, tj. 5,4 milionu osob starších 16 let. Mezi lidmi, kteří nikdy nepoužili internet, jsou častěji osoby starší 65 let (více než polovina v roce 2017) a lidé se základním vzděláním (56 %). Naopak například mezi studenty a ženami v domácnosti (včetně těch na </w:t>
      </w:r>
      <w:r w:rsidR="0036231A">
        <w:rPr>
          <w:sz w:val="20"/>
          <w:szCs w:val="20"/>
        </w:rPr>
        <w:t>mateřské a rodičovské dovolené</w:t>
      </w:r>
      <w:r w:rsidRPr="001318E4">
        <w:rPr>
          <w:sz w:val="20"/>
          <w:szCs w:val="20"/>
        </w:rPr>
        <w:t>) takové osoby nalezneme jen stěží.</w:t>
      </w:r>
    </w:p>
    <w:p w:rsidR="0031346B" w:rsidRPr="00FA6197" w:rsidRDefault="0031346B" w:rsidP="0031346B">
      <w:pPr>
        <w:pStyle w:val="Titulek"/>
        <w:keepNext/>
        <w:spacing w:after="0"/>
        <w:jc w:val="both"/>
        <w:rPr>
          <w:color w:val="FFFFFF" w:themeColor="background1"/>
          <w:sz w:val="4"/>
          <w:szCs w:val="4"/>
        </w:rPr>
      </w:pPr>
      <w:bookmarkStart w:id="12" w:name="_Toc524332535"/>
      <w:r w:rsidRPr="00FA6197">
        <w:rPr>
          <w:color w:val="FFFFFF" w:themeColor="background1"/>
          <w:sz w:val="4"/>
          <w:szCs w:val="4"/>
        </w:rPr>
        <w:t>Graf C</w:t>
      </w:r>
      <w:r w:rsidRPr="00FA6197">
        <w:rPr>
          <w:color w:val="FFFFFF" w:themeColor="background1"/>
          <w:sz w:val="4"/>
          <w:szCs w:val="4"/>
        </w:rPr>
        <w:fldChar w:fldCharType="begin"/>
      </w:r>
      <w:r w:rsidRPr="00FA6197">
        <w:rPr>
          <w:color w:val="FFFFFF" w:themeColor="background1"/>
          <w:sz w:val="4"/>
          <w:szCs w:val="4"/>
        </w:rPr>
        <w:instrText xml:space="preserve"> SEQ Graf_C \* ARABIC </w:instrText>
      </w:r>
      <w:r w:rsidRPr="00FA6197">
        <w:rPr>
          <w:color w:val="FFFFFF" w:themeColor="background1"/>
          <w:sz w:val="4"/>
          <w:szCs w:val="4"/>
        </w:rPr>
        <w:fldChar w:fldCharType="separate"/>
      </w:r>
      <w:r w:rsidR="001C4EA2" w:rsidRPr="00FA6197">
        <w:rPr>
          <w:noProof/>
          <w:color w:val="FFFFFF" w:themeColor="background1"/>
          <w:sz w:val="4"/>
          <w:szCs w:val="4"/>
        </w:rPr>
        <w:t>6</w:t>
      </w:r>
      <w:r w:rsidRPr="00FA6197">
        <w:rPr>
          <w:color w:val="FFFFFF" w:themeColor="background1"/>
          <w:sz w:val="4"/>
          <w:szCs w:val="4"/>
        </w:rPr>
        <w:fldChar w:fldCharType="end"/>
      </w:r>
      <w:r w:rsidRPr="00FA6197">
        <w:rPr>
          <w:color w:val="FFFFFF" w:themeColor="background1"/>
          <w:sz w:val="4"/>
          <w:szCs w:val="4"/>
        </w:rPr>
        <w:t xml:space="preserve"> Jednotlivci v Česku ve věku 16 let a starší, kteří nikdy nepoužili internet</w:t>
      </w:r>
      <w:bookmarkEnd w:id="12"/>
    </w:p>
    <w:p w:rsidR="0031346B" w:rsidRPr="00FA6197" w:rsidRDefault="0031346B" w:rsidP="0031346B">
      <w:pPr>
        <w:pStyle w:val="Titulek"/>
        <w:keepNext/>
        <w:spacing w:after="0"/>
        <w:jc w:val="both"/>
        <w:rPr>
          <w:color w:val="FFFFFF" w:themeColor="background1"/>
          <w:sz w:val="4"/>
          <w:szCs w:val="4"/>
        </w:rPr>
      </w:pPr>
      <w:bookmarkStart w:id="13" w:name="_Toc524332536"/>
      <w:r w:rsidRPr="00FA6197">
        <w:rPr>
          <w:color w:val="FFFFFF" w:themeColor="background1"/>
          <w:sz w:val="4"/>
          <w:szCs w:val="4"/>
        </w:rPr>
        <w:t>Graf C</w:t>
      </w:r>
      <w:r w:rsidRPr="00FA6197">
        <w:rPr>
          <w:color w:val="FFFFFF" w:themeColor="background1"/>
          <w:sz w:val="4"/>
          <w:szCs w:val="4"/>
        </w:rPr>
        <w:fldChar w:fldCharType="begin"/>
      </w:r>
      <w:r w:rsidRPr="00FA6197">
        <w:rPr>
          <w:color w:val="FFFFFF" w:themeColor="background1"/>
          <w:sz w:val="4"/>
          <w:szCs w:val="4"/>
        </w:rPr>
        <w:instrText xml:space="preserve"> SEQ Graf_C \* ARABIC </w:instrText>
      </w:r>
      <w:r w:rsidRPr="00FA6197">
        <w:rPr>
          <w:color w:val="FFFFFF" w:themeColor="background1"/>
          <w:sz w:val="4"/>
          <w:szCs w:val="4"/>
        </w:rPr>
        <w:fldChar w:fldCharType="separate"/>
      </w:r>
      <w:r w:rsidR="001C4EA2" w:rsidRPr="00FA6197">
        <w:rPr>
          <w:noProof/>
          <w:color w:val="FFFFFF" w:themeColor="background1"/>
          <w:sz w:val="4"/>
          <w:szCs w:val="4"/>
        </w:rPr>
        <w:t>7</w:t>
      </w:r>
      <w:r w:rsidRPr="00FA6197">
        <w:rPr>
          <w:color w:val="FFFFFF" w:themeColor="background1"/>
          <w:sz w:val="4"/>
          <w:szCs w:val="4"/>
        </w:rPr>
        <w:fldChar w:fldCharType="end"/>
      </w:r>
      <w:r w:rsidRPr="00FA6197">
        <w:rPr>
          <w:color w:val="FFFFFF" w:themeColor="background1"/>
          <w:sz w:val="4"/>
          <w:szCs w:val="4"/>
        </w:rPr>
        <w:t xml:space="preserve"> </w:t>
      </w:r>
      <w:proofErr w:type="spellStart"/>
      <w:r w:rsidRPr="00FA6197">
        <w:rPr>
          <w:color w:val="FFFFFF" w:themeColor="background1"/>
          <w:sz w:val="4"/>
          <w:szCs w:val="4"/>
          <w:lang w:val="en-US"/>
        </w:rPr>
        <w:t>Používání</w:t>
      </w:r>
      <w:proofErr w:type="spellEnd"/>
      <w:r w:rsidRPr="00FA6197">
        <w:rPr>
          <w:color w:val="FFFFFF" w:themeColor="background1"/>
          <w:sz w:val="4"/>
          <w:szCs w:val="4"/>
          <w:lang w:val="en-US"/>
        </w:rPr>
        <w:t xml:space="preserve"> </w:t>
      </w:r>
      <w:proofErr w:type="spellStart"/>
      <w:r w:rsidRPr="00FA6197">
        <w:rPr>
          <w:color w:val="FFFFFF" w:themeColor="background1"/>
          <w:sz w:val="4"/>
          <w:szCs w:val="4"/>
          <w:lang w:val="en-US"/>
        </w:rPr>
        <w:t>internetu</w:t>
      </w:r>
      <w:proofErr w:type="spellEnd"/>
      <w:r w:rsidRPr="00FA6197">
        <w:rPr>
          <w:color w:val="FFFFFF" w:themeColor="background1"/>
          <w:sz w:val="4"/>
          <w:szCs w:val="4"/>
          <w:lang w:val="en-US"/>
        </w:rPr>
        <w:t xml:space="preserve"> </w:t>
      </w:r>
      <w:proofErr w:type="spellStart"/>
      <w:r w:rsidRPr="00FA6197">
        <w:rPr>
          <w:color w:val="FFFFFF" w:themeColor="background1"/>
          <w:sz w:val="4"/>
          <w:szCs w:val="4"/>
          <w:lang w:val="en-US"/>
        </w:rPr>
        <w:t>jednotlivci</w:t>
      </w:r>
      <w:proofErr w:type="spellEnd"/>
      <w:r w:rsidRPr="00FA6197">
        <w:rPr>
          <w:color w:val="FFFFFF" w:themeColor="background1"/>
          <w:sz w:val="4"/>
          <w:szCs w:val="4"/>
          <w:lang w:val="en-US"/>
        </w:rPr>
        <w:t xml:space="preserve"> </w:t>
      </w:r>
      <w:r w:rsidRPr="00FA6197">
        <w:rPr>
          <w:color w:val="FFFFFF" w:themeColor="background1"/>
          <w:sz w:val="4"/>
          <w:szCs w:val="4"/>
        </w:rPr>
        <w:t xml:space="preserve">v Česku </w:t>
      </w:r>
      <w:proofErr w:type="spellStart"/>
      <w:r w:rsidRPr="00FA6197">
        <w:rPr>
          <w:color w:val="FFFFFF" w:themeColor="background1"/>
          <w:sz w:val="4"/>
          <w:szCs w:val="4"/>
          <w:lang w:val="en-US"/>
        </w:rPr>
        <w:t>ve</w:t>
      </w:r>
      <w:proofErr w:type="spellEnd"/>
      <w:r w:rsidRPr="00FA6197">
        <w:rPr>
          <w:color w:val="FFFFFF" w:themeColor="background1"/>
          <w:sz w:val="4"/>
          <w:szCs w:val="4"/>
          <w:lang w:val="en-US"/>
        </w:rPr>
        <w:t xml:space="preserve"> </w:t>
      </w:r>
      <w:proofErr w:type="spellStart"/>
      <w:r w:rsidRPr="00FA6197">
        <w:rPr>
          <w:color w:val="FFFFFF" w:themeColor="background1"/>
          <w:sz w:val="4"/>
          <w:szCs w:val="4"/>
          <w:lang w:val="en-US"/>
        </w:rPr>
        <w:t>věku</w:t>
      </w:r>
      <w:proofErr w:type="spellEnd"/>
      <w:r w:rsidRPr="00FA6197">
        <w:rPr>
          <w:color w:val="FFFFFF" w:themeColor="background1"/>
          <w:sz w:val="4"/>
          <w:szCs w:val="4"/>
          <w:lang w:val="en-US"/>
        </w:rPr>
        <w:t xml:space="preserve"> 55 </w:t>
      </w:r>
      <w:proofErr w:type="spellStart"/>
      <w:r w:rsidRPr="00FA6197">
        <w:rPr>
          <w:color w:val="FFFFFF" w:themeColor="background1"/>
          <w:sz w:val="4"/>
          <w:szCs w:val="4"/>
          <w:lang w:val="en-US"/>
        </w:rPr>
        <w:t>až</w:t>
      </w:r>
      <w:proofErr w:type="spellEnd"/>
      <w:r w:rsidRPr="00FA6197">
        <w:rPr>
          <w:color w:val="FFFFFF" w:themeColor="background1"/>
          <w:sz w:val="4"/>
          <w:szCs w:val="4"/>
          <w:lang w:val="en-US"/>
        </w:rPr>
        <w:t xml:space="preserve"> 74 let</w:t>
      </w:r>
      <w:bookmarkEnd w:id="13"/>
    </w:p>
    <w:p w:rsidR="009171D1" w:rsidRPr="001318E4" w:rsidRDefault="009171D1" w:rsidP="009171D1">
      <w:pPr>
        <w:pStyle w:val="Zkladntext"/>
        <w:spacing w:before="0" w:after="120" w:line="288" w:lineRule="auto"/>
        <w:rPr>
          <w:sz w:val="20"/>
          <w:szCs w:val="20"/>
        </w:rPr>
      </w:pPr>
      <w:r w:rsidRPr="001318E4">
        <w:rPr>
          <w:noProof/>
        </w:rPr>
        <w:drawing>
          <wp:inline distT="0" distB="0" distL="0" distR="0" wp14:anchorId="78088C2F" wp14:editId="7AF6CD93">
            <wp:extent cx="3024000" cy="2880000"/>
            <wp:effectExtent l="0" t="0" r="5080" b="0"/>
            <wp:docPr id="63" name="Graf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318E4">
        <w:rPr>
          <w:noProof/>
          <w:lang w:eastAsia="en-US"/>
        </w:rPr>
        <w:t xml:space="preserve"> </w:t>
      </w:r>
      <w:r w:rsidRPr="001318E4">
        <w:rPr>
          <w:noProof/>
        </w:rPr>
        <w:drawing>
          <wp:inline distT="0" distB="0" distL="0" distR="0" wp14:anchorId="69396CD2" wp14:editId="5B10AE32">
            <wp:extent cx="3024000" cy="2880000"/>
            <wp:effectExtent l="0" t="0" r="5080" b="0"/>
            <wp:docPr id="6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Obdobná je i situace v EU28, kde byl v roce 2017 podíl těch, kteří nikdy nepoužili internet 13 % (z jednotlivců ve věku 16 až 74 let). To je téměř třetina oproti roku 2007, kdy byl tento podíl 37 %. </w:t>
      </w:r>
    </w:p>
    <w:p w:rsidR="0031346B" w:rsidRPr="0031346B" w:rsidRDefault="0031346B" w:rsidP="0031346B">
      <w:pPr>
        <w:pStyle w:val="Titulek"/>
        <w:keepNext/>
        <w:spacing w:after="0"/>
        <w:jc w:val="both"/>
        <w:rPr>
          <w:color w:val="FFFFFF" w:themeColor="background1"/>
          <w:sz w:val="4"/>
          <w:szCs w:val="4"/>
        </w:rPr>
      </w:pPr>
      <w:bookmarkStart w:id="14" w:name="_Toc524332537"/>
      <w:r w:rsidRPr="0031346B">
        <w:rPr>
          <w:color w:val="FFFFFF" w:themeColor="background1"/>
          <w:sz w:val="4"/>
          <w:szCs w:val="4"/>
        </w:rPr>
        <w:lastRenderedPageBreak/>
        <w:t>Graf C</w:t>
      </w:r>
      <w:r w:rsidRPr="0031346B">
        <w:rPr>
          <w:color w:val="FFFFFF" w:themeColor="background1"/>
          <w:sz w:val="4"/>
          <w:szCs w:val="4"/>
        </w:rPr>
        <w:fldChar w:fldCharType="begin"/>
      </w:r>
      <w:r w:rsidRPr="0031346B">
        <w:rPr>
          <w:color w:val="FFFFFF" w:themeColor="background1"/>
          <w:sz w:val="4"/>
          <w:szCs w:val="4"/>
        </w:rPr>
        <w:instrText xml:space="preserve"> SEQ Graf_C \* ARABIC </w:instrText>
      </w:r>
      <w:r w:rsidRPr="0031346B">
        <w:rPr>
          <w:color w:val="FFFFFF" w:themeColor="background1"/>
          <w:sz w:val="4"/>
          <w:szCs w:val="4"/>
        </w:rPr>
        <w:fldChar w:fldCharType="separate"/>
      </w:r>
      <w:r w:rsidR="001C4EA2">
        <w:rPr>
          <w:noProof/>
          <w:color w:val="FFFFFF" w:themeColor="background1"/>
          <w:sz w:val="4"/>
          <w:szCs w:val="4"/>
        </w:rPr>
        <w:t>8</w:t>
      </w:r>
      <w:r w:rsidRPr="0031346B">
        <w:rPr>
          <w:color w:val="FFFFFF" w:themeColor="background1"/>
          <w:sz w:val="4"/>
          <w:szCs w:val="4"/>
        </w:rPr>
        <w:fldChar w:fldCharType="end"/>
      </w:r>
      <w:r w:rsidRPr="0031346B">
        <w:rPr>
          <w:color w:val="FFFFFF" w:themeColor="background1"/>
          <w:sz w:val="4"/>
          <w:szCs w:val="4"/>
        </w:rPr>
        <w:t xml:space="preserve"> </w:t>
      </w:r>
      <w:proofErr w:type="spellStart"/>
      <w:r w:rsidRPr="0031346B">
        <w:rPr>
          <w:color w:val="FFFFFF" w:themeColor="background1"/>
          <w:sz w:val="4"/>
          <w:szCs w:val="4"/>
          <w:lang w:val="en-US"/>
        </w:rPr>
        <w:t>Jednotlivci</w:t>
      </w:r>
      <w:proofErr w:type="spellEnd"/>
      <w:r w:rsidRPr="0031346B">
        <w:rPr>
          <w:color w:val="FFFFFF" w:themeColor="background1"/>
          <w:sz w:val="4"/>
          <w:szCs w:val="4"/>
          <w:lang w:val="en-US"/>
        </w:rPr>
        <w:t xml:space="preserve"> v </w:t>
      </w:r>
      <w:proofErr w:type="spellStart"/>
      <w:r w:rsidRPr="0031346B">
        <w:rPr>
          <w:color w:val="FFFFFF" w:themeColor="background1"/>
          <w:sz w:val="4"/>
          <w:szCs w:val="4"/>
          <w:lang w:val="en-US"/>
        </w:rPr>
        <w:t>zemích</w:t>
      </w:r>
      <w:proofErr w:type="spellEnd"/>
      <w:r w:rsidRPr="0031346B">
        <w:rPr>
          <w:color w:val="FFFFFF" w:themeColor="background1"/>
          <w:sz w:val="4"/>
          <w:szCs w:val="4"/>
          <w:lang w:val="en-US"/>
        </w:rPr>
        <w:t xml:space="preserve"> EU </w:t>
      </w:r>
      <w:r w:rsidRPr="0031346B">
        <w:rPr>
          <w:color w:val="FFFFFF" w:themeColor="background1"/>
          <w:sz w:val="4"/>
          <w:szCs w:val="4"/>
        </w:rPr>
        <w:t xml:space="preserve">ve věku 16 až 74 let, kteří nikdy nepoužili </w:t>
      </w:r>
      <w:r w:rsidRPr="0031346B">
        <w:rPr>
          <w:color w:val="FFFFFF" w:themeColor="background1"/>
          <w:sz w:val="4"/>
          <w:szCs w:val="4"/>
          <w:lang w:val="en-US"/>
        </w:rPr>
        <w:t>internet</w:t>
      </w:r>
      <w:bookmarkEnd w:id="14"/>
      <w:r w:rsidRPr="0031346B">
        <w:rPr>
          <w:color w:val="FFFFFF" w:themeColor="background1"/>
          <w:sz w:val="4"/>
          <w:szCs w:val="4"/>
        </w:rPr>
        <w:t xml:space="preserve"> </w:t>
      </w:r>
    </w:p>
    <w:p w:rsidR="009171D1" w:rsidRPr="001318E4" w:rsidRDefault="009171D1" w:rsidP="009171D1">
      <w:pPr>
        <w:pStyle w:val="Zkladntext"/>
        <w:spacing w:before="0" w:after="120" w:line="288" w:lineRule="auto"/>
        <w:rPr>
          <w:sz w:val="20"/>
          <w:szCs w:val="20"/>
          <w:highlight w:val="cyan"/>
        </w:rPr>
      </w:pPr>
      <w:r w:rsidRPr="001318E4">
        <w:rPr>
          <w:noProof/>
        </w:rPr>
        <w:drawing>
          <wp:inline distT="0" distB="0" distL="0" distR="0" wp14:anchorId="29F7A24F" wp14:editId="1C1A8AFE">
            <wp:extent cx="5972810" cy="3112135"/>
            <wp:effectExtent l="0" t="0" r="0" b="0"/>
            <wp:docPr id="65" name="Graf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71D1" w:rsidRPr="001318E4" w:rsidRDefault="009171D1" w:rsidP="00B1686C">
      <w:pPr>
        <w:pStyle w:val="Nadpis3"/>
        <w:spacing w:before="240" w:after="120" w:line="264" w:lineRule="auto"/>
      </w:pPr>
      <w:bookmarkStart w:id="15" w:name="_Toc525303539"/>
      <w:r w:rsidRPr="001318E4">
        <w:t>Přenosná a mobilní zařízení používaná k přístupu na internet</w:t>
      </w:r>
      <w:bookmarkEnd w:id="15"/>
    </w:p>
    <w:p w:rsidR="009171D1" w:rsidRPr="001318E4" w:rsidRDefault="009171D1" w:rsidP="00B1686C">
      <w:pPr>
        <w:pStyle w:val="Zkladntext"/>
        <w:spacing w:before="0" w:after="80" w:line="264" w:lineRule="auto"/>
        <w:rPr>
          <w:sz w:val="20"/>
          <w:szCs w:val="20"/>
        </w:rPr>
      </w:pPr>
      <w:r w:rsidRPr="001318E4">
        <w:rPr>
          <w:i/>
          <w:sz w:val="20"/>
        </w:rPr>
        <w:t>Mobilní zařízení umožňují snadnější a rychlejší přístup jednotliv</w:t>
      </w:r>
      <w:r w:rsidR="0036231A">
        <w:rPr>
          <w:i/>
          <w:sz w:val="20"/>
        </w:rPr>
        <w:t>ců k velkému množství informací</w:t>
      </w:r>
      <w:r w:rsidRPr="001318E4">
        <w:rPr>
          <w:i/>
          <w:sz w:val="20"/>
        </w:rPr>
        <w:t xml:space="preserve"> téměř kdykoliv a odkudkoli. Mnoho lidí používá internet i mimo domov a pracoviště. Uživatelé internetu navíc nyní k připojení využívají více zařízení. Díky tomu ICT technologie získávají významnější roli ve společnosti a</w:t>
      </w:r>
      <w:r w:rsidR="007D726B">
        <w:rPr>
          <w:i/>
          <w:sz w:val="20"/>
        </w:rPr>
        <w:t> </w:t>
      </w:r>
      <w:r w:rsidRPr="001318E4">
        <w:rPr>
          <w:i/>
          <w:sz w:val="20"/>
        </w:rPr>
        <w:t>pro</w:t>
      </w:r>
      <w:r w:rsidR="007D726B">
        <w:rPr>
          <w:i/>
          <w:sz w:val="20"/>
        </w:rPr>
        <w:t> </w:t>
      </w:r>
      <w:r w:rsidRPr="001318E4">
        <w:rPr>
          <w:i/>
          <w:sz w:val="20"/>
        </w:rPr>
        <w:t>mnoho lidí v ČR i ostatních zemích EU je v současnosti internet běžnou součástí každodenního života.</w:t>
      </w:r>
    </w:p>
    <w:p w:rsidR="009171D1" w:rsidRPr="001318E4" w:rsidRDefault="009171D1" w:rsidP="00B1686C">
      <w:pPr>
        <w:pStyle w:val="Zkladntext"/>
        <w:numPr>
          <w:ilvl w:val="0"/>
          <w:numId w:val="14"/>
        </w:numPr>
        <w:spacing w:before="0" w:after="80" w:line="264" w:lineRule="auto"/>
        <w:ind w:left="357" w:hanging="357"/>
        <w:rPr>
          <w:sz w:val="20"/>
          <w:szCs w:val="20"/>
        </w:rPr>
      </w:pPr>
      <w:r w:rsidRPr="001318E4">
        <w:rPr>
          <w:sz w:val="20"/>
        </w:rPr>
        <w:t>V</w:t>
      </w:r>
      <w:r w:rsidRPr="001318E4">
        <w:rPr>
          <w:sz w:val="20"/>
          <w:szCs w:val="20"/>
        </w:rPr>
        <w:t xml:space="preserve"> roce 2017 poprvé více jak polovina dospělých v Česku uvedla, že používá </w:t>
      </w:r>
      <w:r w:rsidRPr="001318E4">
        <w:rPr>
          <w:b/>
          <w:sz w:val="20"/>
          <w:szCs w:val="20"/>
        </w:rPr>
        <w:t>internet na svém mobilním telefonu</w:t>
      </w:r>
      <w:r w:rsidRPr="001318E4">
        <w:rPr>
          <w:sz w:val="20"/>
          <w:szCs w:val="20"/>
        </w:rPr>
        <w:t>, tj. téměř dvě třetiny uživatelů internetu. Internet na svém mobilním telefonu běžně používají především mladí lidé – v roce 2017 jej ve věku 16 až 24 let používalo téměř devět z deseti osob. Často se na internet přes mobilní telefon připojují také ženy na mateřské či rodičovské dovolené (cca tři čtvrtiny).</w:t>
      </w:r>
    </w:p>
    <w:p w:rsidR="0031346B" w:rsidRPr="0031346B" w:rsidRDefault="0031346B" w:rsidP="0031346B">
      <w:pPr>
        <w:pStyle w:val="Titulek"/>
        <w:keepNext/>
        <w:spacing w:after="0"/>
        <w:jc w:val="both"/>
        <w:rPr>
          <w:color w:val="FFFFFF" w:themeColor="background1"/>
          <w:sz w:val="4"/>
          <w:szCs w:val="4"/>
        </w:rPr>
      </w:pPr>
      <w:bookmarkStart w:id="16" w:name="_Toc524332538"/>
      <w:r w:rsidRPr="0031346B">
        <w:rPr>
          <w:color w:val="FFFFFF" w:themeColor="background1"/>
          <w:sz w:val="4"/>
          <w:szCs w:val="4"/>
        </w:rPr>
        <w:t>Graf C</w:t>
      </w:r>
      <w:r w:rsidRPr="0031346B">
        <w:rPr>
          <w:color w:val="FFFFFF" w:themeColor="background1"/>
          <w:sz w:val="4"/>
          <w:szCs w:val="4"/>
        </w:rPr>
        <w:fldChar w:fldCharType="begin"/>
      </w:r>
      <w:r w:rsidRPr="0031346B">
        <w:rPr>
          <w:color w:val="FFFFFF" w:themeColor="background1"/>
          <w:sz w:val="4"/>
          <w:szCs w:val="4"/>
        </w:rPr>
        <w:instrText xml:space="preserve"> SEQ Graf_C \* ARABIC </w:instrText>
      </w:r>
      <w:r w:rsidRPr="0031346B">
        <w:rPr>
          <w:color w:val="FFFFFF" w:themeColor="background1"/>
          <w:sz w:val="4"/>
          <w:szCs w:val="4"/>
        </w:rPr>
        <w:fldChar w:fldCharType="separate"/>
      </w:r>
      <w:r w:rsidR="001C4EA2">
        <w:rPr>
          <w:noProof/>
          <w:color w:val="FFFFFF" w:themeColor="background1"/>
          <w:sz w:val="4"/>
          <w:szCs w:val="4"/>
        </w:rPr>
        <w:t>9</w:t>
      </w:r>
      <w:r w:rsidRPr="0031346B">
        <w:rPr>
          <w:color w:val="FFFFFF" w:themeColor="background1"/>
          <w:sz w:val="4"/>
          <w:szCs w:val="4"/>
        </w:rPr>
        <w:fldChar w:fldCharType="end"/>
      </w:r>
      <w:r w:rsidRPr="0031346B">
        <w:rPr>
          <w:color w:val="FFFFFF" w:themeColor="background1"/>
          <w:sz w:val="4"/>
          <w:szCs w:val="4"/>
        </w:rPr>
        <w:t xml:space="preserve"> Jednotlivci v Česku ve věku 16 let a starší používající internet na mobilním telefonu</w:t>
      </w:r>
      <w:bookmarkEnd w:id="16"/>
    </w:p>
    <w:p w:rsidR="0031346B" w:rsidRPr="0031346B" w:rsidRDefault="0031346B" w:rsidP="0031346B">
      <w:pPr>
        <w:pStyle w:val="Titulek"/>
        <w:keepNext/>
        <w:spacing w:after="0"/>
        <w:jc w:val="both"/>
        <w:rPr>
          <w:color w:val="FFFFFF" w:themeColor="background1"/>
          <w:sz w:val="4"/>
          <w:szCs w:val="4"/>
        </w:rPr>
      </w:pPr>
      <w:bookmarkStart w:id="17" w:name="_Toc524332539"/>
      <w:r w:rsidRPr="0031346B">
        <w:rPr>
          <w:color w:val="FFFFFF" w:themeColor="background1"/>
          <w:sz w:val="4"/>
          <w:szCs w:val="4"/>
        </w:rPr>
        <w:t>Graf C</w:t>
      </w:r>
      <w:r w:rsidRPr="0031346B">
        <w:rPr>
          <w:color w:val="FFFFFF" w:themeColor="background1"/>
          <w:sz w:val="4"/>
          <w:szCs w:val="4"/>
        </w:rPr>
        <w:fldChar w:fldCharType="begin"/>
      </w:r>
      <w:r w:rsidRPr="0031346B">
        <w:rPr>
          <w:color w:val="FFFFFF" w:themeColor="background1"/>
          <w:sz w:val="4"/>
          <w:szCs w:val="4"/>
        </w:rPr>
        <w:instrText xml:space="preserve"> SEQ Graf_C \* ARABIC </w:instrText>
      </w:r>
      <w:r w:rsidRPr="0031346B">
        <w:rPr>
          <w:color w:val="FFFFFF" w:themeColor="background1"/>
          <w:sz w:val="4"/>
          <w:szCs w:val="4"/>
        </w:rPr>
        <w:fldChar w:fldCharType="separate"/>
      </w:r>
      <w:r w:rsidR="001C4EA2">
        <w:rPr>
          <w:noProof/>
          <w:color w:val="FFFFFF" w:themeColor="background1"/>
          <w:sz w:val="4"/>
          <w:szCs w:val="4"/>
        </w:rPr>
        <w:t>10</w:t>
      </w:r>
      <w:r w:rsidRPr="0031346B">
        <w:rPr>
          <w:color w:val="FFFFFF" w:themeColor="background1"/>
          <w:sz w:val="4"/>
          <w:szCs w:val="4"/>
        </w:rPr>
        <w:fldChar w:fldCharType="end"/>
      </w:r>
      <w:r w:rsidRPr="0031346B">
        <w:rPr>
          <w:color w:val="FFFFFF" w:themeColor="background1"/>
          <w:sz w:val="4"/>
          <w:szCs w:val="4"/>
        </w:rPr>
        <w:t xml:space="preserve"> Jednotlivci v Česku používající internet na mobilním telefonu v roce 2017</w:t>
      </w:r>
      <w:bookmarkEnd w:id="17"/>
    </w:p>
    <w:p w:rsidR="009171D1" w:rsidRPr="001318E4" w:rsidRDefault="009171D1" w:rsidP="009171D1">
      <w:pPr>
        <w:pStyle w:val="Zkladntext"/>
        <w:spacing w:before="120" w:after="120" w:line="288" w:lineRule="auto"/>
        <w:rPr>
          <w:sz w:val="20"/>
          <w:szCs w:val="20"/>
        </w:rPr>
      </w:pPr>
      <w:r w:rsidRPr="001318E4">
        <w:rPr>
          <w:noProof/>
        </w:rPr>
        <w:drawing>
          <wp:inline distT="0" distB="0" distL="0" distR="0" wp14:anchorId="4152E107" wp14:editId="238FB092">
            <wp:extent cx="2952000" cy="3240000"/>
            <wp:effectExtent l="0" t="0" r="1270" b="0"/>
            <wp:docPr id="6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318E4">
        <w:rPr>
          <w:noProof/>
          <w:lang w:eastAsia="en-US"/>
        </w:rPr>
        <w:t xml:space="preserve"> </w:t>
      </w:r>
      <w:r w:rsidRPr="001318E4">
        <w:rPr>
          <w:noProof/>
        </w:rPr>
        <w:drawing>
          <wp:inline distT="0" distB="0" distL="0" distR="0" wp14:anchorId="5A75A183" wp14:editId="6DC1FB93">
            <wp:extent cx="3060000" cy="3240000"/>
            <wp:effectExtent l="0" t="0" r="7620" b="0"/>
            <wp:docPr id="67" name="Graf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lastRenderedPageBreak/>
        <w:t xml:space="preserve">Zatímco využívání mobilního telefonu pro přístup k internetu s </w:t>
      </w:r>
      <w:r w:rsidRPr="001318E4">
        <w:rPr>
          <w:b/>
          <w:sz w:val="20"/>
          <w:szCs w:val="20"/>
        </w:rPr>
        <w:t>věkem rapidně klesá</w:t>
      </w:r>
      <w:r w:rsidRPr="001318E4">
        <w:rPr>
          <w:sz w:val="20"/>
          <w:szCs w:val="20"/>
        </w:rPr>
        <w:t>, u stolního počítače je tomu naopak. Starší lidé se také vyznačují tím, že k internetu přistupují převážně jen z jednoho zařízení, nejčastěji právě ze stolního počítače.</w:t>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Přestože se počet osob v České republice, které se připojují na internet přes mobilní telefon, rok od roku zvyšuje, v porovnání s hodnotami za</w:t>
      </w:r>
      <w:r w:rsidRPr="001318E4">
        <w:rPr>
          <w:b/>
          <w:sz w:val="20"/>
          <w:szCs w:val="20"/>
        </w:rPr>
        <w:t xml:space="preserve"> </w:t>
      </w:r>
      <w:r w:rsidRPr="001318E4">
        <w:rPr>
          <w:sz w:val="20"/>
          <w:szCs w:val="20"/>
        </w:rPr>
        <w:t>většinu zemí</w:t>
      </w:r>
      <w:r w:rsidRPr="001318E4">
        <w:rPr>
          <w:b/>
          <w:sz w:val="20"/>
          <w:szCs w:val="20"/>
        </w:rPr>
        <w:t xml:space="preserve"> EU28</w:t>
      </w:r>
      <w:r w:rsidRPr="001318E4">
        <w:rPr>
          <w:sz w:val="20"/>
          <w:szCs w:val="20"/>
        </w:rPr>
        <w:t xml:space="preserve"> je uživatelů internetu v mobilu stále ještě málo. V roce 2017 v Česku internet na mobilním telefonu používalo 55 % osob ve věku 16 až 74 let, v EU28 to bylo v průměru o 8 p. b. </w:t>
      </w:r>
      <w:proofErr w:type="gramStart"/>
      <w:r w:rsidRPr="001318E4">
        <w:rPr>
          <w:sz w:val="20"/>
          <w:szCs w:val="20"/>
        </w:rPr>
        <w:t>více</w:t>
      </w:r>
      <w:proofErr w:type="gramEnd"/>
      <w:r w:rsidRPr="001318E4">
        <w:rPr>
          <w:sz w:val="20"/>
          <w:szCs w:val="20"/>
        </w:rPr>
        <w:t xml:space="preserve">. </w:t>
      </w:r>
    </w:p>
    <w:p w:rsidR="0031346B" w:rsidRPr="0031346B" w:rsidRDefault="0031346B" w:rsidP="0031346B">
      <w:pPr>
        <w:pStyle w:val="Titulek"/>
        <w:keepNext/>
        <w:spacing w:after="0"/>
        <w:jc w:val="both"/>
        <w:rPr>
          <w:color w:val="FFFFFF" w:themeColor="background1"/>
          <w:sz w:val="4"/>
          <w:szCs w:val="4"/>
        </w:rPr>
      </w:pPr>
      <w:bookmarkStart w:id="18" w:name="_Toc524332540"/>
      <w:r w:rsidRPr="0031346B">
        <w:rPr>
          <w:color w:val="FFFFFF" w:themeColor="background1"/>
          <w:sz w:val="4"/>
          <w:szCs w:val="4"/>
        </w:rPr>
        <w:t>Graf C</w:t>
      </w:r>
      <w:r w:rsidRPr="0031346B">
        <w:rPr>
          <w:color w:val="FFFFFF" w:themeColor="background1"/>
          <w:sz w:val="4"/>
          <w:szCs w:val="4"/>
        </w:rPr>
        <w:fldChar w:fldCharType="begin"/>
      </w:r>
      <w:r w:rsidRPr="0031346B">
        <w:rPr>
          <w:color w:val="FFFFFF" w:themeColor="background1"/>
          <w:sz w:val="4"/>
          <w:szCs w:val="4"/>
        </w:rPr>
        <w:instrText xml:space="preserve"> SEQ Graf_C \* ARABIC </w:instrText>
      </w:r>
      <w:r w:rsidRPr="0031346B">
        <w:rPr>
          <w:color w:val="FFFFFF" w:themeColor="background1"/>
          <w:sz w:val="4"/>
          <w:szCs w:val="4"/>
        </w:rPr>
        <w:fldChar w:fldCharType="separate"/>
      </w:r>
      <w:r w:rsidR="001C4EA2">
        <w:rPr>
          <w:noProof/>
          <w:color w:val="FFFFFF" w:themeColor="background1"/>
          <w:sz w:val="4"/>
          <w:szCs w:val="4"/>
        </w:rPr>
        <w:t>11</w:t>
      </w:r>
      <w:r w:rsidRPr="0031346B">
        <w:rPr>
          <w:color w:val="FFFFFF" w:themeColor="background1"/>
          <w:sz w:val="4"/>
          <w:szCs w:val="4"/>
        </w:rPr>
        <w:fldChar w:fldCharType="end"/>
      </w:r>
      <w:r w:rsidRPr="0031346B">
        <w:rPr>
          <w:color w:val="FFFFFF" w:themeColor="background1"/>
          <w:sz w:val="4"/>
          <w:szCs w:val="4"/>
        </w:rPr>
        <w:t xml:space="preserve"> </w:t>
      </w:r>
      <w:proofErr w:type="spellStart"/>
      <w:r w:rsidRPr="0031346B">
        <w:rPr>
          <w:color w:val="FFFFFF" w:themeColor="background1"/>
          <w:sz w:val="4"/>
          <w:szCs w:val="4"/>
          <w:lang w:val="en-US"/>
        </w:rPr>
        <w:t>Jednotlivci</w:t>
      </w:r>
      <w:proofErr w:type="spellEnd"/>
      <w:r w:rsidRPr="0031346B">
        <w:rPr>
          <w:color w:val="FFFFFF" w:themeColor="background1"/>
          <w:sz w:val="4"/>
          <w:szCs w:val="4"/>
          <w:lang w:val="en-US"/>
        </w:rPr>
        <w:t xml:space="preserve"> v </w:t>
      </w:r>
      <w:proofErr w:type="spellStart"/>
      <w:r w:rsidRPr="0031346B">
        <w:rPr>
          <w:color w:val="FFFFFF" w:themeColor="background1"/>
          <w:sz w:val="4"/>
          <w:szCs w:val="4"/>
          <w:lang w:val="en-US"/>
        </w:rPr>
        <w:t>zemích</w:t>
      </w:r>
      <w:proofErr w:type="spellEnd"/>
      <w:r w:rsidRPr="0031346B">
        <w:rPr>
          <w:color w:val="FFFFFF" w:themeColor="background1"/>
          <w:sz w:val="4"/>
          <w:szCs w:val="4"/>
          <w:lang w:val="en-US"/>
        </w:rPr>
        <w:t xml:space="preserve"> EU </w:t>
      </w:r>
      <w:r w:rsidRPr="0031346B">
        <w:rPr>
          <w:color w:val="FFFFFF" w:themeColor="background1"/>
          <w:sz w:val="4"/>
          <w:szCs w:val="4"/>
        </w:rPr>
        <w:t xml:space="preserve">ve věku 16 až 74 let </w:t>
      </w:r>
      <w:proofErr w:type="spellStart"/>
      <w:r w:rsidRPr="0031346B">
        <w:rPr>
          <w:color w:val="FFFFFF" w:themeColor="background1"/>
          <w:sz w:val="4"/>
          <w:szCs w:val="4"/>
          <w:lang w:val="en-US"/>
        </w:rPr>
        <w:t>používající</w:t>
      </w:r>
      <w:proofErr w:type="spellEnd"/>
      <w:r w:rsidRPr="0031346B">
        <w:rPr>
          <w:color w:val="FFFFFF" w:themeColor="background1"/>
          <w:sz w:val="4"/>
          <w:szCs w:val="4"/>
          <w:lang w:val="en-US"/>
        </w:rPr>
        <w:t xml:space="preserve"> internet</w:t>
      </w:r>
      <w:r w:rsidRPr="0031346B">
        <w:rPr>
          <w:color w:val="FFFFFF" w:themeColor="background1"/>
          <w:sz w:val="4"/>
          <w:szCs w:val="4"/>
        </w:rPr>
        <w:t xml:space="preserve"> na mobilním telefonu</w:t>
      </w:r>
      <w:bookmarkEnd w:id="18"/>
      <w:r w:rsidRPr="0031346B">
        <w:rPr>
          <w:color w:val="FFFFFF" w:themeColor="background1"/>
          <w:sz w:val="4"/>
          <w:szCs w:val="4"/>
          <w:lang w:val="en-US"/>
        </w:rPr>
        <w:t xml:space="preserve"> </w:t>
      </w:r>
    </w:p>
    <w:p w:rsidR="009171D1" w:rsidRPr="001318E4" w:rsidRDefault="009171D1" w:rsidP="009171D1">
      <w:pPr>
        <w:pStyle w:val="Zkladntext"/>
        <w:spacing w:before="120" w:after="120" w:line="288" w:lineRule="auto"/>
        <w:rPr>
          <w:sz w:val="20"/>
          <w:szCs w:val="20"/>
        </w:rPr>
      </w:pPr>
      <w:r w:rsidRPr="001318E4">
        <w:rPr>
          <w:noProof/>
        </w:rPr>
        <w:drawing>
          <wp:inline distT="0" distB="0" distL="0" distR="0" wp14:anchorId="45DD2033" wp14:editId="4F2930A6">
            <wp:extent cx="5972810" cy="3112135"/>
            <wp:effectExtent l="0" t="0" r="0" b="0"/>
            <wp:docPr id="6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Zcela nejvyšší podíl osob používajících internet na mobilním telefonu se nachází ve Švédsku a v Nizozemsku – 84 % v roce 2017. Méně než u nás využívají internet v mobilu kromě Itálie a Polska také např. v Chorvatsku. Na úrovni průměru populace EU ve využívání internetu v mobilu se v ČR drží pouze lidé do 34 let, vysokoškolsky vzdělaní lidé, studenti a ženy na mateřské/rodičovské dovolené.</w:t>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Rozšíření bezdrátového připojení pomocí technologie Wi-Fi na veřejných místech jako jsou knihovny, restaurace, vlaky atd., které je většinou poskytováno bezplatně, stejně jako výše uvedené rozšíření Wi-Fi </w:t>
      </w:r>
      <w:proofErr w:type="spellStart"/>
      <w:r w:rsidRPr="001318E4">
        <w:rPr>
          <w:sz w:val="20"/>
          <w:szCs w:val="20"/>
        </w:rPr>
        <w:t>routerů</w:t>
      </w:r>
      <w:proofErr w:type="spellEnd"/>
      <w:r w:rsidRPr="001318E4">
        <w:rPr>
          <w:sz w:val="20"/>
          <w:szCs w:val="20"/>
        </w:rPr>
        <w:t xml:space="preserve"> pro rozvod internetu v domácnosti, využívá v Česku stále více jednotlivců pro přístup k internetu na svém mobilním telefonu. </w:t>
      </w:r>
      <w:r w:rsidRPr="001318E4">
        <w:rPr>
          <w:b/>
          <w:sz w:val="20"/>
          <w:szCs w:val="20"/>
        </w:rPr>
        <w:t>Bezplatné bezdrátové připojení k internetu</w:t>
      </w:r>
      <w:r w:rsidRPr="001318E4">
        <w:rPr>
          <w:sz w:val="20"/>
          <w:szCs w:val="20"/>
        </w:rPr>
        <w:t xml:space="preserve"> použily v roce 2017 alespoň jednou na svém mobilním telefonu (ať už doma či kdekoliv jinde) čtyři milióny (46 %) osob starších 16 let, tj. 92 % z těch co používají internet na svém mobilním telefonu.</w:t>
      </w:r>
    </w:p>
    <w:p w:rsidR="0031346B" w:rsidRDefault="0031346B" w:rsidP="0031346B">
      <w:pPr>
        <w:pStyle w:val="Titulek"/>
        <w:keepNext/>
        <w:jc w:val="both"/>
        <w:sectPr w:rsidR="0031346B" w:rsidSect="009759AC">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134" w:right="1134" w:bottom="1418" w:left="1134" w:header="680" w:footer="680" w:gutter="0"/>
          <w:pgNumType w:start="27"/>
          <w:cols w:space="708"/>
          <w:docGrid w:linePitch="360"/>
        </w:sectPr>
      </w:pPr>
    </w:p>
    <w:p w:rsidR="0031346B" w:rsidRPr="0031346B" w:rsidRDefault="0031346B" w:rsidP="0031346B">
      <w:pPr>
        <w:pStyle w:val="Titulek"/>
        <w:keepNext/>
        <w:spacing w:after="0"/>
        <w:jc w:val="both"/>
        <w:rPr>
          <w:color w:val="FFFFFF" w:themeColor="background1"/>
          <w:sz w:val="4"/>
          <w:szCs w:val="4"/>
        </w:rPr>
      </w:pPr>
      <w:bookmarkStart w:id="19" w:name="_Toc524332541"/>
      <w:r w:rsidRPr="0031346B">
        <w:rPr>
          <w:color w:val="FFFFFF" w:themeColor="background1"/>
          <w:sz w:val="4"/>
          <w:szCs w:val="4"/>
        </w:rPr>
        <w:lastRenderedPageBreak/>
        <w:t>Graf C</w:t>
      </w:r>
      <w:r w:rsidRPr="0031346B">
        <w:rPr>
          <w:color w:val="FFFFFF" w:themeColor="background1"/>
          <w:sz w:val="4"/>
          <w:szCs w:val="4"/>
        </w:rPr>
        <w:fldChar w:fldCharType="begin"/>
      </w:r>
      <w:r w:rsidRPr="0031346B">
        <w:rPr>
          <w:color w:val="FFFFFF" w:themeColor="background1"/>
          <w:sz w:val="4"/>
          <w:szCs w:val="4"/>
        </w:rPr>
        <w:instrText xml:space="preserve"> SEQ Graf_C \* ARABIC </w:instrText>
      </w:r>
      <w:r w:rsidRPr="0031346B">
        <w:rPr>
          <w:color w:val="FFFFFF" w:themeColor="background1"/>
          <w:sz w:val="4"/>
          <w:szCs w:val="4"/>
        </w:rPr>
        <w:fldChar w:fldCharType="separate"/>
      </w:r>
      <w:r w:rsidR="001C4EA2">
        <w:rPr>
          <w:noProof/>
          <w:color w:val="FFFFFF" w:themeColor="background1"/>
          <w:sz w:val="4"/>
          <w:szCs w:val="4"/>
        </w:rPr>
        <w:t>12</w:t>
      </w:r>
      <w:r w:rsidRPr="0031346B">
        <w:rPr>
          <w:color w:val="FFFFFF" w:themeColor="background1"/>
          <w:sz w:val="4"/>
          <w:szCs w:val="4"/>
        </w:rPr>
        <w:fldChar w:fldCharType="end"/>
      </w:r>
      <w:r w:rsidRPr="0031346B">
        <w:rPr>
          <w:color w:val="FFFFFF" w:themeColor="background1"/>
          <w:sz w:val="4"/>
          <w:szCs w:val="4"/>
        </w:rPr>
        <w:t xml:space="preserve"> Jednotlivci v Česku ve věku 16 let a starší používající mobilní sítě (datový tarif) pro přístup k internetu na mobilu</w:t>
      </w:r>
      <w:bookmarkEnd w:id="19"/>
    </w:p>
    <w:p w:rsidR="0031346B" w:rsidRDefault="009171D1" w:rsidP="009171D1">
      <w:pPr>
        <w:pStyle w:val="Zkladntext"/>
        <w:spacing w:before="120" w:after="120" w:line="288" w:lineRule="auto"/>
      </w:pPr>
      <w:r w:rsidRPr="001318E4">
        <w:rPr>
          <w:noProof/>
        </w:rPr>
        <w:drawing>
          <wp:inline distT="0" distB="0" distL="0" distR="0" wp14:anchorId="7A3C2E43" wp14:editId="71C7B7FF">
            <wp:extent cx="2838450" cy="3171825"/>
            <wp:effectExtent l="0" t="0" r="0" b="9525"/>
            <wp:docPr id="69" name="Graf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318E4">
        <w:rPr>
          <w:noProof/>
          <w:lang w:eastAsia="en-US"/>
        </w:rPr>
        <w:t xml:space="preserve"> </w:t>
      </w:r>
    </w:p>
    <w:p w:rsidR="0031346B" w:rsidRPr="0031346B" w:rsidRDefault="0031346B" w:rsidP="0031346B">
      <w:pPr>
        <w:pStyle w:val="Titulek"/>
        <w:keepNext/>
        <w:spacing w:after="0"/>
        <w:jc w:val="both"/>
        <w:rPr>
          <w:color w:val="FFFFFF" w:themeColor="background1"/>
          <w:sz w:val="4"/>
          <w:szCs w:val="4"/>
        </w:rPr>
      </w:pPr>
      <w:bookmarkStart w:id="20" w:name="_Toc524332542"/>
      <w:r w:rsidRPr="0031346B">
        <w:rPr>
          <w:color w:val="FFFFFF" w:themeColor="background1"/>
          <w:sz w:val="4"/>
          <w:szCs w:val="4"/>
        </w:rPr>
        <w:lastRenderedPageBreak/>
        <w:t>Graf C</w:t>
      </w:r>
      <w:r w:rsidRPr="0031346B">
        <w:rPr>
          <w:color w:val="FFFFFF" w:themeColor="background1"/>
          <w:sz w:val="4"/>
          <w:szCs w:val="4"/>
        </w:rPr>
        <w:fldChar w:fldCharType="begin"/>
      </w:r>
      <w:r w:rsidRPr="0031346B">
        <w:rPr>
          <w:color w:val="FFFFFF" w:themeColor="background1"/>
          <w:sz w:val="4"/>
          <w:szCs w:val="4"/>
        </w:rPr>
        <w:instrText xml:space="preserve"> SEQ Graf_C \* ARABIC </w:instrText>
      </w:r>
      <w:r w:rsidRPr="0031346B">
        <w:rPr>
          <w:color w:val="FFFFFF" w:themeColor="background1"/>
          <w:sz w:val="4"/>
          <w:szCs w:val="4"/>
        </w:rPr>
        <w:fldChar w:fldCharType="separate"/>
      </w:r>
      <w:r w:rsidR="001C4EA2">
        <w:rPr>
          <w:noProof/>
          <w:color w:val="FFFFFF" w:themeColor="background1"/>
          <w:sz w:val="4"/>
          <w:szCs w:val="4"/>
        </w:rPr>
        <w:t>13</w:t>
      </w:r>
      <w:r w:rsidRPr="0031346B">
        <w:rPr>
          <w:color w:val="FFFFFF" w:themeColor="background1"/>
          <w:sz w:val="4"/>
          <w:szCs w:val="4"/>
        </w:rPr>
        <w:fldChar w:fldCharType="end"/>
      </w:r>
      <w:r w:rsidRPr="0031346B">
        <w:rPr>
          <w:color w:val="FFFFFF" w:themeColor="background1"/>
          <w:sz w:val="4"/>
          <w:szCs w:val="4"/>
        </w:rPr>
        <w:t xml:space="preserve"> Jednotlivci v Česku používající pouze Wi-Fi pro přístup k internetu na mobilu v roce 2017</w:t>
      </w:r>
      <w:bookmarkEnd w:id="20"/>
    </w:p>
    <w:p w:rsidR="009171D1" w:rsidRPr="001318E4" w:rsidRDefault="009171D1" w:rsidP="009171D1">
      <w:pPr>
        <w:pStyle w:val="Zkladntext"/>
        <w:spacing w:before="120" w:after="120" w:line="288" w:lineRule="auto"/>
        <w:rPr>
          <w:sz w:val="20"/>
          <w:szCs w:val="20"/>
        </w:rPr>
      </w:pPr>
      <w:r w:rsidRPr="001318E4">
        <w:rPr>
          <w:noProof/>
        </w:rPr>
        <w:drawing>
          <wp:inline distT="0" distB="0" distL="0" distR="0" wp14:anchorId="15EAB4FD" wp14:editId="682E116B">
            <wp:extent cx="3240000" cy="3240000"/>
            <wp:effectExtent l="0" t="0" r="0" b="0"/>
            <wp:docPr id="70" name="Graf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1346B" w:rsidRDefault="0031346B" w:rsidP="00B1686C">
      <w:pPr>
        <w:pStyle w:val="Zkladntext"/>
        <w:numPr>
          <w:ilvl w:val="0"/>
          <w:numId w:val="14"/>
        </w:numPr>
        <w:tabs>
          <w:tab w:val="clear" w:pos="360"/>
          <w:tab w:val="num" w:pos="284"/>
        </w:tabs>
        <w:spacing w:before="0" w:after="80" w:line="264" w:lineRule="auto"/>
        <w:ind w:left="284" w:hanging="284"/>
        <w:rPr>
          <w:b/>
          <w:sz w:val="20"/>
          <w:szCs w:val="20"/>
        </w:rPr>
        <w:sectPr w:rsidR="0031346B" w:rsidSect="0031346B">
          <w:type w:val="continuous"/>
          <w:pgSz w:w="11906" w:h="16838" w:code="9"/>
          <w:pgMar w:top="1134" w:right="1134" w:bottom="1418" w:left="1134" w:header="680" w:footer="680" w:gutter="0"/>
          <w:cols w:num="2" w:space="708"/>
          <w:docGrid w:linePitch="360"/>
        </w:sectPr>
      </w:pP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b/>
          <w:sz w:val="20"/>
          <w:szCs w:val="20"/>
        </w:rPr>
        <w:lastRenderedPageBreak/>
        <w:t>Pouze bezplatné bezdrátové připojení k internetu pomocí Wi-Fi</w:t>
      </w:r>
      <w:r w:rsidRPr="001318E4">
        <w:rPr>
          <w:sz w:val="20"/>
          <w:szCs w:val="20"/>
        </w:rPr>
        <w:t xml:space="preserve"> pak v roce 2016 použilo 28 % osob používajících internet na svém mobilním telefonu. Když už ženy používají internet na svém mobilním telefonu, tak pak častěji než muži používají právě pouze toto připojení.</w:t>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Uživatelé internetu na mobilním telefonu se mohou připojit k síti také pomocí </w:t>
      </w:r>
      <w:r w:rsidRPr="001318E4">
        <w:rPr>
          <w:b/>
          <w:sz w:val="20"/>
          <w:szCs w:val="20"/>
        </w:rPr>
        <w:t>placených dat od mobilních operátorů</w:t>
      </w:r>
      <w:r w:rsidRPr="001318E4">
        <w:rPr>
          <w:sz w:val="20"/>
          <w:szCs w:val="20"/>
        </w:rPr>
        <w:t>. V roce 2017 uvedlo 36 % lidí starších 16 let (72 % z těch co použili internet v mobilu), že pro přístup k internetu na mobilním telefonu používají datový tarif – připojení přes mobilní sítě jejich operátorů. To jim poskytuje možnost připojení z jakéhokoliv místa pokrytého signálem. Také díky klesajícím cenám datových tarifů od mobilních operátorů roste každoročně počet uživatelů mobilních telefonů, kteří se k internetu přes tyto sítě připojují. Za posledních 5 let jejich počet vzrostl téměř pětkrát.</w:t>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Zatímco v dobách, kdy byl internet novinkou, se na něj dalo připojit pouze ze stolního počítače, dnes již existuje celá řada dalších zařízení, která umožňují přístup na internet, a jejich řady se stále rozšiřují. Z přenosných počítačů používali k připojení na internet jeho uživatelé v České republice nejčastěji </w:t>
      </w:r>
      <w:r w:rsidRPr="001318E4">
        <w:rPr>
          <w:b/>
          <w:sz w:val="20"/>
          <w:szCs w:val="20"/>
        </w:rPr>
        <w:t>notebook</w:t>
      </w:r>
      <w:r w:rsidRPr="001318E4">
        <w:rPr>
          <w:sz w:val="20"/>
          <w:szCs w:val="20"/>
        </w:rPr>
        <w:t xml:space="preserve"> (52 % z celkového počtu obyvatel starších 16 let). Internet </w:t>
      </w:r>
      <w:r w:rsidRPr="001318E4">
        <w:rPr>
          <w:b/>
          <w:sz w:val="20"/>
          <w:szCs w:val="20"/>
        </w:rPr>
        <w:t>na tabletu</w:t>
      </w:r>
      <w:r w:rsidRPr="001318E4">
        <w:rPr>
          <w:sz w:val="20"/>
          <w:szCs w:val="20"/>
        </w:rPr>
        <w:t xml:space="preserve"> použilo ve stejném roce 17 % osob 16letých a starších. Používání všech těchto přenosných zařízení k připojení na internet má vzestupnou tendenci. </w:t>
      </w:r>
    </w:p>
    <w:p w:rsidR="0031346B" w:rsidRDefault="0031346B" w:rsidP="0031346B">
      <w:pPr>
        <w:pStyle w:val="Titulek"/>
        <w:keepNext/>
        <w:jc w:val="both"/>
        <w:sectPr w:rsidR="0031346B" w:rsidSect="006D0F31">
          <w:type w:val="continuous"/>
          <w:pgSz w:w="11906" w:h="16838" w:code="9"/>
          <w:pgMar w:top="1134" w:right="1134" w:bottom="1418" w:left="1134" w:header="680" w:footer="680" w:gutter="0"/>
          <w:cols w:space="708"/>
          <w:docGrid w:linePitch="360"/>
        </w:sectPr>
      </w:pPr>
    </w:p>
    <w:p w:rsidR="0031346B" w:rsidRPr="001F71F0" w:rsidRDefault="0031346B" w:rsidP="0031346B">
      <w:pPr>
        <w:pStyle w:val="Titulek"/>
        <w:keepNext/>
        <w:spacing w:after="0"/>
        <w:jc w:val="both"/>
        <w:rPr>
          <w:color w:val="FFFFFF" w:themeColor="background1"/>
          <w:sz w:val="4"/>
          <w:szCs w:val="4"/>
        </w:rPr>
      </w:pPr>
      <w:bookmarkStart w:id="21" w:name="_Toc524332543"/>
      <w:r w:rsidRPr="001F71F0">
        <w:rPr>
          <w:color w:val="FFFFFF" w:themeColor="background1"/>
          <w:sz w:val="4"/>
          <w:szCs w:val="4"/>
        </w:rPr>
        <w:lastRenderedPageBreak/>
        <w:t>Graf C</w:t>
      </w:r>
      <w:r w:rsidRPr="001F71F0">
        <w:rPr>
          <w:color w:val="FFFFFF" w:themeColor="background1"/>
          <w:sz w:val="4"/>
          <w:szCs w:val="4"/>
        </w:rPr>
        <w:fldChar w:fldCharType="begin"/>
      </w:r>
      <w:r w:rsidRPr="001F71F0">
        <w:rPr>
          <w:color w:val="FFFFFF" w:themeColor="background1"/>
          <w:sz w:val="4"/>
          <w:szCs w:val="4"/>
        </w:rPr>
        <w:instrText xml:space="preserve"> SEQ Graf_C \* ARABIC </w:instrText>
      </w:r>
      <w:r w:rsidRPr="001F71F0">
        <w:rPr>
          <w:color w:val="FFFFFF" w:themeColor="background1"/>
          <w:sz w:val="4"/>
          <w:szCs w:val="4"/>
        </w:rPr>
        <w:fldChar w:fldCharType="separate"/>
      </w:r>
      <w:r w:rsidR="001C4EA2">
        <w:rPr>
          <w:noProof/>
          <w:color w:val="FFFFFF" w:themeColor="background1"/>
          <w:sz w:val="4"/>
          <w:szCs w:val="4"/>
        </w:rPr>
        <w:t>14</w:t>
      </w:r>
      <w:r w:rsidRPr="001F71F0">
        <w:rPr>
          <w:color w:val="FFFFFF" w:themeColor="background1"/>
          <w:sz w:val="4"/>
          <w:szCs w:val="4"/>
        </w:rPr>
        <w:fldChar w:fldCharType="end"/>
      </w:r>
      <w:r w:rsidRPr="001F71F0">
        <w:rPr>
          <w:color w:val="FFFFFF" w:themeColor="background1"/>
          <w:sz w:val="4"/>
          <w:szCs w:val="4"/>
        </w:rPr>
        <w:t xml:space="preserve"> Jednotlivci v </w:t>
      </w:r>
      <w:proofErr w:type="gramStart"/>
      <w:r w:rsidRPr="001F71F0">
        <w:rPr>
          <w:color w:val="FFFFFF" w:themeColor="background1"/>
          <w:sz w:val="4"/>
          <w:szCs w:val="4"/>
        </w:rPr>
        <w:t>Česku  ve</w:t>
      </w:r>
      <w:proofErr w:type="gramEnd"/>
      <w:r w:rsidRPr="001F71F0">
        <w:rPr>
          <w:color w:val="FFFFFF" w:themeColor="background1"/>
          <w:sz w:val="4"/>
          <w:szCs w:val="4"/>
        </w:rPr>
        <w:t xml:space="preserve"> věku 16 let a starší  používající internet na notebooku či tabletu mimo domov či práci</w:t>
      </w:r>
      <w:bookmarkEnd w:id="21"/>
    </w:p>
    <w:p w:rsidR="0031346B" w:rsidRDefault="009171D1" w:rsidP="009171D1">
      <w:pPr>
        <w:pStyle w:val="Zkladntext"/>
        <w:spacing w:before="0" w:after="120" w:line="288" w:lineRule="auto"/>
      </w:pPr>
      <w:r w:rsidRPr="001318E4">
        <w:rPr>
          <w:noProof/>
        </w:rPr>
        <w:drawing>
          <wp:inline distT="0" distB="0" distL="0" distR="0" wp14:anchorId="4A5F28F6" wp14:editId="3FB33F35">
            <wp:extent cx="2951480" cy="3239770"/>
            <wp:effectExtent l="0" t="0" r="1270" b="0"/>
            <wp:docPr id="71" name="Graf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1318E4">
        <w:rPr>
          <w:noProof/>
          <w:lang w:eastAsia="en-US"/>
        </w:rPr>
        <w:t xml:space="preserve"> </w:t>
      </w:r>
    </w:p>
    <w:p w:rsidR="0031346B" w:rsidRPr="001F71F0" w:rsidRDefault="0031346B" w:rsidP="0031346B">
      <w:pPr>
        <w:pStyle w:val="Titulek"/>
        <w:keepNext/>
        <w:spacing w:after="0"/>
        <w:jc w:val="both"/>
        <w:rPr>
          <w:color w:val="FFFFFF" w:themeColor="background1"/>
          <w:sz w:val="4"/>
          <w:szCs w:val="4"/>
        </w:rPr>
      </w:pPr>
      <w:bookmarkStart w:id="22" w:name="_Toc524332544"/>
      <w:r w:rsidRPr="001F71F0">
        <w:rPr>
          <w:color w:val="FFFFFF" w:themeColor="background1"/>
          <w:sz w:val="4"/>
          <w:szCs w:val="4"/>
        </w:rPr>
        <w:lastRenderedPageBreak/>
        <w:t>Graf C</w:t>
      </w:r>
      <w:r w:rsidRPr="001F71F0">
        <w:rPr>
          <w:color w:val="FFFFFF" w:themeColor="background1"/>
          <w:sz w:val="4"/>
          <w:szCs w:val="4"/>
        </w:rPr>
        <w:fldChar w:fldCharType="begin"/>
      </w:r>
      <w:r w:rsidRPr="001F71F0">
        <w:rPr>
          <w:color w:val="FFFFFF" w:themeColor="background1"/>
          <w:sz w:val="4"/>
          <w:szCs w:val="4"/>
        </w:rPr>
        <w:instrText xml:space="preserve"> SEQ Graf_C \* ARABIC </w:instrText>
      </w:r>
      <w:r w:rsidRPr="001F71F0">
        <w:rPr>
          <w:color w:val="FFFFFF" w:themeColor="background1"/>
          <w:sz w:val="4"/>
          <w:szCs w:val="4"/>
        </w:rPr>
        <w:fldChar w:fldCharType="separate"/>
      </w:r>
      <w:r w:rsidR="001C4EA2">
        <w:rPr>
          <w:noProof/>
          <w:color w:val="FFFFFF" w:themeColor="background1"/>
          <w:sz w:val="4"/>
          <w:szCs w:val="4"/>
        </w:rPr>
        <w:t>15</w:t>
      </w:r>
      <w:r w:rsidRPr="001F71F0">
        <w:rPr>
          <w:color w:val="FFFFFF" w:themeColor="background1"/>
          <w:sz w:val="4"/>
          <w:szCs w:val="4"/>
        </w:rPr>
        <w:fldChar w:fldCharType="end"/>
      </w:r>
      <w:r w:rsidRPr="001F71F0">
        <w:rPr>
          <w:color w:val="FFFFFF" w:themeColor="background1"/>
          <w:sz w:val="4"/>
          <w:szCs w:val="4"/>
        </w:rPr>
        <w:t xml:space="preserve"> Jednotlivci v Česku používající internet na tabletu v roce 2017</w:t>
      </w:r>
      <w:bookmarkEnd w:id="22"/>
    </w:p>
    <w:p w:rsidR="009171D1" w:rsidRPr="001318E4" w:rsidRDefault="009171D1" w:rsidP="009171D1">
      <w:pPr>
        <w:pStyle w:val="Zkladntext"/>
        <w:spacing w:before="0" w:after="120" w:line="288" w:lineRule="auto"/>
        <w:rPr>
          <w:sz w:val="20"/>
          <w:szCs w:val="20"/>
        </w:rPr>
      </w:pPr>
      <w:r w:rsidRPr="001318E4">
        <w:rPr>
          <w:noProof/>
        </w:rPr>
        <w:drawing>
          <wp:inline distT="0" distB="0" distL="0" distR="0" wp14:anchorId="5A8CA5ED" wp14:editId="60C64E7C">
            <wp:extent cx="3059430" cy="3239770"/>
            <wp:effectExtent l="0" t="0" r="7620" b="0"/>
            <wp:docPr id="72" name="Graf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1346B" w:rsidRDefault="0031346B" w:rsidP="00B1686C">
      <w:pPr>
        <w:pStyle w:val="Zkladntext"/>
        <w:numPr>
          <w:ilvl w:val="0"/>
          <w:numId w:val="14"/>
        </w:numPr>
        <w:tabs>
          <w:tab w:val="clear" w:pos="360"/>
          <w:tab w:val="num" w:pos="284"/>
        </w:tabs>
        <w:spacing w:before="0" w:after="80" w:line="264" w:lineRule="auto"/>
        <w:ind w:left="284" w:hanging="284"/>
        <w:rPr>
          <w:sz w:val="20"/>
          <w:szCs w:val="20"/>
        </w:rPr>
        <w:sectPr w:rsidR="0031346B" w:rsidSect="0031346B">
          <w:type w:val="continuous"/>
          <w:pgSz w:w="11906" w:h="16838" w:code="9"/>
          <w:pgMar w:top="1134" w:right="1134" w:bottom="1418" w:left="1134" w:header="680" w:footer="680" w:gutter="0"/>
          <w:cols w:num="2" w:space="708"/>
          <w:docGrid w:linePitch="360"/>
        </w:sectPr>
      </w:pP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lastRenderedPageBreak/>
        <w:t xml:space="preserve">Pokud má domácnost přístup na internet a vlastní notebook či tablet, předpokládá se, že tento notebook či tablet k přístupu na síť také někdo z rodiny používá. Zdaleka ne všichni ale používají </w:t>
      </w:r>
      <w:r w:rsidRPr="001318E4">
        <w:rPr>
          <w:b/>
          <w:sz w:val="20"/>
          <w:szCs w:val="20"/>
        </w:rPr>
        <w:t>mobilní funkci</w:t>
      </w:r>
      <w:r w:rsidRPr="001318E4">
        <w:rPr>
          <w:sz w:val="20"/>
          <w:szCs w:val="20"/>
        </w:rPr>
        <w:t xml:space="preserve"> svých přenosných zařízení – někteří si nechávají svůj notebook pouze doma či v práci na stole a tablet slouží často jen dětem pro zábavu. Je zde ale i velká skupina osob, která nepoužívá notebook či tablet jen jako náhradu stolního počítače či k přenosu v rámci bytu, ale tyto osoby si jej pořizují také kvůli jejich možnému přenášení mimo domov či kancelář. V roce 2017 uvedlo téměř 30 % jednotlivců v Česku, že svůj notebook nebo tablet použila mimo domov či pracoviště (např. v kavárně, ve vlaku či na hotelu) a připojila se tam na internet – před pěti lety to bylo pouze 12 % jednotlivců.</w:t>
      </w:r>
    </w:p>
    <w:p w:rsidR="009171D1" w:rsidRPr="001318E4" w:rsidRDefault="009171D1" w:rsidP="00B1686C">
      <w:pPr>
        <w:pStyle w:val="Nadpis3"/>
        <w:spacing w:before="240" w:after="120" w:line="264" w:lineRule="auto"/>
      </w:pPr>
      <w:bookmarkStart w:id="23" w:name="_Toc525303540"/>
      <w:r w:rsidRPr="001318E4">
        <w:t>Použití internetu lidmi ve vyšších věkových kategoriích</w:t>
      </w:r>
      <w:bookmarkEnd w:id="23"/>
    </w:p>
    <w:p w:rsidR="009171D1" w:rsidRPr="001318E4" w:rsidRDefault="009171D1" w:rsidP="00B1686C">
      <w:pPr>
        <w:pStyle w:val="Zkladntext"/>
        <w:spacing w:before="0" w:after="80" w:line="264" w:lineRule="auto"/>
        <w:rPr>
          <w:i/>
          <w:sz w:val="20"/>
        </w:rPr>
      </w:pPr>
      <w:r w:rsidRPr="001318E4">
        <w:rPr>
          <w:i/>
          <w:sz w:val="20"/>
        </w:rPr>
        <w:t xml:space="preserve">Prudký nástup informačních technologií a zejména internetu v posledních 20 letech přinesl i fenomén, který nazýváme digitální propastí. Jedná se o zvyšování rozdílů mezi lidmi s přístupem a bez přístupu na internet, resp. </w:t>
      </w:r>
      <w:r w:rsidR="0036231A">
        <w:rPr>
          <w:i/>
          <w:sz w:val="20"/>
        </w:rPr>
        <w:t xml:space="preserve">rozdílů </w:t>
      </w:r>
      <w:r w:rsidRPr="001318E4">
        <w:rPr>
          <w:i/>
          <w:sz w:val="20"/>
        </w:rPr>
        <w:t>ve schopnostech a ochotě internet používat. Jednou ze skupin obyvatelstva, která je touto propastí nejvíce zasažena, jsou lidé ve vyšších věkových kategoriích, tj. především senioři.</w:t>
      </w:r>
    </w:p>
    <w:p w:rsidR="009171D1" w:rsidRPr="001318E4" w:rsidRDefault="009171D1" w:rsidP="00B1686C">
      <w:pPr>
        <w:pStyle w:val="Zkladntext"/>
        <w:numPr>
          <w:ilvl w:val="0"/>
          <w:numId w:val="14"/>
        </w:numPr>
        <w:tabs>
          <w:tab w:val="clear" w:pos="360"/>
        </w:tabs>
        <w:spacing w:before="0" w:after="80" w:line="264" w:lineRule="auto"/>
        <w:ind w:left="284" w:hanging="284"/>
        <w:rPr>
          <w:sz w:val="20"/>
          <w:szCs w:val="20"/>
        </w:rPr>
      </w:pPr>
      <w:r w:rsidRPr="001318E4">
        <w:rPr>
          <w:sz w:val="20"/>
          <w:szCs w:val="20"/>
        </w:rPr>
        <w:t xml:space="preserve">V roce 2017 uvedlo v Česku 60,7 % osob ve </w:t>
      </w:r>
      <w:r w:rsidRPr="001318E4">
        <w:rPr>
          <w:b/>
          <w:sz w:val="20"/>
          <w:szCs w:val="20"/>
        </w:rPr>
        <w:t>věku 55 až 74 let</w:t>
      </w:r>
      <w:r w:rsidRPr="001318E4">
        <w:rPr>
          <w:sz w:val="20"/>
          <w:szCs w:val="20"/>
        </w:rPr>
        <w:t>, že v posledních třech měsících alespoň jednou použily internet, tj. zařadily se mezi tzv. uživatele internetu. V této věkové kategorii každým rokem přibývají pravidelní uživatelé internetu. Naopak ubývá těch, kteří jej nepoužili nikdy. Jestliže v roce 2017 používala nadpoloviční většina osob v tomto věku internet pravidelně a pouze přibližně čtvrtina jej v této věkové kategorii nepoužila nikdy, v roce 2012, tj. před pěti lety, byl tento poměr obrácený (43 % nikdy nepoužilo internet, 36 % jej využívalo pravidelně).</w:t>
      </w:r>
    </w:p>
    <w:p w:rsidR="009171D1" w:rsidRPr="001318E4" w:rsidRDefault="009171D1" w:rsidP="00B1686C">
      <w:pPr>
        <w:pStyle w:val="Zkladntext"/>
        <w:numPr>
          <w:ilvl w:val="0"/>
          <w:numId w:val="14"/>
        </w:numPr>
        <w:tabs>
          <w:tab w:val="clear" w:pos="360"/>
        </w:tabs>
        <w:spacing w:before="0" w:after="80" w:line="264" w:lineRule="auto"/>
        <w:ind w:left="284" w:hanging="284"/>
        <w:rPr>
          <w:sz w:val="20"/>
          <w:szCs w:val="20"/>
        </w:rPr>
      </w:pPr>
      <w:r w:rsidRPr="001318E4">
        <w:rPr>
          <w:sz w:val="20"/>
          <w:szCs w:val="20"/>
        </w:rPr>
        <w:t xml:space="preserve">Ve věkové kategorii 55 až 74 let </w:t>
      </w:r>
      <w:r w:rsidRPr="001318E4">
        <w:rPr>
          <w:b/>
          <w:sz w:val="20"/>
          <w:szCs w:val="20"/>
        </w:rPr>
        <w:t>ženy</w:t>
      </w:r>
      <w:r w:rsidRPr="001318E4">
        <w:rPr>
          <w:sz w:val="20"/>
          <w:szCs w:val="20"/>
        </w:rPr>
        <w:t xml:space="preserve"> postupně ve využívání internetu dohánějí své mužské protějšky, i když je zde stále větší rozdíl než v mladších věkových kategoriích. To, zda osoby v této věkové kategorii používají internet, silně závisí na tom, zda stále pracují a na jejich nejvyšším dokončeném vzdělání – např. 92 % </w:t>
      </w:r>
      <w:r w:rsidRPr="001318E4">
        <w:rPr>
          <w:b/>
          <w:sz w:val="20"/>
          <w:szCs w:val="20"/>
        </w:rPr>
        <w:t>vysokoškolsky</w:t>
      </w:r>
      <w:r w:rsidRPr="001318E4">
        <w:rPr>
          <w:sz w:val="20"/>
          <w:szCs w:val="20"/>
        </w:rPr>
        <w:t xml:space="preserve"> vzdělaných osob internet používá oproti necelé čtvrtině se vzděláním </w:t>
      </w:r>
      <w:r w:rsidRPr="001318E4">
        <w:rPr>
          <w:b/>
          <w:sz w:val="20"/>
          <w:szCs w:val="20"/>
        </w:rPr>
        <w:t>základním</w:t>
      </w:r>
      <w:r w:rsidRPr="001318E4">
        <w:rPr>
          <w:sz w:val="20"/>
          <w:szCs w:val="20"/>
        </w:rPr>
        <w:t>.</w:t>
      </w:r>
    </w:p>
    <w:p w:rsidR="001F71F0" w:rsidRDefault="001F71F0" w:rsidP="001F71F0">
      <w:pPr>
        <w:pStyle w:val="Titulek"/>
        <w:keepNext/>
        <w:jc w:val="both"/>
        <w:sectPr w:rsidR="001F71F0" w:rsidSect="006D0F31">
          <w:type w:val="continuous"/>
          <w:pgSz w:w="11906" w:h="16838" w:code="9"/>
          <w:pgMar w:top="1134" w:right="1134" w:bottom="1418" w:left="1134" w:header="680" w:footer="680" w:gutter="0"/>
          <w:cols w:space="708"/>
          <w:docGrid w:linePitch="360"/>
        </w:sectPr>
      </w:pPr>
    </w:p>
    <w:p w:rsidR="001F71F0" w:rsidRPr="001F71F0" w:rsidRDefault="001F71F0" w:rsidP="001F71F0">
      <w:pPr>
        <w:pStyle w:val="Titulek"/>
        <w:keepNext/>
        <w:spacing w:after="0"/>
        <w:jc w:val="both"/>
        <w:rPr>
          <w:color w:val="FFFFFF" w:themeColor="background1"/>
          <w:sz w:val="4"/>
          <w:szCs w:val="4"/>
        </w:rPr>
      </w:pPr>
      <w:bookmarkStart w:id="24" w:name="_Toc524332545"/>
      <w:r w:rsidRPr="001F71F0">
        <w:rPr>
          <w:color w:val="FFFFFF" w:themeColor="background1"/>
          <w:sz w:val="4"/>
          <w:szCs w:val="4"/>
        </w:rPr>
        <w:lastRenderedPageBreak/>
        <w:t>Graf C</w:t>
      </w:r>
      <w:r w:rsidRPr="001F71F0">
        <w:rPr>
          <w:color w:val="FFFFFF" w:themeColor="background1"/>
          <w:sz w:val="4"/>
          <w:szCs w:val="4"/>
        </w:rPr>
        <w:fldChar w:fldCharType="begin"/>
      </w:r>
      <w:r w:rsidRPr="001F71F0">
        <w:rPr>
          <w:color w:val="FFFFFF" w:themeColor="background1"/>
          <w:sz w:val="4"/>
          <w:szCs w:val="4"/>
        </w:rPr>
        <w:instrText xml:space="preserve"> SEQ Graf_C \* ARABIC </w:instrText>
      </w:r>
      <w:r w:rsidRPr="001F71F0">
        <w:rPr>
          <w:color w:val="FFFFFF" w:themeColor="background1"/>
          <w:sz w:val="4"/>
          <w:szCs w:val="4"/>
        </w:rPr>
        <w:fldChar w:fldCharType="separate"/>
      </w:r>
      <w:r w:rsidR="001C4EA2">
        <w:rPr>
          <w:noProof/>
          <w:color w:val="FFFFFF" w:themeColor="background1"/>
          <w:sz w:val="4"/>
          <w:szCs w:val="4"/>
        </w:rPr>
        <w:t>16</w:t>
      </w:r>
      <w:r w:rsidRPr="001F71F0">
        <w:rPr>
          <w:color w:val="FFFFFF" w:themeColor="background1"/>
          <w:sz w:val="4"/>
          <w:szCs w:val="4"/>
        </w:rPr>
        <w:fldChar w:fldCharType="end"/>
      </w:r>
      <w:r w:rsidRPr="001F71F0">
        <w:rPr>
          <w:color w:val="FFFFFF" w:themeColor="background1"/>
          <w:sz w:val="4"/>
          <w:szCs w:val="4"/>
        </w:rPr>
        <w:t xml:space="preserve"> Uživatelé internetu v Česku </w:t>
      </w:r>
      <w:proofErr w:type="spellStart"/>
      <w:r w:rsidRPr="001F71F0">
        <w:rPr>
          <w:color w:val="FFFFFF" w:themeColor="background1"/>
          <w:sz w:val="4"/>
          <w:szCs w:val="4"/>
          <w:lang w:val="en-US"/>
        </w:rPr>
        <w:t>ve</w:t>
      </w:r>
      <w:proofErr w:type="spellEnd"/>
      <w:r w:rsidRPr="001F71F0">
        <w:rPr>
          <w:color w:val="FFFFFF" w:themeColor="background1"/>
          <w:sz w:val="4"/>
          <w:szCs w:val="4"/>
          <w:lang w:val="en-US"/>
        </w:rPr>
        <w:t xml:space="preserve"> </w:t>
      </w:r>
      <w:proofErr w:type="spellStart"/>
      <w:r w:rsidRPr="001F71F0">
        <w:rPr>
          <w:color w:val="FFFFFF" w:themeColor="background1"/>
          <w:sz w:val="4"/>
          <w:szCs w:val="4"/>
          <w:lang w:val="en-US"/>
        </w:rPr>
        <w:t>věku</w:t>
      </w:r>
      <w:proofErr w:type="spellEnd"/>
      <w:r w:rsidRPr="001F71F0">
        <w:rPr>
          <w:color w:val="FFFFFF" w:themeColor="background1"/>
          <w:sz w:val="4"/>
          <w:szCs w:val="4"/>
          <w:lang w:val="en-US"/>
        </w:rPr>
        <w:t xml:space="preserve"> 55 </w:t>
      </w:r>
      <w:proofErr w:type="spellStart"/>
      <w:r w:rsidRPr="001F71F0">
        <w:rPr>
          <w:color w:val="FFFFFF" w:themeColor="background1"/>
          <w:sz w:val="4"/>
          <w:szCs w:val="4"/>
          <w:lang w:val="en-US"/>
        </w:rPr>
        <w:t>až</w:t>
      </w:r>
      <w:proofErr w:type="spellEnd"/>
      <w:r w:rsidRPr="001F71F0">
        <w:rPr>
          <w:color w:val="FFFFFF" w:themeColor="background1"/>
          <w:sz w:val="4"/>
          <w:szCs w:val="4"/>
          <w:lang w:val="en-US"/>
        </w:rPr>
        <w:t xml:space="preserve"> 74 let </w:t>
      </w:r>
      <w:r w:rsidRPr="001F71F0">
        <w:rPr>
          <w:color w:val="FFFFFF" w:themeColor="background1"/>
          <w:sz w:val="4"/>
          <w:szCs w:val="4"/>
        </w:rPr>
        <w:t>podle pohlaví</w:t>
      </w:r>
      <w:bookmarkEnd w:id="24"/>
    </w:p>
    <w:p w:rsidR="001F71F0" w:rsidRDefault="009171D1" w:rsidP="009171D1">
      <w:pPr>
        <w:pStyle w:val="Zkladntext"/>
        <w:spacing w:before="120" w:after="120" w:line="288" w:lineRule="auto"/>
      </w:pPr>
      <w:r w:rsidRPr="001318E4">
        <w:rPr>
          <w:noProof/>
        </w:rPr>
        <w:drawing>
          <wp:inline distT="0" distB="0" distL="0" distR="0" wp14:anchorId="32BDDFA3" wp14:editId="39393BF8">
            <wp:extent cx="3019425" cy="2876550"/>
            <wp:effectExtent l="0" t="0" r="0" b="0"/>
            <wp:docPr id="73" name="Graf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1318E4">
        <w:rPr>
          <w:noProof/>
          <w:lang w:eastAsia="en-US"/>
        </w:rPr>
        <w:t xml:space="preserve"> </w:t>
      </w:r>
    </w:p>
    <w:p w:rsidR="001F71F0" w:rsidRPr="00FA6197" w:rsidRDefault="001F71F0" w:rsidP="001F71F0">
      <w:pPr>
        <w:pStyle w:val="Titulek"/>
        <w:keepNext/>
        <w:spacing w:after="0"/>
        <w:jc w:val="both"/>
        <w:rPr>
          <w:color w:val="FFFFFF" w:themeColor="background1"/>
          <w:sz w:val="4"/>
          <w:szCs w:val="4"/>
        </w:rPr>
      </w:pPr>
      <w:bookmarkStart w:id="25" w:name="_Toc524332546"/>
      <w:r w:rsidRPr="00FA6197">
        <w:rPr>
          <w:color w:val="FFFFFF" w:themeColor="background1"/>
          <w:sz w:val="4"/>
          <w:szCs w:val="4"/>
        </w:rPr>
        <w:lastRenderedPageBreak/>
        <w:t>Graf C</w:t>
      </w:r>
      <w:r w:rsidRPr="00FA6197">
        <w:rPr>
          <w:color w:val="FFFFFF" w:themeColor="background1"/>
          <w:sz w:val="4"/>
          <w:szCs w:val="4"/>
        </w:rPr>
        <w:fldChar w:fldCharType="begin"/>
      </w:r>
      <w:r w:rsidRPr="00FA6197">
        <w:rPr>
          <w:color w:val="FFFFFF" w:themeColor="background1"/>
          <w:sz w:val="4"/>
          <w:szCs w:val="4"/>
        </w:rPr>
        <w:instrText xml:space="preserve"> SEQ Graf_C \* ARABIC </w:instrText>
      </w:r>
      <w:r w:rsidRPr="00FA6197">
        <w:rPr>
          <w:color w:val="FFFFFF" w:themeColor="background1"/>
          <w:sz w:val="4"/>
          <w:szCs w:val="4"/>
        </w:rPr>
        <w:fldChar w:fldCharType="separate"/>
      </w:r>
      <w:r w:rsidR="001C4EA2" w:rsidRPr="00FA6197">
        <w:rPr>
          <w:noProof/>
          <w:color w:val="FFFFFF" w:themeColor="background1"/>
          <w:sz w:val="4"/>
          <w:szCs w:val="4"/>
        </w:rPr>
        <w:t>17</w:t>
      </w:r>
      <w:r w:rsidRPr="00FA6197">
        <w:rPr>
          <w:color w:val="FFFFFF" w:themeColor="background1"/>
          <w:sz w:val="4"/>
          <w:szCs w:val="4"/>
        </w:rPr>
        <w:fldChar w:fldCharType="end"/>
      </w:r>
      <w:r w:rsidRPr="00FA6197">
        <w:rPr>
          <w:color w:val="FFFFFF" w:themeColor="background1"/>
          <w:sz w:val="4"/>
          <w:szCs w:val="4"/>
        </w:rPr>
        <w:t xml:space="preserve"> Jednotlivci v Česku ve věku 55</w:t>
      </w:r>
      <w:r w:rsidR="00FA6197" w:rsidRPr="00FA6197">
        <w:rPr>
          <w:color w:val="FFFFFF" w:themeColor="background1"/>
          <w:sz w:val="4"/>
          <w:szCs w:val="4"/>
        </w:rPr>
        <w:t xml:space="preserve"> až </w:t>
      </w:r>
      <w:r w:rsidRPr="00FA6197">
        <w:rPr>
          <w:color w:val="FFFFFF" w:themeColor="background1"/>
          <w:sz w:val="4"/>
          <w:szCs w:val="4"/>
        </w:rPr>
        <w:t>74 let používající internet na mobilu v roce 2017</w:t>
      </w:r>
      <w:bookmarkEnd w:id="25"/>
    </w:p>
    <w:p w:rsidR="009171D1" w:rsidRPr="001318E4" w:rsidRDefault="009171D1" w:rsidP="009171D1">
      <w:pPr>
        <w:pStyle w:val="Zkladntext"/>
        <w:spacing w:before="120" w:after="120" w:line="288" w:lineRule="auto"/>
        <w:rPr>
          <w:sz w:val="20"/>
          <w:szCs w:val="20"/>
        </w:rPr>
      </w:pPr>
      <w:r w:rsidRPr="001318E4">
        <w:rPr>
          <w:noProof/>
        </w:rPr>
        <w:drawing>
          <wp:inline distT="0" distB="0" distL="0" distR="0" wp14:anchorId="63BE6512" wp14:editId="1A38446D">
            <wp:extent cx="3060000" cy="2880000"/>
            <wp:effectExtent l="0" t="0" r="7620" b="0"/>
            <wp:docPr id="74" name="Graf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F71F0" w:rsidRDefault="001F71F0" w:rsidP="00B1686C">
      <w:pPr>
        <w:pStyle w:val="Zkladntext"/>
        <w:numPr>
          <w:ilvl w:val="0"/>
          <w:numId w:val="14"/>
        </w:numPr>
        <w:spacing w:before="0" w:after="80" w:line="264" w:lineRule="auto"/>
        <w:ind w:left="357" w:hanging="357"/>
        <w:rPr>
          <w:sz w:val="20"/>
          <w:szCs w:val="20"/>
        </w:rPr>
        <w:sectPr w:rsidR="001F71F0" w:rsidSect="001F71F0">
          <w:type w:val="continuous"/>
          <w:pgSz w:w="11906" w:h="16838" w:code="9"/>
          <w:pgMar w:top="1134" w:right="1134" w:bottom="1418" w:left="1134" w:header="680" w:footer="680" w:gutter="0"/>
          <w:cols w:num="2" w:space="708"/>
          <w:docGrid w:linePitch="360"/>
        </w:sectPr>
      </w:pPr>
    </w:p>
    <w:p w:rsidR="009171D1" w:rsidRPr="001318E4" w:rsidRDefault="009171D1" w:rsidP="00B1686C">
      <w:pPr>
        <w:pStyle w:val="Zkladntext"/>
        <w:numPr>
          <w:ilvl w:val="0"/>
          <w:numId w:val="14"/>
        </w:numPr>
        <w:spacing w:before="0" w:after="80" w:line="264" w:lineRule="auto"/>
        <w:ind w:left="357" w:hanging="357"/>
        <w:rPr>
          <w:sz w:val="20"/>
          <w:szCs w:val="20"/>
        </w:rPr>
      </w:pPr>
      <w:r w:rsidRPr="001318E4">
        <w:rPr>
          <w:sz w:val="20"/>
          <w:szCs w:val="20"/>
        </w:rPr>
        <w:lastRenderedPageBreak/>
        <w:t xml:space="preserve">Jestliže ve věku </w:t>
      </w:r>
      <w:r w:rsidRPr="001318E4">
        <w:rPr>
          <w:b/>
          <w:sz w:val="20"/>
          <w:szCs w:val="20"/>
        </w:rPr>
        <w:t>55 až 64 let</w:t>
      </w:r>
      <w:r w:rsidRPr="001318E4">
        <w:rPr>
          <w:sz w:val="20"/>
          <w:szCs w:val="20"/>
        </w:rPr>
        <w:t xml:space="preserve"> internet používaly již tři čtvrtiny osob v této věkové kategorii, u osob o deset let starších (</w:t>
      </w:r>
      <w:r w:rsidRPr="001318E4">
        <w:rPr>
          <w:b/>
          <w:sz w:val="20"/>
          <w:szCs w:val="20"/>
        </w:rPr>
        <w:t>65 až 74 let</w:t>
      </w:r>
      <w:r w:rsidRPr="001318E4">
        <w:rPr>
          <w:sz w:val="20"/>
          <w:szCs w:val="20"/>
        </w:rPr>
        <w:t xml:space="preserve">) to bylo 45 % a </w:t>
      </w:r>
      <w:r w:rsidRPr="001318E4">
        <w:rPr>
          <w:b/>
          <w:sz w:val="20"/>
          <w:szCs w:val="20"/>
        </w:rPr>
        <w:t>nad 75 let</w:t>
      </w:r>
      <w:r w:rsidRPr="001318E4">
        <w:rPr>
          <w:sz w:val="20"/>
          <w:szCs w:val="20"/>
        </w:rPr>
        <w:t xml:space="preserve"> jen 15 %. Lze předpokládat, že pro osoby starší 65 let využívání internetu není nutností, ale spíše koníčkem a dobrovolnou aktivitou. Ačkoli existuje nespočet iniciativ, které se snaží starší lidi v oblasti počítačové a internetové gramotnosti vzdělávat a jakkoli by mohl být internet pro tyto seniory užitečným pomocníkem, nějakou dobu ještě potrvá, než se internet stane běžnou součástí většiny domácností důchodců. Mnozí z nich patrně nemají chuť seznamovat se s novými technologiemi a cítí k nim přirozenou nedůvěru. U některých zas domnělá složitost ovládání počítače a internetu převáží nad výhodami, které plynou z používání internetu.</w:t>
      </w:r>
      <w:r w:rsidRPr="001318E4" w:rsidDel="00C24885">
        <w:rPr>
          <w:sz w:val="20"/>
          <w:szCs w:val="20"/>
        </w:rPr>
        <w:t xml:space="preserve"> </w:t>
      </w:r>
    </w:p>
    <w:p w:rsidR="009171D1" w:rsidRPr="001318E4" w:rsidRDefault="009171D1" w:rsidP="00B1686C">
      <w:pPr>
        <w:pStyle w:val="Zkladntext"/>
        <w:numPr>
          <w:ilvl w:val="0"/>
          <w:numId w:val="14"/>
        </w:numPr>
        <w:spacing w:before="0" w:after="80" w:line="264" w:lineRule="auto"/>
        <w:ind w:left="357" w:hanging="357"/>
        <w:rPr>
          <w:sz w:val="20"/>
          <w:szCs w:val="20"/>
        </w:rPr>
      </w:pPr>
      <w:r w:rsidRPr="001318E4">
        <w:rPr>
          <w:sz w:val="20"/>
          <w:szCs w:val="20"/>
        </w:rPr>
        <w:t xml:space="preserve">Ze čtyř hlavních zařízení, která jsou pro přístup k internetu populací využívána nejvíce, tedy stolního počítače, notebooku, mobilního telefonu a tabletu, využívají uživatelé internetu v seniorském věku jednoznačně nejvíce </w:t>
      </w:r>
      <w:r w:rsidRPr="001318E4">
        <w:rPr>
          <w:b/>
          <w:sz w:val="20"/>
          <w:szCs w:val="20"/>
        </w:rPr>
        <w:t>stolní počítače</w:t>
      </w:r>
      <w:r w:rsidRPr="001318E4">
        <w:rPr>
          <w:sz w:val="20"/>
          <w:szCs w:val="20"/>
        </w:rPr>
        <w:t>.</w:t>
      </w:r>
    </w:p>
    <w:p w:rsidR="001F71F0" w:rsidRPr="001F71F0" w:rsidRDefault="001F71F0" w:rsidP="001F71F0">
      <w:pPr>
        <w:pStyle w:val="Titulek"/>
        <w:keepNext/>
        <w:spacing w:after="0"/>
        <w:jc w:val="both"/>
        <w:rPr>
          <w:color w:val="FFFFFF" w:themeColor="background1"/>
          <w:sz w:val="4"/>
          <w:szCs w:val="4"/>
        </w:rPr>
      </w:pPr>
      <w:bookmarkStart w:id="26" w:name="_Toc524332547"/>
      <w:r w:rsidRPr="001F71F0">
        <w:rPr>
          <w:color w:val="FFFFFF" w:themeColor="background1"/>
          <w:sz w:val="4"/>
          <w:szCs w:val="4"/>
        </w:rPr>
        <w:t>Graf C</w:t>
      </w:r>
      <w:r w:rsidRPr="001F71F0">
        <w:rPr>
          <w:color w:val="FFFFFF" w:themeColor="background1"/>
          <w:sz w:val="4"/>
          <w:szCs w:val="4"/>
        </w:rPr>
        <w:fldChar w:fldCharType="begin"/>
      </w:r>
      <w:r w:rsidRPr="001F71F0">
        <w:rPr>
          <w:color w:val="FFFFFF" w:themeColor="background1"/>
          <w:sz w:val="4"/>
          <w:szCs w:val="4"/>
        </w:rPr>
        <w:instrText xml:space="preserve"> SEQ Graf_C \* ARABIC </w:instrText>
      </w:r>
      <w:r w:rsidRPr="001F71F0">
        <w:rPr>
          <w:color w:val="FFFFFF" w:themeColor="background1"/>
          <w:sz w:val="4"/>
          <w:szCs w:val="4"/>
        </w:rPr>
        <w:fldChar w:fldCharType="separate"/>
      </w:r>
      <w:r w:rsidR="001C4EA2">
        <w:rPr>
          <w:noProof/>
          <w:color w:val="FFFFFF" w:themeColor="background1"/>
          <w:sz w:val="4"/>
          <w:szCs w:val="4"/>
        </w:rPr>
        <w:t>18</w:t>
      </w:r>
      <w:r w:rsidRPr="001F71F0">
        <w:rPr>
          <w:color w:val="FFFFFF" w:themeColor="background1"/>
          <w:sz w:val="4"/>
          <w:szCs w:val="4"/>
        </w:rPr>
        <w:fldChar w:fldCharType="end"/>
      </w:r>
      <w:r w:rsidRPr="001F71F0">
        <w:rPr>
          <w:color w:val="FFFFFF" w:themeColor="background1"/>
          <w:sz w:val="4"/>
          <w:szCs w:val="4"/>
        </w:rPr>
        <w:t xml:space="preserve"> </w:t>
      </w:r>
      <w:proofErr w:type="spellStart"/>
      <w:r w:rsidRPr="001F71F0">
        <w:rPr>
          <w:color w:val="FFFFFF" w:themeColor="background1"/>
          <w:sz w:val="4"/>
          <w:szCs w:val="4"/>
          <w:lang w:val="en-US"/>
        </w:rPr>
        <w:t>Jednotlivci</w:t>
      </w:r>
      <w:proofErr w:type="spellEnd"/>
      <w:r w:rsidRPr="001F71F0">
        <w:rPr>
          <w:color w:val="FFFFFF" w:themeColor="background1"/>
          <w:sz w:val="4"/>
          <w:szCs w:val="4"/>
          <w:lang w:val="en-US"/>
        </w:rPr>
        <w:t xml:space="preserve"> </w:t>
      </w:r>
      <w:proofErr w:type="spellStart"/>
      <w:r w:rsidRPr="001F71F0">
        <w:rPr>
          <w:color w:val="FFFFFF" w:themeColor="background1"/>
          <w:sz w:val="4"/>
          <w:szCs w:val="4"/>
          <w:lang w:val="en-US"/>
        </w:rPr>
        <w:t>ve</w:t>
      </w:r>
      <w:proofErr w:type="spellEnd"/>
      <w:r w:rsidRPr="001F71F0">
        <w:rPr>
          <w:color w:val="FFFFFF" w:themeColor="background1"/>
          <w:sz w:val="4"/>
          <w:szCs w:val="4"/>
          <w:lang w:val="en-US"/>
        </w:rPr>
        <w:t xml:space="preserve"> </w:t>
      </w:r>
      <w:proofErr w:type="spellStart"/>
      <w:r w:rsidRPr="001F71F0">
        <w:rPr>
          <w:color w:val="FFFFFF" w:themeColor="background1"/>
          <w:sz w:val="4"/>
          <w:szCs w:val="4"/>
          <w:lang w:val="en-US"/>
        </w:rPr>
        <w:t>věku</w:t>
      </w:r>
      <w:proofErr w:type="spellEnd"/>
      <w:r w:rsidRPr="001F71F0">
        <w:rPr>
          <w:color w:val="FFFFFF" w:themeColor="background1"/>
          <w:sz w:val="4"/>
          <w:szCs w:val="4"/>
          <w:lang w:val="en-US"/>
        </w:rPr>
        <w:t xml:space="preserve"> 55 </w:t>
      </w:r>
      <w:proofErr w:type="spellStart"/>
      <w:r w:rsidRPr="001F71F0">
        <w:rPr>
          <w:color w:val="FFFFFF" w:themeColor="background1"/>
          <w:sz w:val="4"/>
          <w:szCs w:val="4"/>
          <w:lang w:val="en-US"/>
        </w:rPr>
        <w:t>až</w:t>
      </w:r>
      <w:proofErr w:type="spellEnd"/>
      <w:r w:rsidRPr="001F71F0">
        <w:rPr>
          <w:color w:val="FFFFFF" w:themeColor="background1"/>
          <w:sz w:val="4"/>
          <w:szCs w:val="4"/>
          <w:lang w:val="en-US"/>
        </w:rPr>
        <w:t xml:space="preserve"> 74 let v </w:t>
      </w:r>
      <w:proofErr w:type="spellStart"/>
      <w:r w:rsidRPr="001F71F0">
        <w:rPr>
          <w:color w:val="FFFFFF" w:themeColor="background1"/>
          <w:sz w:val="4"/>
          <w:szCs w:val="4"/>
          <w:lang w:val="en-US"/>
        </w:rPr>
        <w:t>zemích</w:t>
      </w:r>
      <w:proofErr w:type="spellEnd"/>
      <w:r w:rsidRPr="001F71F0">
        <w:rPr>
          <w:color w:val="FFFFFF" w:themeColor="background1"/>
          <w:sz w:val="4"/>
          <w:szCs w:val="4"/>
          <w:lang w:val="en-US"/>
        </w:rPr>
        <w:t xml:space="preserve"> EU </w:t>
      </w:r>
      <w:proofErr w:type="spellStart"/>
      <w:r w:rsidRPr="001F71F0">
        <w:rPr>
          <w:color w:val="FFFFFF" w:themeColor="background1"/>
          <w:sz w:val="4"/>
          <w:szCs w:val="4"/>
          <w:lang w:val="en-US"/>
        </w:rPr>
        <w:t>používající</w:t>
      </w:r>
      <w:proofErr w:type="spellEnd"/>
      <w:r w:rsidRPr="001F71F0">
        <w:rPr>
          <w:color w:val="FFFFFF" w:themeColor="background1"/>
          <w:sz w:val="4"/>
          <w:szCs w:val="4"/>
          <w:lang w:val="en-US"/>
        </w:rPr>
        <w:t xml:space="preserve"> internet </w:t>
      </w:r>
      <w:proofErr w:type="spellStart"/>
      <w:r w:rsidRPr="001F71F0">
        <w:rPr>
          <w:color w:val="FFFFFF" w:themeColor="background1"/>
          <w:sz w:val="4"/>
          <w:szCs w:val="4"/>
          <w:lang w:val="en-US"/>
        </w:rPr>
        <w:t>na</w:t>
      </w:r>
      <w:proofErr w:type="spellEnd"/>
      <w:r w:rsidRPr="001F71F0">
        <w:rPr>
          <w:color w:val="FFFFFF" w:themeColor="background1"/>
          <w:sz w:val="4"/>
          <w:szCs w:val="4"/>
          <w:lang w:val="en-US"/>
        </w:rPr>
        <w:t xml:space="preserve"> </w:t>
      </w:r>
      <w:proofErr w:type="spellStart"/>
      <w:r w:rsidRPr="001F71F0">
        <w:rPr>
          <w:color w:val="FFFFFF" w:themeColor="background1"/>
          <w:sz w:val="4"/>
          <w:szCs w:val="4"/>
          <w:lang w:val="en-US"/>
        </w:rPr>
        <w:t>mobilním</w:t>
      </w:r>
      <w:proofErr w:type="spellEnd"/>
      <w:r w:rsidRPr="001F71F0">
        <w:rPr>
          <w:color w:val="FFFFFF" w:themeColor="background1"/>
          <w:sz w:val="4"/>
          <w:szCs w:val="4"/>
          <w:lang w:val="en-US"/>
        </w:rPr>
        <w:t xml:space="preserve"> </w:t>
      </w:r>
      <w:proofErr w:type="spellStart"/>
      <w:r w:rsidRPr="001F71F0">
        <w:rPr>
          <w:color w:val="FFFFFF" w:themeColor="background1"/>
          <w:sz w:val="4"/>
          <w:szCs w:val="4"/>
          <w:lang w:val="en-US"/>
        </w:rPr>
        <w:t>telefonu</w:t>
      </w:r>
      <w:bookmarkEnd w:id="26"/>
      <w:proofErr w:type="spellEnd"/>
    </w:p>
    <w:p w:rsidR="009171D1" w:rsidRPr="001318E4" w:rsidRDefault="009171D1" w:rsidP="009171D1">
      <w:pPr>
        <w:pStyle w:val="Zkladntext"/>
        <w:tabs>
          <w:tab w:val="left" w:pos="2694"/>
        </w:tabs>
        <w:spacing w:before="0" w:after="120" w:line="288" w:lineRule="auto"/>
        <w:rPr>
          <w:sz w:val="20"/>
          <w:szCs w:val="20"/>
        </w:rPr>
      </w:pPr>
      <w:r w:rsidRPr="001318E4">
        <w:rPr>
          <w:noProof/>
        </w:rPr>
        <w:drawing>
          <wp:inline distT="0" distB="0" distL="0" distR="0" wp14:anchorId="7BA5B7C0" wp14:editId="1F873CC2">
            <wp:extent cx="5972810" cy="3112135"/>
            <wp:effectExtent l="0" t="0" r="0" b="0"/>
            <wp:docPr id="75" name="Graf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Ještě v roce 2007 byl podíl osob ve věku 55 až 74 let používajících internet o 10 p. b. </w:t>
      </w:r>
      <w:proofErr w:type="gramStart"/>
      <w:r w:rsidRPr="001318E4">
        <w:rPr>
          <w:sz w:val="20"/>
          <w:szCs w:val="20"/>
        </w:rPr>
        <w:t>nižší</w:t>
      </w:r>
      <w:proofErr w:type="gramEnd"/>
      <w:r w:rsidRPr="001318E4">
        <w:rPr>
          <w:sz w:val="20"/>
          <w:szCs w:val="20"/>
        </w:rPr>
        <w:t xml:space="preserve">, než byl </w:t>
      </w:r>
      <w:r w:rsidRPr="001318E4">
        <w:rPr>
          <w:b/>
          <w:sz w:val="20"/>
          <w:szCs w:val="20"/>
        </w:rPr>
        <w:t>průměr EU28</w:t>
      </w:r>
      <w:r w:rsidRPr="001318E4">
        <w:rPr>
          <w:sz w:val="20"/>
          <w:szCs w:val="20"/>
        </w:rPr>
        <w:t xml:space="preserve"> a v případě  českých seniorů ve věku 65 až 74 let jsme se evropským průměrem v oblasti užívání internetu vůbec nemohli srovnávat. Průměrný počet evropských uživatelů internetu mezi 65 a 74 lety byl totiž více než 2krát vyšší než těch českých. V posledních pár letech však čeští senioři </w:t>
      </w:r>
      <w:r w:rsidRPr="001318E4">
        <w:rPr>
          <w:sz w:val="20"/>
          <w:szCs w:val="20"/>
        </w:rPr>
        <w:lastRenderedPageBreak/>
        <w:t xml:space="preserve">náskok evropských vrstevníků téměř dotáhli. V používání internetu jednotlivci ve věku 55 až 74 let byla Česká republika v roce 2017 podobně jako Španělsko </w:t>
      </w:r>
      <w:r w:rsidRPr="001318E4">
        <w:rPr>
          <w:b/>
          <w:sz w:val="20"/>
          <w:szCs w:val="20"/>
        </w:rPr>
        <w:t>těsně pod průměrem EU 28</w:t>
      </w:r>
      <w:r w:rsidRPr="001318E4">
        <w:rPr>
          <w:sz w:val="20"/>
          <w:szCs w:val="20"/>
        </w:rPr>
        <w:t>.</w:t>
      </w:r>
    </w:p>
    <w:p w:rsidR="009171D1" w:rsidRPr="001318E4" w:rsidRDefault="009171D1" w:rsidP="00B1686C">
      <w:pPr>
        <w:pStyle w:val="Zkladntext"/>
        <w:numPr>
          <w:ilvl w:val="0"/>
          <w:numId w:val="14"/>
        </w:numPr>
        <w:spacing w:before="0" w:after="80" w:line="264" w:lineRule="auto"/>
        <w:ind w:left="284" w:hanging="284"/>
        <w:rPr>
          <w:sz w:val="20"/>
          <w:szCs w:val="20"/>
        </w:rPr>
      </w:pPr>
      <w:r w:rsidRPr="001318E4">
        <w:rPr>
          <w:sz w:val="20"/>
          <w:szCs w:val="20"/>
        </w:rPr>
        <w:t xml:space="preserve">Zásadní rozdíl ovšem nastává při pohledu na zařízení, prostřednictvím kterých tyto </w:t>
      </w:r>
      <w:r w:rsidR="0036231A">
        <w:rPr>
          <w:sz w:val="20"/>
          <w:szCs w:val="20"/>
        </w:rPr>
        <w:t>o</w:t>
      </w:r>
      <w:r w:rsidRPr="001318E4">
        <w:rPr>
          <w:sz w:val="20"/>
          <w:szCs w:val="20"/>
        </w:rPr>
        <w:t xml:space="preserve">soby ve věku 55 až 74 let na internet přistupují. V průměru až třetina evropských občanů v této věkové kategorii k tomu využívá </w:t>
      </w:r>
      <w:r w:rsidRPr="001318E4">
        <w:rPr>
          <w:b/>
          <w:sz w:val="20"/>
          <w:szCs w:val="20"/>
        </w:rPr>
        <w:t>mobilní telefon</w:t>
      </w:r>
      <w:r w:rsidRPr="001318E4">
        <w:rPr>
          <w:sz w:val="20"/>
          <w:szCs w:val="20"/>
        </w:rPr>
        <w:t>, v České republice to bylo jen 19 % osob v této věkové skupině. Nejčastěji využívají internet na svém mobilním telefonu lidé ve věku 55 až 74 let v Lucembursku, Švédsku, Nizozemsku či Dánsku.</w:t>
      </w:r>
    </w:p>
    <w:p w:rsidR="009171D1" w:rsidRPr="001318E4" w:rsidRDefault="009171D1" w:rsidP="00B1686C">
      <w:pPr>
        <w:pStyle w:val="Nadpis2"/>
        <w:spacing w:before="240" w:after="120" w:line="264" w:lineRule="auto"/>
      </w:pPr>
      <w:bookmarkStart w:id="27" w:name="_Toc525303541"/>
      <w:r w:rsidRPr="001318E4">
        <w:t>C. 3 Aktivity prováděné jednotlivci na internetu</w:t>
      </w:r>
      <w:bookmarkEnd w:id="27"/>
    </w:p>
    <w:p w:rsidR="009171D1" w:rsidRPr="001318E4" w:rsidRDefault="009171D1" w:rsidP="00B1686C">
      <w:pPr>
        <w:pStyle w:val="Zkladntext"/>
        <w:spacing w:before="0" w:after="80" w:line="264" w:lineRule="auto"/>
        <w:rPr>
          <w:i/>
          <w:sz w:val="20"/>
        </w:rPr>
      </w:pPr>
      <w:r w:rsidRPr="001318E4">
        <w:rPr>
          <w:i/>
          <w:sz w:val="20"/>
        </w:rPr>
        <w:t xml:space="preserve">Stejně jako počet lidí využívajících internet roste i různorodost aktivit, které lidé na internetu dělají. Komunikace, především ta e-mailová, která byla po mnoho let jednou z nejzásadnějších činností na internetu, má dnes mnoho konkurentů. A to nejen v podobně jiných platforem pro komunikaci, jako jsou sociální či profesní sítě. Lidé si v dnešní době přes internet mohou také telefonovat, i když podíl Čechů, kteří by tuto možnost využívali, pravděpodobně v souvislosti se zlevněním tarifů v ČR a hovorů do zahraničí mírně poklesl. </w:t>
      </w:r>
    </w:p>
    <w:p w:rsidR="009171D1" w:rsidRPr="001318E4" w:rsidRDefault="009171D1" w:rsidP="00B1686C">
      <w:pPr>
        <w:pStyle w:val="Zkladntext"/>
        <w:spacing w:before="0" w:after="80" w:line="264" w:lineRule="auto"/>
        <w:rPr>
          <w:i/>
          <w:sz w:val="20"/>
        </w:rPr>
      </w:pPr>
      <w:r w:rsidRPr="001318E4">
        <w:rPr>
          <w:i/>
          <w:sz w:val="20"/>
        </w:rPr>
        <w:t xml:space="preserve">Běžné je v dnešní době také vyhledávat online informace o produktech, službách nebo třeba v souvislosti s cestováním, kdy je internet skutečně nedocenitelným pomocníkem a Češi ho v této souvislosti hojně používají. Vždyť bez internetu by nebyl možný ani takový rozmach sdílené ekonomiky, jejíž využívání je v současné době na vzestupu. </w:t>
      </w:r>
    </w:p>
    <w:p w:rsidR="009171D1" w:rsidRPr="001318E4" w:rsidRDefault="009171D1" w:rsidP="00B1686C">
      <w:pPr>
        <w:pStyle w:val="Zkladntext"/>
        <w:spacing w:before="0" w:after="80" w:line="264" w:lineRule="auto"/>
        <w:rPr>
          <w:i/>
          <w:sz w:val="20"/>
        </w:rPr>
      </w:pPr>
      <w:r w:rsidRPr="001318E4">
        <w:rPr>
          <w:i/>
          <w:sz w:val="20"/>
        </w:rPr>
        <w:t>Na internetu je také možné nakupovat, sledovat své finance či se bavit hraním her, sledováním videí nebo třeba čtením online zpráv, což je mezi Čechy populární. Zatímco na využívání internetu obecně má vliv především věk, příjmy či vzdělání, u aktivit prováděných na internetu vstupuje do hry také kulturní kontext, infrastruktura a dostupnost jednotlivých služeb a aplikací online.</w:t>
      </w:r>
    </w:p>
    <w:p w:rsidR="009171D1" w:rsidRPr="001318E4" w:rsidRDefault="009171D1" w:rsidP="00B1686C">
      <w:pPr>
        <w:pStyle w:val="Nadpis3"/>
        <w:spacing w:before="240" w:after="120" w:line="264" w:lineRule="auto"/>
      </w:pPr>
      <w:bookmarkStart w:id="28" w:name="_Toc525303542"/>
      <w:r w:rsidRPr="001318E4">
        <w:t>Použití internetu ke komunikaci</w:t>
      </w:r>
      <w:bookmarkEnd w:id="28"/>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Téměř všem uživatelům slouží internet již od začátku jeho používání především ke komunikaci. Např.</w:t>
      </w:r>
      <w:r w:rsidR="00580DC8">
        <w:rPr>
          <w:sz w:val="20"/>
          <w:szCs w:val="20"/>
        </w:rPr>
        <w:t> </w:t>
      </w:r>
      <w:r w:rsidRPr="001318E4">
        <w:rPr>
          <w:sz w:val="20"/>
          <w:szCs w:val="20"/>
        </w:rPr>
        <w:t xml:space="preserve">v roce 2017 komunikovalo prostřednictvím </w:t>
      </w:r>
      <w:r w:rsidRPr="001318E4">
        <w:rPr>
          <w:b/>
          <w:sz w:val="20"/>
          <w:szCs w:val="20"/>
        </w:rPr>
        <w:t>elektronické pošty</w:t>
      </w:r>
      <w:r w:rsidRPr="001318E4">
        <w:rPr>
          <w:sz w:val="20"/>
          <w:szCs w:val="20"/>
        </w:rPr>
        <w:t xml:space="preserve"> 73 % populace České republiky ve</w:t>
      </w:r>
      <w:r w:rsidR="00580DC8">
        <w:rPr>
          <w:sz w:val="20"/>
          <w:szCs w:val="20"/>
        </w:rPr>
        <w:t> </w:t>
      </w:r>
      <w:r w:rsidRPr="001318E4">
        <w:rPr>
          <w:sz w:val="20"/>
          <w:szCs w:val="20"/>
        </w:rPr>
        <w:t>věku 16 a více let. To znamená, že posílání a přijímání e-mailů je samozřejmostí již téměř pro</w:t>
      </w:r>
      <w:r w:rsidR="00580DC8">
        <w:rPr>
          <w:sz w:val="20"/>
          <w:szCs w:val="20"/>
        </w:rPr>
        <w:t> </w:t>
      </w:r>
      <w:r w:rsidRPr="001318E4">
        <w:rPr>
          <w:sz w:val="20"/>
          <w:szCs w:val="20"/>
        </w:rPr>
        <w:t>každého, kdo používá internet. Z uživatelů internetu ho nepoužívá pouze 7 % jednotlivců, mezi nimiž se nachází převážně starší osoby a osoby s nižším vzděláním.</w:t>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Vedle emailové komunikace nabývají na významu také internetové aplikace, přes které lze </w:t>
      </w:r>
      <w:r w:rsidRPr="001318E4">
        <w:rPr>
          <w:b/>
          <w:sz w:val="20"/>
          <w:szCs w:val="20"/>
        </w:rPr>
        <w:t>zasílat zprávy</w:t>
      </w:r>
      <w:r w:rsidRPr="001318E4">
        <w:rPr>
          <w:sz w:val="20"/>
          <w:szCs w:val="20"/>
        </w:rPr>
        <w:t xml:space="preserve"> (jako např. </w:t>
      </w:r>
      <w:proofErr w:type="spellStart"/>
      <w:r w:rsidRPr="001318E4">
        <w:rPr>
          <w:sz w:val="20"/>
          <w:szCs w:val="20"/>
        </w:rPr>
        <w:t>WhatsApp</w:t>
      </w:r>
      <w:proofErr w:type="spellEnd"/>
      <w:r w:rsidRPr="001318E4">
        <w:rPr>
          <w:sz w:val="20"/>
          <w:szCs w:val="20"/>
        </w:rPr>
        <w:t xml:space="preserve">, </w:t>
      </w:r>
      <w:proofErr w:type="spellStart"/>
      <w:r w:rsidRPr="001318E4">
        <w:rPr>
          <w:sz w:val="20"/>
          <w:szCs w:val="20"/>
        </w:rPr>
        <w:t>Facebook</w:t>
      </w:r>
      <w:proofErr w:type="spellEnd"/>
      <w:r w:rsidRPr="001318E4">
        <w:rPr>
          <w:sz w:val="20"/>
          <w:szCs w:val="20"/>
        </w:rPr>
        <w:t xml:space="preserve"> Messenger, </w:t>
      </w:r>
      <w:proofErr w:type="spellStart"/>
      <w:r w:rsidRPr="001318E4">
        <w:rPr>
          <w:sz w:val="20"/>
          <w:szCs w:val="20"/>
        </w:rPr>
        <w:t>Viber</w:t>
      </w:r>
      <w:proofErr w:type="spellEnd"/>
      <w:r w:rsidRPr="001318E4">
        <w:rPr>
          <w:sz w:val="20"/>
          <w:szCs w:val="20"/>
        </w:rPr>
        <w:t xml:space="preserve"> apod.). Tyto aplikace jsou nejčastěji používány na mobilním telefonu a tabletu. V roce 2017 je použilo 31 % české populace, a to bez ohledu na zařízení, na kterém byly využity. Používání těchto aplikací je často rychlejší než psaní emailů, představuje také alternativu ke psaní SMS zpráv, oproti kterým má využívání těchto aplikací tu výhodu, že je často bezplatné. Nejvyšší podíl osob využívajících uvedené aplikace lze najít v nejmladší věkové kategorii 16–24 let (63 %). Nicméně i v další věkové skupině (25‒34 let) je podíl uživatelů více než 50 %. S rostoucím věkem nadále klesá. </w:t>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Další způsob internetové komunikace představuje </w:t>
      </w:r>
      <w:r w:rsidRPr="001318E4">
        <w:rPr>
          <w:b/>
          <w:sz w:val="20"/>
          <w:szCs w:val="20"/>
        </w:rPr>
        <w:t>telefonování přes internet</w:t>
      </w:r>
      <w:r w:rsidRPr="001318E4">
        <w:rPr>
          <w:sz w:val="20"/>
          <w:szCs w:val="20"/>
        </w:rPr>
        <w:t xml:space="preserve">. Telefonování přes internetové aplikace, jako je </w:t>
      </w:r>
      <w:proofErr w:type="spellStart"/>
      <w:r w:rsidRPr="001318E4">
        <w:rPr>
          <w:sz w:val="20"/>
          <w:szCs w:val="20"/>
        </w:rPr>
        <w:t>Skype</w:t>
      </w:r>
      <w:proofErr w:type="spellEnd"/>
      <w:r w:rsidRPr="001318E4">
        <w:rPr>
          <w:sz w:val="20"/>
          <w:szCs w:val="20"/>
        </w:rPr>
        <w:t xml:space="preserve"> či </w:t>
      </w:r>
      <w:proofErr w:type="spellStart"/>
      <w:r w:rsidRPr="001318E4">
        <w:rPr>
          <w:sz w:val="20"/>
          <w:szCs w:val="20"/>
        </w:rPr>
        <w:t>WhatsApp</w:t>
      </w:r>
      <w:proofErr w:type="spellEnd"/>
      <w:r w:rsidRPr="001318E4">
        <w:rPr>
          <w:sz w:val="20"/>
          <w:szCs w:val="20"/>
        </w:rPr>
        <w:t>, využívala v Česku v roce 2017 třetina osob, tj. 42 % uživatelů internetu. Tento podíl za poslední roky klesl. Internetové telefonování se díky zlevňování volání přes mobil, vč. volání přes roaming v rámci Evropské unie, stalo méně atraktivní. Od roku 2012, kdy byl v Česku podíl telefonujících přes internet historicky nejvyšší – 37 %, došlo k poklesu na výše zmíněných 33 % v roce 2017.</w:t>
      </w:r>
    </w:p>
    <w:p w:rsidR="009171D1" w:rsidRPr="001318E4" w:rsidRDefault="009171D1" w:rsidP="009171D1">
      <w:pPr>
        <w:spacing w:line="240" w:lineRule="auto"/>
        <w:rPr>
          <w:szCs w:val="20"/>
        </w:rPr>
      </w:pPr>
      <w:r w:rsidRPr="001318E4">
        <w:rPr>
          <w:szCs w:val="20"/>
        </w:rPr>
        <w:br w:type="page"/>
      </w:r>
    </w:p>
    <w:p w:rsidR="009171D1" w:rsidRPr="001318E4" w:rsidRDefault="009171D1" w:rsidP="00B1686C">
      <w:pPr>
        <w:pStyle w:val="Nadpis3"/>
        <w:spacing w:before="240" w:after="120" w:line="264" w:lineRule="auto"/>
      </w:pPr>
      <w:bookmarkStart w:id="29" w:name="_Toc525303543"/>
      <w:r w:rsidRPr="001318E4">
        <w:lastRenderedPageBreak/>
        <w:t>Sociální a profesní sítě a jejich využití jednotlivci</w:t>
      </w:r>
      <w:bookmarkEnd w:id="29"/>
      <w:r w:rsidRPr="001318E4">
        <w:t xml:space="preserve"> </w:t>
      </w:r>
    </w:p>
    <w:p w:rsidR="009171D1" w:rsidRPr="001318E4" w:rsidRDefault="009171D1" w:rsidP="00B1686C">
      <w:pPr>
        <w:pStyle w:val="Zkladntext"/>
        <w:spacing w:before="0" w:after="80" w:line="264" w:lineRule="auto"/>
        <w:rPr>
          <w:i/>
          <w:sz w:val="20"/>
        </w:rPr>
      </w:pPr>
      <w:r w:rsidRPr="001318E4">
        <w:rPr>
          <w:i/>
          <w:sz w:val="20"/>
        </w:rPr>
        <w:t xml:space="preserve">Obrovský rozmach v posledních letech, především u mladších generací, zaznamenaly aktivity na sociálních sítích. Sociální sítě slouží převážně ke sdílení informací, komunikaci a propagaci. Celosvětově se jedná o významný nejen komunikační nástroj. Vedle sociálních sítí existují i sítě profesní (např. </w:t>
      </w:r>
      <w:proofErr w:type="spellStart"/>
      <w:r w:rsidRPr="001318E4">
        <w:rPr>
          <w:i/>
          <w:sz w:val="20"/>
        </w:rPr>
        <w:t>LinkedIn</w:t>
      </w:r>
      <w:proofErr w:type="spellEnd"/>
      <w:r w:rsidRPr="001318E4">
        <w:rPr>
          <w:i/>
          <w:sz w:val="20"/>
        </w:rPr>
        <w:t xml:space="preserve">). Zde je možné si vytvořit elektronický životopis, který lze doplnit referencemi spolupracovníků a nadřízených. Firma může na síti prezentovat např. příspěvky z konferencí. Profesní síť tak slouží jak zájemcům o zaměstnání, tak firmám při hledání vhodných kandidátů na volná pracovní místa. Nespornou výhodou profesních sítí oproti českým stránkám pro zprostředkování zaměstnání je, že často mohou mít mezinárodní dosah. </w:t>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V roce 2017 měly v Česku profil na </w:t>
      </w:r>
      <w:r w:rsidRPr="001318E4">
        <w:rPr>
          <w:b/>
          <w:sz w:val="20"/>
          <w:szCs w:val="20"/>
        </w:rPr>
        <w:t>sociálních sítích</w:t>
      </w:r>
      <w:r w:rsidRPr="001318E4">
        <w:rPr>
          <w:rStyle w:val="Znakapoznpodarou"/>
          <w:b/>
          <w:sz w:val="20"/>
          <w:szCs w:val="20"/>
        </w:rPr>
        <w:footnoteReference w:id="4"/>
      </w:r>
      <w:r w:rsidRPr="001318E4">
        <w:rPr>
          <w:sz w:val="20"/>
          <w:szCs w:val="20"/>
        </w:rPr>
        <w:t xml:space="preserve"> již téměř 4 miliony (44 %) jednotlivců starších 16 let oproti jednomu milionu (10 %) v roce 2010. Na sociálních sítích je aktivní především mladší generace a např. mezi studenty 16+ nemá profil na sociální síti jen 5 % z nich. Naopak u starších osob se sociální sítě takové oblibě zdaleka netěší. </w:t>
      </w:r>
      <w:r w:rsidRPr="001318E4">
        <w:rPr>
          <w:sz w:val="20"/>
        </w:rPr>
        <w:t>Největší nárůst zaznamenal podíl uživatelů sociálních sítí mezi lety 2009 a 2012, kdy vzrostl z hodnoty 5 % na 31 %. Od té doby se růst zpomalil a vykazuje průměrný roční přírůstek 2,6 p. b.</w:t>
      </w:r>
    </w:p>
    <w:p w:rsidR="001F71F0" w:rsidRPr="001F71F0" w:rsidRDefault="001F71F0" w:rsidP="001F71F0">
      <w:pPr>
        <w:pStyle w:val="Titulek"/>
        <w:keepNext/>
        <w:spacing w:after="0"/>
        <w:jc w:val="both"/>
        <w:rPr>
          <w:color w:val="FFFFFF" w:themeColor="background1"/>
          <w:sz w:val="4"/>
          <w:szCs w:val="4"/>
        </w:rPr>
      </w:pPr>
      <w:bookmarkStart w:id="30" w:name="_Toc524332548"/>
      <w:r w:rsidRPr="001F71F0">
        <w:rPr>
          <w:color w:val="FFFFFF" w:themeColor="background1"/>
          <w:sz w:val="4"/>
          <w:szCs w:val="4"/>
        </w:rPr>
        <w:t>Graf C</w:t>
      </w:r>
      <w:r w:rsidRPr="001F71F0">
        <w:rPr>
          <w:color w:val="FFFFFF" w:themeColor="background1"/>
          <w:sz w:val="4"/>
          <w:szCs w:val="4"/>
        </w:rPr>
        <w:fldChar w:fldCharType="begin"/>
      </w:r>
      <w:r w:rsidRPr="001F71F0">
        <w:rPr>
          <w:color w:val="FFFFFF" w:themeColor="background1"/>
          <w:sz w:val="4"/>
          <w:szCs w:val="4"/>
        </w:rPr>
        <w:instrText xml:space="preserve"> SEQ Graf_C \* ARABIC </w:instrText>
      </w:r>
      <w:r w:rsidRPr="001F71F0">
        <w:rPr>
          <w:color w:val="FFFFFF" w:themeColor="background1"/>
          <w:sz w:val="4"/>
          <w:szCs w:val="4"/>
        </w:rPr>
        <w:fldChar w:fldCharType="separate"/>
      </w:r>
      <w:r w:rsidR="001C4EA2">
        <w:rPr>
          <w:noProof/>
          <w:color w:val="FFFFFF" w:themeColor="background1"/>
          <w:sz w:val="4"/>
          <w:szCs w:val="4"/>
        </w:rPr>
        <w:t>19</w:t>
      </w:r>
      <w:r w:rsidRPr="001F71F0">
        <w:rPr>
          <w:color w:val="FFFFFF" w:themeColor="background1"/>
          <w:sz w:val="4"/>
          <w:szCs w:val="4"/>
        </w:rPr>
        <w:fldChar w:fldCharType="end"/>
      </w:r>
      <w:r w:rsidRPr="001F71F0">
        <w:rPr>
          <w:color w:val="FFFFFF" w:themeColor="background1"/>
          <w:sz w:val="4"/>
          <w:szCs w:val="4"/>
        </w:rPr>
        <w:t xml:space="preserve"> Jednotlivci v Česku ve věku 16 let a starší používající na internetu sociální sítě</w:t>
      </w:r>
      <w:bookmarkEnd w:id="30"/>
    </w:p>
    <w:p w:rsidR="001F71F0" w:rsidRPr="001F71F0" w:rsidRDefault="001F71F0" w:rsidP="001F71F0">
      <w:pPr>
        <w:pStyle w:val="Titulek"/>
        <w:keepNext/>
        <w:spacing w:after="0"/>
        <w:jc w:val="both"/>
        <w:rPr>
          <w:color w:val="FFFFFF" w:themeColor="background1"/>
          <w:sz w:val="4"/>
          <w:szCs w:val="4"/>
        </w:rPr>
      </w:pPr>
      <w:bookmarkStart w:id="31" w:name="_Toc524332549"/>
      <w:r w:rsidRPr="001F71F0">
        <w:rPr>
          <w:color w:val="FFFFFF" w:themeColor="background1"/>
          <w:sz w:val="4"/>
          <w:szCs w:val="4"/>
        </w:rPr>
        <w:t>Graf C</w:t>
      </w:r>
      <w:r w:rsidRPr="001F71F0">
        <w:rPr>
          <w:color w:val="FFFFFF" w:themeColor="background1"/>
          <w:sz w:val="4"/>
          <w:szCs w:val="4"/>
        </w:rPr>
        <w:fldChar w:fldCharType="begin"/>
      </w:r>
      <w:r w:rsidRPr="001F71F0">
        <w:rPr>
          <w:color w:val="FFFFFF" w:themeColor="background1"/>
          <w:sz w:val="4"/>
          <w:szCs w:val="4"/>
        </w:rPr>
        <w:instrText xml:space="preserve"> SEQ Graf_C \* ARABIC </w:instrText>
      </w:r>
      <w:r w:rsidRPr="001F71F0">
        <w:rPr>
          <w:color w:val="FFFFFF" w:themeColor="background1"/>
          <w:sz w:val="4"/>
          <w:szCs w:val="4"/>
        </w:rPr>
        <w:fldChar w:fldCharType="separate"/>
      </w:r>
      <w:r w:rsidR="001C4EA2">
        <w:rPr>
          <w:noProof/>
          <w:color w:val="FFFFFF" w:themeColor="background1"/>
          <w:sz w:val="4"/>
          <w:szCs w:val="4"/>
        </w:rPr>
        <w:t>20</w:t>
      </w:r>
      <w:r w:rsidRPr="001F71F0">
        <w:rPr>
          <w:color w:val="FFFFFF" w:themeColor="background1"/>
          <w:sz w:val="4"/>
          <w:szCs w:val="4"/>
        </w:rPr>
        <w:fldChar w:fldCharType="end"/>
      </w:r>
      <w:r w:rsidRPr="001F71F0">
        <w:rPr>
          <w:color w:val="FFFFFF" w:themeColor="background1"/>
          <w:sz w:val="4"/>
          <w:szCs w:val="4"/>
        </w:rPr>
        <w:t xml:space="preserve"> Jednotlivci v Česku používající sociální sítě</w:t>
      </w:r>
      <w:bookmarkEnd w:id="31"/>
    </w:p>
    <w:p w:rsidR="009171D1" w:rsidRPr="001318E4" w:rsidRDefault="009171D1" w:rsidP="009171D1">
      <w:pPr>
        <w:pStyle w:val="Zkladntext"/>
        <w:spacing w:before="120" w:after="120" w:line="288" w:lineRule="auto"/>
        <w:rPr>
          <w:sz w:val="20"/>
          <w:szCs w:val="20"/>
        </w:rPr>
      </w:pPr>
      <w:r w:rsidRPr="001318E4">
        <w:rPr>
          <w:noProof/>
        </w:rPr>
        <w:drawing>
          <wp:inline distT="0" distB="0" distL="0" distR="0" wp14:anchorId="2232A9A2" wp14:editId="0CA26673">
            <wp:extent cx="2952000" cy="3240000"/>
            <wp:effectExtent l="0" t="0" r="1270" b="0"/>
            <wp:docPr id="76" name="Graf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1318E4">
        <w:rPr>
          <w:noProof/>
          <w:lang w:eastAsia="en-US"/>
        </w:rPr>
        <w:t xml:space="preserve"> </w:t>
      </w:r>
      <w:r w:rsidRPr="001318E4">
        <w:rPr>
          <w:noProof/>
        </w:rPr>
        <w:drawing>
          <wp:inline distT="0" distB="0" distL="0" distR="0" wp14:anchorId="4D40FEE7" wp14:editId="517FB570">
            <wp:extent cx="3024000" cy="3240000"/>
            <wp:effectExtent l="0" t="0" r="5080" b="0"/>
            <wp:docPr id="77" name="Graf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34F40" w:rsidRPr="00E34F40" w:rsidRDefault="009171D1" w:rsidP="00E34F40">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Ačkoliv by se mohlo zdát, že používání sociálních sítí je v České republice značně rozšířené, z hlediska </w:t>
      </w:r>
      <w:r w:rsidRPr="001318E4">
        <w:rPr>
          <w:b/>
          <w:sz w:val="20"/>
          <w:szCs w:val="20"/>
        </w:rPr>
        <w:t>mezinárodního srovnání</w:t>
      </w:r>
      <w:r w:rsidRPr="001318E4">
        <w:rPr>
          <w:sz w:val="20"/>
          <w:szCs w:val="20"/>
        </w:rPr>
        <w:t xml:space="preserve"> se Česká republika, s podílem 48 % jednotlivců ve věku 16–74 let v roce 2017, nachází pod průměrem zemí Evropské unie (54 %). U starších osob (55 až 74 let) jsme na tom v mezinárodním srovnání ještě hůře, v tomto případě na poslední příčce žebříčku.</w:t>
      </w:r>
      <w:r w:rsidR="00E34F40">
        <w:rPr>
          <w:sz w:val="20"/>
          <w:szCs w:val="20"/>
        </w:rPr>
        <w:t xml:space="preserve"> </w:t>
      </w:r>
      <w:r w:rsidR="00E34F40" w:rsidRPr="00E34F40">
        <w:rPr>
          <w:sz w:val="20"/>
          <w:szCs w:val="20"/>
        </w:rPr>
        <w:t xml:space="preserve">Mezi mladými </w:t>
      </w:r>
      <w:r w:rsidR="00955F38">
        <w:rPr>
          <w:sz w:val="20"/>
          <w:szCs w:val="20"/>
        </w:rPr>
        <w:br/>
      </w:r>
      <w:r w:rsidR="00E34F40" w:rsidRPr="00E34F40">
        <w:rPr>
          <w:sz w:val="20"/>
          <w:szCs w:val="20"/>
        </w:rPr>
        <w:t>(16</w:t>
      </w:r>
      <w:r w:rsidR="00955F38">
        <w:rPr>
          <w:sz w:val="20"/>
          <w:szCs w:val="20"/>
        </w:rPr>
        <w:t>–</w:t>
      </w:r>
      <w:r w:rsidR="00E34F40" w:rsidRPr="00E34F40">
        <w:rPr>
          <w:sz w:val="20"/>
          <w:szCs w:val="20"/>
        </w:rPr>
        <w:t>29</w:t>
      </w:r>
      <w:r w:rsidR="00955F38">
        <w:rPr>
          <w:sz w:val="20"/>
          <w:szCs w:val="20"/>
        </w:rPr>
        <w:t> </w:t>
      </w:r>
      <w:r w:rsidR="00E34F40" w:rsidRPr="00E34F40">
        <w:rPr>
          <w:sz w:val="20"/>
          <w:szCs w:val="20"/>
        </w:rPr>
        <w:t>let) naopak průměr Unie mírně překračujeme. Není bez zajímavosti, že Česko, společně např.</w:t>
      </w:r>
      <w:r w:rsidR="00955F38">
        <w:rPr>
          <w:sz w:val="20"/>
          <w:szCs w:val="20"/>
        </w:rPr>
        <w:t> </w:t>
      </w:r>
      <w:r w:rsidR="00E34F40" w:rsidRPr="00E34F40">
        <w:rPr>
          <w:sz w:val="20"/>
          <w:szCs w:val="20"/>
        </w:rPr>
        <w:t>s Chorvatskem či Řeckem patří v rámci EU ke státům s největšími rozdíly ve využívání sociálních sítí v závislosti na věku. Relativně nejmenší „propast“ naopak existuje v severských státech a zemích Beneluxu</w:t>
      </w:r>
      <w:r w:rsidR="00E34F40">
        <w:rPr>
          <w:sz w:val="20"/>
          <w:szCs w:val="20"/>
        </w:rPr>
        <w:t>. V</w:t>
      </w:r>
      <w:r w:rsidR="00E34F40" w:rsidRPr="00E34F40">
        <w:rPr>
          <w:sz w:val="20"/>
          <w:szCs w:val="20"/>
        </w:rPr>
        <w:t> pozadí této skutečnosti je relativně vysoká aktivita seniorů a osob v předdůchodovém věku na sociálních sítích v těchto státech.</w:t>
      </w:r>
    </w:p>
    <w:p w:rsidR="009171D1" w:rsidRPr="001318E4" w:rsidRDefault="009171D1" w:rsidP="00E34F40">
      <w:pPr>
        <w:pStyle w:val="Zkladntext"/>
        <w:spacing w:before="0" w:after="80" w:line="264" w:lineRule="auto"/>
        <w:rPr>
          <w:sz w:val="20"/>
          <w:szCs w:val="20"/>
        </w:rPr>
      </w:pPr>
    </w:p>
    <w:p w:rsidR="001F71F0" w:rsidRPr="001F71F0" w:rsidRDefault="001F71F0" w:rsidP="001F71F0">
      <w:pPr>
        <w:pStyle w:val="Titulek"/>
        <w:keepNext/>
        <w:spacing w:after="0"/>
        <w:jc w:val="both"/>
        <w:rPr>
          <w:color w:val="FFFFFF" w:themeColor="background1"/>
          <w:sz w:val="4"/>
          <w:szCs w:val="4"/>
        </w:rPr>
      </w:pPr>
      <w:bookmarkStart w:id="32" w:name="_Toc524332550"/>
      <w:r w:rsidRPr="001F71F0">
        <w:rPr>
          <w:color w:val="FFFFFF" w:themeColor="background1"/>
          <w:sz w:val="4"/>
          <w:szCs w:val="4"/>
        </w:rPr>
        <w:lastRenderedPageBreak/>
        <w:t>Graf C</w:t>
      </w:r>
      <w:r w:rsidRPr="001F71F0">
        <w:rPr>
          <w:color w:val="FFFFFF" w:themeColor="background1"/>
          <w:sz w:val="4"/>
          <w:szCs w:val="4"/>
        </w:rPr>
        <w:fldChar w:fldCharType="begin"/>
      </w:r>
      <w:r w:rsidRPr="001F71F0">
        <w:rPr>
          <w:color w:val="FFFFFF" w:themeColor="background1"/>
          <w:sz w:val="4"/>
          <w:szCs w:val="4"/>
        </w:rPr>
        <w:instrText xml:space="preserve"> SEQ Graf_C \* ARABIC </w:instrText>
      </w:r>
      <w:r w:rsidRPr="001F71F0">
        <w:rPr>
          <w:color w:val="FFFFFF" w:themeColor="background1"/>
          <w:sz w:val="4"/>
          <w:szCs w:val="4"/>
        </w:rPr>
        <w:fldChar w:fldCharType="separate"/>
      </w:r>
      <w:r w:rsidR="001C4EA2">
        <w:rPr>
          <w:noProof/>
          <w:color w:val="FFFFFF" w:themeColor="background1"/>
          <w:sz w:val="4"/>
          <w:szCs w:val="4"/>
        </w:rPr>
        <w:t>21</w:t>
      </w:r>
      <w:r w:rsidRPr="001F71F0">
        <w:rPr>
          <w:color w:val="FFFFFF" w:themeColor="background1"/>
          <w:sz w:val="4"/>
          <w:szCs w:val="4"/>
        </w:rPr>
        <w:fldChar w:fldCharType="end"/>
      </w:r>
      <w:r w:rsidRPr="001F71F0">
        <w:rPr>
          <w:color w:val="FFFFFF" w:themeColor="background1"/>
          <w:sz w:val="4"/>
          <w:szCs w:val="4"/>
        </w:rPr>
        <w:t xml:space="preserve"> </w:t>
      </w:r>
      <w:proofErr w:type="spellStart"/>
      <w:r w:rsidRPr="001F71F0">
        <w:rPr>
          <w:color w:val="FFFFFF" w:themeColor="background1"/>
          <w:sz w:val="4"/>
          <w:szCs w:val="4"/>
          <w:lang w:val="en-US"/>
        </w:rPr>
        <w:t>Jednotlivci</w:t>
      </w:r>
      <w:proofErr w:type="spellEnd"/>
      <w:r w:rsidRPr="001F71F0">
        <w:rPr>
          <w:color w:val="FFFFFF" w:themeColor="background1"/>
          <w:sz w:val="4"/>
          <w:szCs w:val="4"/>
          <w:lang w:val="en-US"/>
        </w:rPr>
        <w:t xml:space="preserve"> v </w:t>
      </w:r>
      <w:proofErr w:type="spellStart"/>
      <w:r w:rsidRPr="001F71F0">
        <w:rPr>
          <w:color w:val="FFFFFF" w:themeColor="background1"/>
          <w:sz w:val="4"/>
          <w:szCs w:val="4"/>
          <w:lang w:val="en-US"/>
        </w:rPr>
        <w:t>zemích</w:t>
      </w:r>
      <w:proofErr w:type="spellEnd"/>
      <w:r w:rsidRPr="001F71F0">
        <w:rPr>
          <w:color w:val="FFFFFF" w:themeColor="background1"/>
          <w:sz w:val="4"/>
          <w:szCs w:val="4"/>
          <w:lang w:val="en-US"/>
        </w:rPr>
        <w:t xml:space="preserve"> EU </w:t>
      </w:r>
      <w:r w:rsidRPr="001F71F0">
        <w:rPr>
          <w:color w:val="FFFFFF" w:themeColor="background1"/>
          <w:sz w:val="4"/>
          <w:szCs w:val="4"/>
        </w:rPr>
        <w:t xml:space="preserve">ve vybraných věkových skupinách </w:t>
      </w:r>
      <w:proofErr w:type="spellStart"/>
      <w:r w:rsidRPr="001F71F0">
        <w:rPr>
          <w:color w:val="FFFFFF" w:themeColor="background1"/>
          <w:sz w:val="4"/>
          <w:szCs w:val="4"/>
          <w:lang w:val="en-US"/>
        </w:rPr>
        <w:t>používající</w:t>
      </w:r>
      <w:proofErr w:type="spellEnd"/>
      <w:r w:rsidRPr="001F71F0">
        <w:rPr>
          <w:color w:val="FFFFFF" w:themeColor="background1"/>
          <w:sz w:val="4"/>
          <w:szCs w:val="4"/>
          <w:lang w:val="en-US"/>
        </w:rPr>
        <w:t xml:space="preserve"> </w:t>
      </w:r>
      <w:r w:rsidRPr="001F71F0">
        <w:rPr>
          <w:color w:val="FFFFFF" w:themeColor="background1"/>
          <w:sz w:val="4"/>
          <w:szCs w:val="4"/>
        </w:rPr>
        <w:t>sociální sítě v roce 2017</w:t>
      </w:r>
      <w:bookmarkEnd w:id="32"/>
    </w:p>
    <w:p w:rsidR="009171D1" w:rsidRPr="001318E4" w:rsidRDefault="009171D1" w:rsidP="009171D1">
      <w:pPr>
        <w:pStyle w:val="Zkladntext"/>
        <w:spacing w:before="0" w:after="120" w:line="288" w:lineRule="auto"/>
        <w:rPr>
          <w:sz w:val="20"/>
          <w:szCs w:val="20"/>
        </w:rPr>
      </w:pPr>
      <w:r w:rsidRPr="001318E4">
        <w:rPr>
          <w:noProof/>
        </w:rPr>
        <w:drawing>
          <wp:inline distT="0" distB="0" distL="0" distR="0" wp14:anchorId="2B607B81" wp14:editId="2F6EDA55">
            <wp:extent cx="5972810" cy="3041015"/>
            <wp:effectExtent l="0" t="0" r="0" b="0"/>
            <wp:docPr id="78" name="Graf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V roce 2017 použila v České republice </w:t>
      </w:r>
      <w:r w:rsidRPr="001318E4">
        <w:rPr>
          <w:b/>
          <w:sz w:val="20"/>
          <w:szCs w:val="20"/>
        </w:rPr>
        <w:t>profesní sítě</w:t>
      </w:r>
      <w:r w:rsidRPr="001318E4">
        <w:rPr>
          <w:sz w:val="20"/>
          <w:szCs w:val="20"/>
        </w:rPr>
        <w:t xml:space="preserve"> 4 % dospělé populace. Jedná se zejména o vysokoškolsky vzdělané osoby (11,5 %). Co se týče věku, nejvyšší podíly uživatelů jsou ve věkových kategoriích od 16 do 44 let. Z hlediska ekonomické aktivity je relativně nejvyšší procento uživatelů mezi studenty (7 %), kteří ve srovnání se staršími osobami sice nemají tolik pracovních zkušeností, nicméně tento způsob hledání zaměstnání si již osvojili.</w:t>
      </w:r>
    </w:p>
    <w:p w:rsidR="009171D1" w:rsidRPr="001318E4" w:rsidRDefault="009171D1" w:rsidP="00B1686C">
      <w:pPr>
        <w:pStyle w:val="Nadpis3"/>
        <w:spacing w:before="240" w:after="120" w:line="264" w:lineRule="auto"/>
      </w:pPr>
      <w:bookmarkStart w:id="33" w:name="_Toc525303544"/>
      <w:r w:rsidRPr="001318E4">
        <w:t>Používání internetu pro zábavu</w:t>
      </w:r>
      <w:bookmarkEnd w:id="33"/>
      <w:r w:rsidRPr="001318E4">
        <w:t xml:space="preserve"> </w:t>
      </w:r>
    </w:p>
    <w:p w:rsidR="009171D1" w:rsidRPr="001318E4" w:rsidRDefault="009171D1" w:rsidP="00B1686C">
      <w:pPr>
        <w:pStyle w:val="Zkladntext"/>
        <w:spacing w:before="0" w:afterLines="80" w:after="192" w:line="264" w:lineRule="auto"/>
        <w:rPr>
          <w:i/>
          <w:sz w:val="20"/>
        </w:rPr>
      </w:pPr>
      <w:r w:rsidRPr="001318E4">
        <w:rPr>
          <w:i/>
          <w:sz w:val="20"/>
        </w:rPr>
        <w:t>Internet nabízí celou řadu aktivit k trávení volného času, kterých dnešní digitální společnost v hojné míře využívá. Nejvíce (celkově i podle počtu různých druhů) se zábavě na internetu věnují studenti.</w:t>
      </w:r>
    </w:p>
    <w:p w:rsidR="009171D1" w:rsidRPr="001318E4" w:rsidRDefault="009171D1" w:rsidP="00B1686C">
      <w:pPr>
        <w:pStyle w:val="Zkladntext"/>
        <w:numPr>
          <w:ilvl w:val="0"/>
          <w:numId w:val="14"/>
        </w:numPr>
        <w:tabs>
          <w:tab w:val="clear" w:pos="360"/>
          <w:tab w:val="num" w:pos="284"/>
        </w:tabs>
        <w:spacing w:before="0" w:afterLines="80" w:after="192" w:line="264" w:lineRule="auto"/>
        <w:ind w:left="284" w:hanging="284"/>
        <w:rPr>
          <w:sz w:val="20"/>
          <w:szCs w:val="20"/>
        </w:rPr>
      </w:pPr>
      <w:r w:rsidRPr="001318E4">
        <w:rPr>
          <w:sz w:val="20"/>
          <w:szCs w:val="20"/>
        </w:rPr>
        <w:t xml:space="preserve">Snad nejrozšířenějším příkladem volnočasové aktivity na internetu je kromě komunikace </w:t>
      </w:r>
      <w:r w:rsidRPr="001318E4">
        <w:rPr>
          <w:b/>
          <w:sz w:val="20"/>
          <w:szCs w:val="20"/>
        </w:rPr>
        <w:t>čtení online zpráv</w:t>
      </w:r>
      <w:r w:rsidRPr="001318E4">
        <w:rPr>
          <w:sz w:val="20"/>
          <w:szCs w:val="20"/>
        </w:rPr>
        <w:t xml:space="preserve"> zahrnující internetové zpravodajství, noviny a časopisy. Z celkové populace se této aktivitě v roce 2017 v Česku věnovalo 71 % jednotlivců (z uživatelů internetu je to 91 %). Mezi důchodci je to každý třetí. Pokud se množina zúží na důchodce používající internet, podíl se rázem vyšplhá rovněž na 90 %, což svědčí o oblíbenosti tohoto druhu volnočasové aktivity i mezi starší populací.</w:t>
      </w:r>
    </w:p>
    <w:p w:rsidR="009171D1" w:rsidRPr="001318E4" w:rsidRDefault="009171D1" w:rsidP="00B1686C">
      <w:pPr>
        <w:pStyle w:val="Zkladntext"/>
        <w:numPr>
          <w:ilvl w:val="0"/>
          <w:numId w:val="14"/>
        </w:numPr>
        <w:tabs>
          <w:tab w:val="clear" w:pos="360"/>
          <w:tab w:val="num" w:pos="284"/>
        </w:tabs>
        <w:spacing w:before="0" w:afterLines="80" w:after="192" w:line="264" w:lineRule="auto"/>
        <w:ind w:left="284" w:hanging="284"/>
        <w:rPr>
          <w:sz w:val="20"/>
          <w:szCs w:val="20"/>
        </w:rPr>
      </w:pPr>
      <w:r w:rsidRPr="001318E4">
        <w:rPr>
          <w:sz w:val="20"/>
          <w:szCs w:val="20"/>
        </w:rPr>
        <w:t xml:space="preserve">Podíl Čechů, kteří čtou zprávy či časopisy na internetu, byl v roce 2017 </w:t>
      </w:r>
      <w:r w:rsidRPr="001318E4">
        <w:rPr>
          <w:b/>
          <w:sz w:val="20"/>
          <w:szCs w:val="20"/>
        </w:rPr>
        <w:t>šestý nejvyšší v rámci EU</w:t>
      </w:r>
      <w:r w:rsidRPr="001318E4">
        <w:rPr>
          <w:sz w:val="20"/>
          <w:szCs w:val="20"/>
        </w:rPr>
        <w:t xml:space="preserve">, vysoko nad unijním průměrem. Čtení zpráv na internetu je kromě např. skandinávských zemí, hodně rozšířeno také v Lucembursku, Estonsku či právě v Česku. </w:t>
      </w:r>
    </w:p>
    <w:p w:rsidR="009171D1" w:rsidRPr="001318E4" w:rsidRDefault="009171D1" w:rsidP="00B1686C">
      <w:pPr>
        <w:pStyle w:val="Zkladntext"/>
        <w:numPr>
          <w:ilvl w:val="0"/>
          <w:numId w:val="14"/>
        </w:numPr>
        <w:tabs>
          <w:tab w:val="num" w:pos="284"/>
        </w:tabs>
        <w:spacing w:before="0" w:afterLines="80" w:after="192" w:line="264" w:lineRule="auto"/>
        <w:ind w:left="284" w:hanging="284"/>
        <w:rPr>
          <w:sz w:val="20"/>
          <w:szCs w:val="20"/>
        </w:rPr>
      </w:pPr>
      <w:r w:rsidRPr="001318E4">
        <w:rPr>
          <w:sz w:val="20"/>
          <w:szCs w:val="20"/>
        </w:rPr>
        <w:t xml:space="preserve">Další činnost na internetu využívanou k trávení volného času představuje </w:t>
      </w:r>
      <w:r w:rsidRPr="001318E4">
        <w:rPr>
          <w:b/>
          <w:sz w:val="20"/>
          <w:szCs w:val="20"/>
        </w:rPr>
        <w:t>hraní a stahování her</w:t>
      </w:r>
      <w:r w:rsidRPr="001318E4">
        <w:rPr>
          <w:sz w:val="20"/>
          <w:szCs w:val="20"/>
        </w:rPr>
        <w:t>. Historie hraní počítačových her sahá daleko před vznik internetu. Nicméně s jeho příchodem došlo ke zvětšení nabídky počítačových her a spolu s jeho rozšířením i k růstu hráčské základny.</w:t>
      </w:r>
    </w:p>
    <w:p w:rsidR="001F71F0" w:rsidRDefault="001F71F0" w:rsidP="001F71F0">
      <w:pPr>
        <w:pStyle w:val="Titulek"/>
        <w:keepNext/>
        <w:jc w:val="both"/>
        <w:sectPr w:rsidR="001F71F0" w:rsidSect="006D0F31">
          <w:type w:val="continuous"/>
          <w:pgSz w:w="11906" w:h="16838" w:code="9"/>
          <w:pgMar w:top="1134" w:right="1134" w:bottom="1418" w:left="1134" w:header="680" w:footer="680" w:gutter="0"/>
          <w:cols w:space="708"/>
          <w:docGrid w:linePitch="360"/>
        </w:sectPr>
      </w:pPr>
    </w:p>
    <w:p w:rsidR="001F71F0" w:rsidRPr="001F71F0" w:rsidRDefault="001F71F0" w:rsidP="001F71F0">
      <w:pPr>
        <w:pStyle w:val="Titulek"/>
        <w:keepNext/>
        <w:spacing w:after="0"/>
        <w:jc w:val="both"/>
        <w:rPr>
          <w:color w:val="FFFFFF" w:themeColor="background1"/>
          <w:sz w:val="4"/>
          <w:szCs w:val="4"/>
        </w:rPr>
      </w:pPr>
      <w:bookmarkStart w:id="34" w:name="_Toc524332551"/>
      <w:r w:rsidRPr="001F71F0">
        <w:rPr>
          <w:color w:val="FFFFFF" w:themeColor="background1"/>
          <w:sz w:val="4"/>
          <w:szCs w:val="4"/>
        </w:rPr>
        <w:lastRenderedPageBreak/>
        <w:t>Graf C</w:t>
      </w:r>
      <w:r w:rsidRPr="001F71F0">
        <w:rPr>
          <w:color w:val="FFFFFF" w:themeColor="background1"/>
          <w:sz w:val="4"/>
          <w:szCs w:val="4"/>
        </w:rPr>
        <w:fldChar w:fldCharType="begin"/>
      </w:r>
      <w:r w:rsidRPr="001F71F0">
        <w:rPr>
          <w:color w:val="FFFFFF" w:themeColor="background1"/>
          <w:sz w:val="4"/>
          <w:szCs w:val="4"/>
        </w:rPr>
        <w:instrText xml:space="preserve"> SEQ Graf_C \* ARABIC </w:instrText>
      </w:r>
      <w:r w:rsidRPr="001F71F0">
        <w:rPr>
          <w:color w:val="FFFFFF" w:themeColor="background1"/>
          <w:sz w:val="4"/>
          <w:szCs w:val="4"/>
        </w:rPr>
        <w:fldChar w:fldCharType="separate"/>
      </w:r>
      <w:r w:rsidR="001C4EA2">
        <w:rPr>
          <w:noProof/>
          <w:color w:val="FFFFFF" w:themeColor="background1"/>
          <w:sz w:val="4"/>
          <w:szCs w:val="4"/>
        </w:rPr>
        <w:t>22</w:t>
      </w:r>
      <w:r w:rsidRPr="001F71F0">
        <w:rPr>
          <w:color w:val="FFFFFF" w:themeColor="background1"/>
          <w:sz w:val="4"/>
          <w:szCs w:val="4"/>
        </w:rPr>
        <w:fldChar w:fldCharType="end"/>
      </w:r>
      <w:r w:rsidRPr="001F71F0">
        <w:rPr>
          <w:color w:val="FFFFFF" w:themeColor="background1"/>
          <w:sz w:val="4"/>
          <w:szCs w:val="4"/>
        </w:rPr>
        <w:t xml:space="preserve"> Jednotlivci v Česku čtoucí zprávy na internetu v roce 2017</w:t>
      </w:r>
      <w:bookmarkEnd w:id="34"/>
    </w:p>
    <w:p w:rsidR="001F71F0" w:rsidRDefault="009171D1" w:rsidP="009171D1">
      <w:pPr>
        <w:pStyle w:val="Zkladntext"/>
        <w:spacing w:before="0" w:after="120" w:line="288" w:lineRule="auto"/>
      </w:pPr>
      <w:r w:rsidRPr="001318E4">
        <w:rPr>
          <w:noProof/>
        </w:rPr>
        <w:drawing>
          <wp:inline distT="0" distB="0" distL="0" distR="0" wp14:anchorId="4ABAB9E2" wp14:editId="7879E61E">
            <wp:extent cx="3024000" cy="3238500"/>
            <wp:effectExtent l="0" t="0" r="5080" b="0"/>
            <wp:docPr id="79" name="Graf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318E4">
        <w:rPr>
          <w:noProof/>
          <w:lang w:eastAsia="en-US"/>
        </w:rPr>
        <w:t xml:space="preserve"> </w:t>
      </w:r>
    </w:p>
    <w:p w:rsidR="001F71F0" w:rsidRPr="001F71F0" w:rsidRDefault="001F71F0" w:rsidP="001F71F0">
      <w:pPr>
        <w:pStyle w:val="Titulek"/>
        <w:keepNext/>
        <w:spacing w:after="0"/>
        <w:jc w:val="both"/>
        <w:rPr>
          <w:color w:val="FFFFFF" w:themeColor="background1"/>
          <w:sz w:val="4"/>
          <w:szCs w:val="4"/>
        </w:rPr>
      </w:pPr>
      <w:bookmarkStart w:id="35" w:name="_Toc524332552"/>
      <w:r w:rsidRPr="001F71F0">
        <w:rPr>
          <w:color w:val="FFFFFF" w:themeColor="background1"/>
          <w:sz w:val="4"/>
          <w:szCs w:val="4"/>
        </w:rPr>
        <w:lastRenderedPageBreak/>
        <w:t>Graf C</w:t>
      </w:r>
      <w:r w:rsidRPr="001F71F0">
        <w:rPr>
          <w:color w:val="FFFFFF" w:themeColor="background1"/>
          <w:sz w:val="4"/>
          <w:szCs w:val="4"/>
        </w:rPr>
        <w:fldChar w:fldCharType="begin"/>
      </w:r>
      <w:r w:rsidRPr="001F71F0">
        <w:rPr>
          <w:color w:val="FFFFFF" w:themeColor="background1"/>
          <w:sz w:val="4"/>
          <w:szCs w:val="4"/>
        </w:rPr>
        <w:instrText xml:space="preserve"> SEQ Graf_C \* ARABIC </w:instrText>
      </w:r>
      <w:r w:rsidRPr="001F71F0">
        <w:rPr>
          <w:color w:val="FFFFFF" w:themeColor="background1"/>
          <w:sz w:val="4"/>
          <w:szCs w:val="4"/>
        </w:rPr>
        <w:fldChar w:fldCharType="separate"/>
      </w:r>
      <w:r w:rsidR="001C4EA2">
        <w:rPr>
          <w:noProof/>
          <w:color w:val="FFFFFF" w:themeColor="background1"/>
          <w:sz w:val="4"/>
          <w:szCs w:val="4"/>
        </w:rPr>
        <w:t>23</w:t>
      </w:r>
      <w:r w:rsidRPr="001F71F0">
        <w:rPr>
          <w:color w:val="FFFFFF" w:themeColor="background1"/>
          <w:sz w:val="4"/>
          <w:szCs w:val="4"/>
        </w:rPr>
        <w:fldChar w:fldCharType="end"/>
      </w:r>
      <w:r w:rsidRPr="001F71F0">
        <w:rPr>
          <w:color w:val="FFFFFF" w:themeColor="background1"/>
          <w:sz w:val="4"/>
          <w:szCs w:val="4"/>
        </w:rPr>
        <w:t xml:space="preserve"> Jednotlivci v Česku hrající hry na internetu v roce 2017</w:t>
      </w:r>
      <w:bookmarkEnd w:id="35"/>
    </w:p>
    <w:p w:rsidR="009171D1" w:rsidRPr="001318E4" w:rsidRDefault="009171D1" w:rsidP="009171D1">
      <w:pPr>
        <w:pStyle w:val="Zkladntext"/>
        <w:spacing w:before="0" w:after="120" w:line="288" w:lineRule="auto"/>
        <w:rPr>
          <w:sz w:val="20"/>
          <w:szCs w:val="20"/>
        </w:rPr>
      </w:pPr>
      <w:r w:rsidRPr="001318E4">
        <w:rPr>
          <w:noProof/>
        </w:rPr>
        <w:drawing>
          <wp:inline distT="0" distB="0" distL="0" distR="0" wp14:anchorId="777E16FD" wp14:editId="3B44DF1F">
            <wp:extent cx="3024000" cy="3238500"/>
            <wp:effectExtent l="0" t="0" r="5080" b="0"/>
            <wp:docPr id="80" name="Graf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F71F0" w:rsidRDefault="001F71F0" w:rsidP="00B1686C">
      <w:pPr>
        <w:pStyle w:val="Zkladntext"/>
        <w:numPr>
          <w:ilvl w:val="0"/>
          <w:numId w:val="14"/>
        </w:numPr>
        <w:tabs>
          <w:tab w:val="num" w:pos="284"/>
        </w:tabs>
        <w:spacing w:before="0" w:afterLines="80" w:after="192" w:line="264" w:lineRule="auto"/>
        <w:ind w:left="284" w:hanging="284"/>
        <w:rPr>
          <w:sz w:val="20"/>
          <w:szCs w:val="20"/>
        </w:rPr>
        <w:sectPr w:rsidR="001F71F0" w:rsidSect="001F71F0">
          <w:type w:val="continuous"/>
          <w:pgSz w:w="11906" w:h="16838" w:code="9"/>
          <w:pgMar w:top="1134" w:right="1134" w:bottom="1418" w:left="1134" w:header="680" w:footer="680" w:gutter="0"/>
          <w:cols w:num="2" w:space="708"/>
          <w:docGrid w:linePitch="360"/>
        </w:sectPr>
      </w:pPr>
    </w:p>
    <w:p w:rsidR="009171D1" w:rsidRPr="001318E4" w:rsidRDefault="009171D1" w:rsidP="00B1686C">
      <w:pPr>
        <w:pStyle w:val="Zkladntext"/>
        <w:numPr>
          <w:ilvl w:val="0"/>
          <w:numId w:val="14"/>
        </w:numPr>
        <w:tabs>
          <w:tab w:val="num" w:pos="284"/>
        </w:tabs>
        <w:spacing w:before="0" w:afterLines="80" w:after="192" w:line="264" w:lineRule="auto"/>
        <w:ind w:left="284" w:hanging="284"/>
        <w:rPr>
          <w:sz w:val="20"/>
          <w:szCs w:val="20"/>
        </w:rPr>
      </w:pPr>
      <w:r w:rsidRPr="001318E4">
        <w:rPr>
          <w:sz w:val="20"/>
          <w:szCs w:val="20"/>
        </w:rPr>
        <w:lastRenderedPageBreak/>
        <w:t xml:space="preserve">V České republice v roce 2017 uvedla pětina obyvatel, resp. čtvrtina uživatelů internetu, že jeho prostřednictvím hrála nějakou počítačovou hru. </w:t>
      </w:r>
      <w:r w:rsidRPr="001318E4">
        <w:rPr>
          <w:b/>
          <w:sz w:val="20"/>
          <w:szCs w:val="20"/>
        </w:rPr>
        <w:t>Hraní her na internetu</w:t>
      </w:r>
      <w:r w:rsidRPr="001318E4">
        <w:rPr>
          <w:sz w:val="20"/>
          <w:szCs w:val="20"/>
        </w:rPr>
        <w:t xml:space="preserve"> je spíše doménou mužů, ze kterých hraje hry 29 %, oproti ženám, kterých hraje 11 %. Není překvapivé, že podíl hráčů klesá s věkem. V nejmladší sledované věkové skupině, tj. 16–24 let hraje hry téměř 67 % mladých lidí, naopak z obyvatel starších 65 let hrají hry pouhá 4 %. Stojí za povšimnutí, že v porovnání s ostatními analyzovanými jevy </w:t>
      </w:r>
      <w:r w:rsidR="0036231A">
        <w:rPr>
          <w:sz w:val="20"/>
          <w:szCs w:val="20"/>
        </w:rPr>
        <w:t>v rámci šetření</w:t>
      </w:r>
      <w:r w:rsidRPr="001318E4">
        <w:rPr>
          <w:sz w:val="20"/>
          <w:szCs w:val="20"/>
        </w:rPr>
        <w:t xml:space="preserve"> podíl hráčů online her mezi uživateli internetu klesá s vyšším vzděláním. Zatímco jednotlivců, kteří hrají či stahují hry na internetu, je mezi uživateli internetu se základním vzděláním 28 %, mezi uživateli s vysokoškolským vzděláním jich je pouze 16 %.</w:t>
      </w:r>
    </w:p>
    <w:p w:rsidR="009171D1" w:rsidRPr="001318E4" w:rsidRDefault="009171D1" w:rsidP="00B1686C">
      <w:pPr>
        <w:pStyle w:val="Zkladntext"/>
        <w:numPr>
          <w:ilvl w:val="0"/>
          <w:numId w:val="14"/>
        </w:numPr>
        <w:tabs>
          <w:tab w:val="clear" w:pos="360"/>
          <w:tab w:val="num" w:pos="284"/>
        </w:tabs>
        <w:spacing w:before="0" w:afterLines="80" w:after="192" w:line="264" w:lineRule="auto"/>
        <w:ind w:left="284" w:hanging="284"/>
        <w:rPr>
          <w:sz w:val="20"/>
          <w:szCs w:val="20"/>
        </w:rPr>
      </w:pPr>
      <w:r w:rsidRPr="001318E4">
        <w:rPr>
          <w:sz w:val="20"/>
          <w:szCs w:val="20"/>
        </w:rPr>
        <w:t xml:space="preserve">Přibližně každý třetí dospělý občan České republiky (41 % uživatelů internetu) </w:t>
      </w:r>
      <w:r w:rsidRPr="001318E4">
        <w:rPr>
          <w:b/>
          <w:sz w:val="20"/>
          <w:szCs w:val="20"/>
        </w:rPr>
        <w:t xml:space="preserve">nahrával </w:t>
      </w:r>
      <w:r w:rsidRPr="001318E4">
        <w:rPr>
          <w:sz w:val="20"/>
          <w:szCs w:val="20"/>
        </w:rPr>
        <w:t xml:space="preserve">v roce 2017 na internet </w:t>
      </w:r>
      <w:r w:rsidRPr="001318E4">
        <w:rPr>
          <w:b/>
          <w:sz w:val="20"/>
          <w:szCs w:val="20"/>
        </w:rPr>
        <w:t>fotografie nebo videa</w:t>
      </w:r>
      <w:r w:rsidRPr="001318E4">
        <w:rPr>
          <w:sz w:val="20"/>
          <w:szCs w:val="20"/>
        </w:rPr>
        <w:t xml:space="preserve">. Zřejmě příliš nepřekvapí, že i tato činnost je doménou zejména mladých lidí a věnuje se jí přibližně každá druhá žena na rodičovské dovolené. </w:t>
      </w:r>
    </w:p>
    <w:p w:rsidR="009171D1" w:rsidRPr="001318E4" w:rsidRDefault="009171D1" w:rsidP="00B1686C">
      <w:pPr>
        <w:pStyle w:val="Nadpis3"/>
        <w:spacing w:before="240" w:after="120" w:line="264" w:lineRule="auto"/>
      </w:pPr>
      <w:bookmarkStart w:id="36" w:name="_Toc525303545"/>
      <w:r w:rsidRPr="001318E4">
        <w:t>Sledování videí na internetu</w:t>
      </w:r>
      <w:bookmarkEnd w:id="36"/>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b/>
          <w:sz w:val="20"/>
          <w:szCs w:val="20"/>
        </w:rPr>
        <w:t>Internetové vysílání klasických televizních</w:t>
      </w:r>
      <w:r w:rsidRPr="001318E4">
        <w:rPr>
          <w:sz w:val="20"/>
          <w:szCs w:val="20"/>
        </w:rPr>
        <w:t xml:space="preserve"> stanic sledovalo v roce 2016 v České republice 24 % osob starších 16 let. Od roku 2010 vzrostl podíl osob sledujících na internetu televizi o 10 procentních bodů, přičemž online vysílání dávají přednost více muži než ženy.</w:t>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V posledních letech také přibývá </w:t>
      </w:r>
      <w:r w:rsidRPr="001318E4">
        <w:rPr>
          <w:b/>
          <w:sz w:val="20"/>
          <w:szCs w:val="20"/>
        </w:rPr>
        <w:t>internetových televizí</w:t>
      </w:r>
      <w:r w:rsidRPr="001318E4">
        <w:rPr>
          <w:sz w:val="20"/>
          <w:szCs w:val="20"/>
        </w:rPr>
        <w:t xml:space="preserve">, které nemají svůj protějšek v klasickém televizním vysílání, ale fungují pouze online, například </w:t>
      </w:r>
      <w:proofErr w:type="spellStart"/>
      <w:r w:rsidRPr="001318E4">
        <w:rPr>
          <w:sz w:val="20"/>
          <w:szCs w:val="20"/>
        </w:rPr>
        <w:t>Stream</w:t>
      </w:r>
      <w:proofErr w:type="spellEnd"/>
      <w:r w:rsidRPr="001318E4">
        <w:rPr>
          <w:sz w:val="20"/>
          <w:szCs w:val="20"/>
        </w:rPr>
        <w:t xml:space="preserve"> či </w:t>
      </w:r>
      <w:proofErr w:type="spellStart"/>
      <w:r w:rsidRPr="001318E4">
        <w:rPr>
          <w:sz w:val="20"/>
          <w:szCs w:val="20"/>
        </w:rPr>
        <w:t>Playtvak</w:t>
      </w:r>
      <w:proofErr w:type="spellEnd"/>
      <w:r w:rsidRPr="001318E4">
        <w:rPr>
          <w:sz w:val="20"/>
          <w:szCs w:val="20"/>
        </w:rPr>
        <w:t>. Internetové televize v roce 2016 sledovalo v Česku 21 % dospělých. Nejoblíbenější jsou u mladé generace – mezi 16 až 24letými sledovalo pořady na těchto kanálech 46 %, mezi 25 až 34letými 38 % osob.</w:t>
      </w:r>
    </w:p>
    <w:p w:rsidR="009171D1" w:rsidRPr="001318E4" w:rsidRDefault="009171D1" w:rsidP="00B1686C">
      <w:pPr>
        <w:pStyle w:val="Zkladntext"/>
        <w:numPr>
          <w:ilvl w:val="0"/>
          <w:numId w:val="14"/>
        </w:numPr>
        <w:spacing w:before="0" w:after="80" w:line="264" w:lineRule="auto"/>
        <w:ind w:left="284" w:hanging="284"/>
        <w:rPr>
          <w:sz w:val="20"/>
          <w:szCs w:val="20"/>
        </w:rPr>
      </w:pPr>
      <w:r w:rsidRPr="001318E4">
        <w:rPr>
          <w:sz w:val="20"/>
          <w:szCs w:val="20"/>
        </w:rPr>
        <w:t xml:space="preserve">Náročnější diváci, kterým nestačí nabídka internetového vysílání televizních stanic, si mohou zaplatit přístup do </w:t>
      </w:r>
      <w:r w:rsidRPr="001318E4">
        <w:rPr>
          <w:b/>
          <w:sz w:val="20"/>
          <w:szCs w:val="20"/>
        </w:rPr>
        <w:t>placených katalogů pořadů</w:t>
      </w:r>
      <w:r w:rsidRPr="001318E4">
        <w:rPr>
          <w:sz w:val="20"/>
          <w:szCs w:val="20"/>
        </w:rPr>
        <w:t xml:space="preserve">, např. </w:t>
      </w:r>
      <w:proofErr w:type="spellStart"/>
      <w:r w:rsidRPr="001318E4">
        <w:rPr>
          <w:sz w:val="20"/>
          <w:szCs w:val="20"/>
        </w:rPr>
        <w:t>Netflix</w:t>
      </w:r>
      <w:proofErr w:type="spellEnd"/>
      <w:r w:rsidRPr="001318E4">
        <w:rPr>
          <w:sz w:val="20"/>
          <w:szCs w:val="20"/>
        </w:rPr>
        <w:t xml:space="preserve">, </w:t>
      </w:r>
      <w:proofErr w:type="spellStart"/>
      <w:r w:rsidRPr="001318E4">
        <w:rPr>
          <w:sz w:val="20"/>
          <w:szCs w:val="20"/>
        </w:rPr>
        <w:t>Voyo</w:t>
      </w:r>
      <w:proofErr w:type="spellEnd"/>
      <w:r w:rsidRPr="001318E4">
        <w:rPr>
          <w:sz w:val="20"/>
          <w:szCs w:val="20"/>
        </w:rPr>
        <w:t>, DIGI2GO či HBO GO, kde si mohou vybrat z široké nabídky filmů a seriálů. Tuto možnost v Česku využívá jen malá skupina obyvatel. V roce 2017 uvedla, že využila nabídky pořadů</w:t>
      </w:r>
      <w:r w:rsidRPr="001318E4">
        <w:rPr>
          <w:b/>
          <w:sz w:val="20"/>
          <w:szCs w:val="20"/>
        </w:rPr>
        <w:t xml:space="preserve"> placených filmových katalogů</w:t>
      </w:r>
      <w:r w:rsidRPr="001318E4">
        <w:rPr>
          <w:rStyle w:val="Znakapoznpodarou"/>
          <w:b/>
          <w:sz w:val="20"/>
          <w:szCs w:val="20"/>
        </w:rPr>
        <w:footnoteReference w:id="5"/>
      </w:r>
      <w:r w:rsidRPr="001318E4">
        <w:rPr>
          <w:sz w:val="20"/>
          <w:szCs w:val="20"/>
        </w:rPr>
        <w:t xml:space="preserve"> jen 4 % obyvatel, mezi kterými dominují příslušníci mladších věkových skupin, vysokoškolsky vzdělaní a studenti. </w:t>
      </w:r>
    </w:p>
    <w:p w:rsidR="001F71F0" w:rsidRPr="000D5447" w:rsidRDefault="001F71F0" w:rsidP="001F71F0">
      <w:pPr>
        <w:pStyle w:val="Titulek"/>
        <w:keepNext/>
        <w:spacing w:after="0"/>
        <w:jc w:val="both"/>
        <w:rPr>
          <w:color w:val="FFFFFF" w:themeColor="background1"/>
          <w:sz w:val="4"/>
          <w:szCs w:val="4"/>
        </w:rPr>
      </w:pPr>
      <w:bookmarkStart w:id="37" w:name="_Toc524332553"/>
      <w:r w:rsidRPr="000D5447">
        <w:rPr>
          <w:color w:val="FFFFFF" w:themeColor="background1"/>
          <w:sz w:val="4"/>
          <w:szCs w:val="4"/>
        </w:rPr>
        <w:lastRenderedPageBreak/>
        <w:t>Graf C</w:t>
      </w:r>
      <w:r w:rsidRPr="000D5447">
        <w:rPr>
          <w:color w:val="FFFFFF" w:themeColor="background1"/>
          <w:sz w:val="4"/>
          <w:szCs w:val="4"/>
        </w:rPr>
        <w:fldChar w:fldCharType="begin"/>
      </w:r>
      <w:r w:rsidRPr="000D5447">
        <w:rPr>
          <w:color w:val="FFFFFF" w:themeColor="background1"/>
          <w:sz w:val="4"/>
          <w:szCs w:val="4"/>
        </w:rPr>
        <w:instrText xml:space="preserve"> SEQ Graf_C \* ARABIC </w:instrText>
      </w:r>
      <w:r w:rsidRPr="000D5447">
        <w:rPr>
          <w:color w:val="FFFFFF" w:themeColor="background1"/>
          <w:sz w:val="4"/>
          <w:szCs w:val="4"/>
        </w:rPr>
        <w:fldChar w:fldCharType="separate"/>
      </w:r>
      <w:r w:rsidR="001C4EA2" w:rsidRPr="000D5447">
        <w:rPr>
          <w:noProof/>
          <w:color w:val="FFFFFF" w:themeColor="background1"/>
          <w:sz w:val="4"/>
          <w:szCs w:val="4"/>
        </w:rPr>
        <w:t>24</w:t>
      </w:r>
      <w:r w:rsidRPr="000D5447">
        <w:rPr>
          <w:color w:val="FFFFFF" w:themeColor="background1"/>
          <w:sz w:val="4"/>
          <w:szCs w:val="4"/>
        </w:rPr>
        <w:fldChar w:fldCharType="end"/>
      </w:r>
      <w:r w:rsidRPr="000D5447">
        <w:rPr>
          <w:color w:val="FFFFFF" w:themeColor="background1"/>
          <w:sz w:val="4"/>
          <w:szCs w:val="4"/>
        </w:rPr>
        <w:t xml:space="preserve"> </w:t>
      </w:r>
      <w:proofErr w:type="spellStart"/>
      <w:r w:rsidRPr="000D5447">
        <w:rPr>
          <w:color w:val="FFFFFF" w:themeColor="background1"/>
          <w:sz w:val="4"/>
          <w:szCs w:val="4"/>
          <w:lang w:val="en-US"/>
        </w:rPr>
        <w:t>Jednotlivci</w:t>
      </w:r>
      <w:proofErr w:type="spellEnd"/>
      <w:r w:rsidRPr="000D5447">
        <w:rPr>
          <w:color w:val="FFFFFF" w:themeColor="background1"/>
          <w:sz w:val="4"/>
          <w:szCs w:val="4"/>
          <w:lang w:val="en-US"/>
        </w:rPr>
        <w:t xml:space="preserve"> </w:t>
      </w:r>
      <w:r w:rsidRPr="000D5447">
        <w:rPr>
          <w:color w:val="FFFFFF" w:themeColor="background1"/>
          <w:sz w:val="4"/>
          <w:szCs w:val="4"/>
        </w:rPr>
        <w:t>v zemích EU celkem a ve věku 16 až 29 let, kteří sledovali videa z placených filmových katalogů na internetu v roce 2016</w:t>
      </w:r>
      <w:bookmarkEnd w:id="37"/>
    </w:p>
    <w:p w:rsidR="009171D1" w:rsidRPr="001318E4" w:rsidRDefault="009171D1" w:rsidP="009171D1">
      <w:pPr>
        <w:pStyle w:val="Zkladntext"/>
        <w:spacing w:before="0" w:after="120" w:line="288" w:lineRule="auto"/>
        <w:rPr>
          <w:sz w:val="20"/>
          <w:szCs w:val="20"/>
        </w:rPr>
      </w:pPr>
      <w:r w:rsidRPr="001318E4">
        <w:rPr>
          <w:noProof/>
        </w:rPr>
        <w:drawing>
          <wp:inline distT="0" distB="0" distL="0" distR="0" wp14:anchorId="5C3081CD" wp14:editId="4BF071A2">
            <wp:extent cx="5972810" cy="3041015"/>
            <wp:effectExtent l="0" t="0" r="0" b="0"/>
            <wp:docPr id="81" name="Graf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Že tato činnost není pro občany České republiky příliš typická, se ukázalo i v </w:t>
      </w:r>
      <w:r w:rsidRPr="001318E4">
        <w:rPr>
          <w:b/>
          <w:sz w:val="20"/>
          <w:szCs w:val="20"/>
        </w:rPr>
        <w:t>mezinárodním srovnání</w:t>
      </w:r>
      <w:r w:rsidRPr="001318E4">
        <w:rPr>
          <w:sz w:val="20"/>
          <w:szCs w:val="20"/>
        </w:rPr>
        <w:t xml:space="preserve">. V rámci Evropské unie v roce 2016 představoval podíl jednotlivců (16‒74 let) sledujících placené pořady online v České republice spolu s Rumunskem vůbec nejnižší hodnotu (3 %), v porovnání se 17 %, představujícími průměr EU28. Ve všech zemích EU tuto možnost nejčastěji využívají mladší ročníky. Např. v roce 2016 uvedla více jak polovina jednotlivců ve věku 16 až 29 let, že sledovala na internetu videa z placených filmových katalogů v následujících zemích EU ‒ ve Velké Británii (53 %), ve Švédsku (59 %), v Nizozemsku (60 %), ve Finsku (66 %) a v Dánsku dokonce 72 %. </w:t>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Nejrozšířenější stránky, na kterých uživatelé sledovali videa na internetu, byly v Česku v roce 2016 </w:t>
      </w:r>
      <w:r w:rsidRPr="001318E4">
        <w:rPr>
          <w:b/>
          <w:sz w:val="20"/>
          <w:szCs w:val="20"/>
        </w:rPr>
        <w:t>stránky určené ke sdílení</w:t>
      </w:r>
      <w:r w:rsidRPr="001318E4">
        <w:rPr>
          <w:sz w:val="20"/>
          <w:szCs w:val="20"/>
        </w:rPr>
        <w:t xml:space="preserve">, například </w:t>
      </w:r>
      <w:proofErr w:type="spellStart"/>
      <w:r w:rsidRPr="001318E4">
        <w:rPr>
          <w:sz w:val="20"/>
          <w:szCs w:val="20"/>
        </w:rPr>
        <w:t>Youtube</w:t>
      </w:r>
      <w:proofErr w:type="spellEnd"/>
      <w:r w:rsidRPr="001318E4">
        <w:rPr>
          <w:sz w:val="20"/>
          <w:szCs w:val="20"/>
        </w:rPr>
        <w:t xml:space="preserve"> nebo </w:t>
      </w:r>
      <w:proofErr w:type="spellStart"/>
      <w:r w:rsidRPr="001318E4">
        <w:rPr>
          <w:sz w:val="20"/>
          <w:szCs w:val="20"/>
        </w:rPr>
        <w:t>Vimeo</w:t>
      </w:r>
      <w:proofErr w:type="spellEnd"/>
      <w:r w:rsidRPr="001318E4">
        <w:rPr>
          <w:sz w:val="20"/>
          <w:szCs w:val="20"/>
        </w:rPr>
        <w:t>, kam mohou přispívat všichni registrovaní uživatelé. Přehrávat videa pak může kdokoliv. Na takových stránkách sledovali videa, filmy nebo seriály čtyři z deseti Čechů, nejvíce studenti (81 %), ženy na mateřské či rodičovské dovolené (54 %) a zaměstnaní (48 %).</w:t>
      </w:r>
    </w:p>
    <w:p w:rsidR="009171D1" w:rsidRPr="001318E4" w:rsidRDefault="009171D1" w:rsidP="00B1686C">
      <w:pPr>
        <w:pStyle w:val="Zkladntext"/>
        <w:numPr>
          <w:ilvl w:val="0"/>
          <w:numId w:val="14"/>
        </w:numPr>
        <w:spacing w:before="0" w:after="80" w:line="264" w:lineRule="auto"/>
        <w:ind w:left="284" w:hanging="284"/>
        <w:rPr>
          <w:sz w:val="20"/>
          <w:szCs w:val="20"/>
        </w:rPr>
      </w:pPr>
      <w:r w:rsidRPr="001318E4">
        <w:rPr>
          <w:sz w:val="20"/>
          <w:szCs w:val="20"/>
        </w:rPr>
        <w:t xml:space="preserve">Návštěva těchto stránek je nejoblíbenější formou sledování videa online i v ostatních státech </w:t>
      </w:r>
      <w:r w:rsidRPr="001318E4">
        <w:rPr>
          <w:b/>
          <w:sz w:val="20"/>
          <w:szCs w:val="20"/>
        </w:rPr>
        <w:t>Evropské unie</w:t>
      </w:r>
      <w:r w:rsidRPr="001318E4">
        <w:rPr>
          <w:sz w:val="20"/>
          <w:szCs w:val="20"/>
        </w:rPr>
        <w:t xml:space="preserve">. Nejvíce se na ně dívají obyvatelé Lucemburska (77 %), Dánové (75 %) a Švédové (71 %) – údaje za rok 2016. </w:t>
      </w:r>
    </w:p>
    <w:p w:rsidR="009171D1" w:rsidRPr="001318E4" w:rsidRDefault="009171D1" w:rsidP="00B1686C">
      <w:pPr>
        <w:pStyle w:val="Nadpis3"/>
        <w:spacing w:before="240" w:after="120" w:line="264" w:lineRule="auto"/>
      </w:pPr>
      <w:bookmarkStart w:id="38" w:name="_Toc525303546"/>
      <w:r w:rsidRPr="001318E4">
        <w:t>Využití internetu v oblasti cestování a ubytování</w:t>
      </w:r>
      <w:bookmarkEnd w:id="38"/>
    </w:p>
    <w:p w:rsidR="009171D1" w:rsidRPr="001318E4" w:rsidRDefault="009171D1" w:rsidP="00B1686C">
      <w:pPr>
        <w:pStyle w:val="Zkladntext"/>
        <w:tabs>
          <w:tab w:val="num" w:pos="284"/>
        </w:tabs>
        <w:spacing w:before="0" w:afterLines="80" w:after="192" w:line="264" w:lineRule="auto"/>
        <w:rPr>
          <w:i/>
          <w:sz w:val="20"/>
          <w:szCs w:val="20"/>
        </w:rPr>
      </w:pPr>
      <w:r w:rsidRPr="001318E4">
        <w:rPr>
          <w:i/>
          <w:sz w:val="20"/>
          <w:szCs w:val="20"/>
        </w:rPr>
        <w:t>Pro osoby, které se chystají na domácí či zahraniční cesty, je v dnešní době internet nedocenitelným pomocníkem. Kromě vyhledávání informací je možné si online zakoupit letenky či jízdenky a také zarezervovat ubytování. Trendem posledních let je cestování soukromými automobily v rámci sdílené jízdy a ubytování u soukromých osob – to vše se zařizuje přes internet.</w:t>
      </w:r>
    </w:p>
    <w:p w:rsidR="009171D1" w:rsidRPr="001318E4" w:rsidRDefault="009171D1" w:rsidP="00B1686C">
      <w:pPr>
        <w:pStyle w:val="Zkladntext"/>
        <w:numPr>
          <w:ilvl w:val="0"/>
          <w:numId w:val="14"/>
        </w:numPr>
        <w:tabs>
          <w:tab w:val="clear" w:pos="360"/>
          <w:tab w:val="num" w:pos="284"/>
        </w:tabs>
        <w:spacing w:before="0" w:afterLines="80" w:after="192" w:line="264" w:lineRule="auto"/>
        <w:ind w:left="284" w:hanging="284"/>
        <w:rPr>
          <w:sz w:val="20"/>
          <w:szCs w:val="20"/>
        </w:rPr>
      </w:pPr>
      <w:r w:rsidRPr="001318E4">
        <w:rPr>
          <w:sz w:val="20"/>
          <w:szCs w:val="20"/>
        </w:rPr>
        <w:t xml:space="preserve">V roce 2017 uvedlo v Česku 44 % obyvatel starších 16 let, že na internetu vyhledávalo </w:t>
      </w:r>
      <w:r w:rsidRPr="001318E4">
        <w:rPr>
          <w:b/>
          <w:sz w:val="20"/>
          <w:szCs w:val="20"/>
        </w:rPr>
        <w:t>informace o cestování a ubytování</w:t>
      </w:r>
      <w:r w:rsidRPr="001318E4">
        <w:rPr>
          <w:rStyle w:val="Znakapoznpodarou"/>
          <w:b/>
          <w:sz w:val="20"/>
          <w:szCs w:val="20"/>
        </w:rPr>
        <w:footnoteReference w:id="6"/>
      </w:r>
      <w:r w:rsidRPr="001318E4">
        <w:rPr>
          <w:sz w:val="20"/>
          <w:szCs w:val="20"/>
        </w:rPr>
        <w:t xml:space="preserve">. Této činnosti se o něco častěji věnovaly ženy a z hlediska věku nejčastěji mladší osoby (25‒34 let). </w:t>
      </w:r>
    </w:p>
    <w:p w:rsidR="009171D1" w:rsidRPr="001318E4" w:rsidRDefault="009171D1" w:rsidP="00B1686C">
      <w:pPr>
        <w:pStyle w:val="Zkladntext"/>
        <w:numPr>
          <w:ilvl w:val="0"/>
          <w:numId w:val="14"/>
        </w:numPr>
        <w:tabs>
          <w:tab w:val="clear" w:pos="360"/>
          <w:tab w:val="num" w:pos="284"/>
        </w:tabs>
        <w:spacing w:before="0" w:afterLines="80" w:after="192" w:line="264" w:lineRule="auto"/>
        <w:ind w:left="284" w:hanging="284"/>
        <w:rPr>
          <w:sz w:val="20"/>
          <w:szCs w:val="20"/>
        </w:rPr>
      </w:pPr>
      <w:r w:rsidRPr="001318E4">
        <w:rPr>
          <w:sz w:val="20"/>
          <w:szCs w:val="20"/>
        </w:rPr>
        <w:t xml:space="preserve">Necelá pětina obyvatel České republiky v roce 2017 </w:t>
      </w:r>
      <w:r w:rsidRPr="001318E4">
        <w:rPr>
          <w:b/>
          <w:sz w:val="20"/>
          <w:szCs w:val="20"/>
        </w:rPr>
        <w:t>nakoupila přes internet ubytování</w:t>
      </w:r>
      <w:r w:rsidRPr="001318E4">
        <w:rPr>
          <w:sz w:val="20"/>
          <w:szCs w:val="20"/>
        </w:rPr>
        <w:t xml:space="preserve">, nejčastěji lidé ve věku 25‒44 let. Ubytování přes internet si také častěji zajišťují osoby s vysokoškolským vzděláním. </w:t>
      </w:r>
      <w:r w:rsidRPr="001318E4">
        <w:rPr>
          <w:b/>
          <w:sz w:val="20"/>
          <w:szCs w:val="20"/>
        </w:rPr>
        <w:t>Letenku či jízdenku</w:t>
      </w:r>
      <w:r w:rsidRPr="001318E4">
        <w:rPr>
          <w:sz w:val="20"/>
          <w:szCs w:val="20"/>
        </w:rPr>
        <w:t xml:space="preserve"> na internetu nakoupilo ve stejném roce 9 % osob starších 16 let. Často šlo o studující a vysokoškolsky vzdělané.</w:t>
      </w:r>
    </w:p>
    <w:p w:rsidR="001C4EA2" w:rsidRDefault="001C4EA2" w:rsidP="004B021D">
      <w:pPr>
        <w:pStyle w:val="Titulek"/>
        <w:keepNext/>
        <w:jc w:val="both"/>
        <w:sectPr w:rsidR="001C4EA2" w:rsidSect="006D0F31">
          <w:type w:val="continuous"/>
          <w:pgSz w:w="11906" w:h="16838" w:code="9"/>
          <w:pgMar w:top="1134" w:right="1134" w:bottom="1418" w:left="1134" w:header="680" w:footer="680" w:gutter="0"/>
          <w:cols w:space="708"/>
          <w:docGrid w:linePitch="360"/>
        </w:sectPr>
      </w:pPr>
    </w:p>
    <w:p w:rsidR="004B021D" w:rsidRPr="000D5447" w:rsidRDefault="004B021D" w:rsidP="001C4EA2">
      <w:pPr>
        <w:pStyle w:val="Titulek"/>
        <w:keepNext/>
        <w:spacing w:after="0"/>
        <w:jc w:val="both"/>
        <w:rPr>
          <w:color w:val="FFFFFF" w:themeColor="background1"/>
          <w:sz w:val="4"/>
          <w:szCs w:val="4"/>
        </w:rPr>
      </w:pPr>
      <w:bookmarkStart w:id="39" w:name="_Toc524332554"/>
      <w:r w:rsidRPr="000D5447">
        <w:rPr>
          <w:color w:val="FFFFFF" w:themeColor="background1"/>
          <w:sz w:val="4"/>
          <w:szCs w:val="4"/>
        </w:rPr>
        <w:lastRenderedPageBreak/>
        <w:t>Graf C</w:t>
      </w:r>
      <w:r w:rsidRPr="000D5447">
        <w:rPr>
          <w:color w:val="FFFFFF" w:themeColor="background1"/>
          <w:sz w:val="4"/>
          <w:szCs w:val="4"/>
        </w:rPr>
        <w:fldChar w:fldCharType="begin"/>
      </w:r>
      <w:r w:rsidRPr="000D5447">
        <w:rPr>
          <w:color w:val="FFFFFF" w:themeColor="background1"/>
          <w:sz w:val="4"/>
          <w:szCs w:val="4"/>
        </w:rPr>
        <w:instrText xml:space="preserve"> SEQ Graf_C \* ARABIC </w:instrText>
      </w:r>
      <w:r w:rsidRPr="000D5447">
        <w:rPr>
          <w:color w:val="FFFFFF" w:themeColor="background1"/>
          <w:sz w:val="4"/>
          <w:szCs w:val="4"/>
        </w:rPr>
        <w:fldChar w:fldCharType="separate"/>
      </w:r>
      <w:r w:rsidR="001C4EA2" w:rsidRPr="000D5447">
        <w:rPr>
          <w:noProof/>
          <w:color w:val="FFFFFF" w:themeColor="background1"/>
          <w:sz w:val="4"/>
          <w:szCs w:val="4"/>
        </w:rPr>
        <w:t>25</w:t>
      </w:r>
      <w:r w:rsidRPr="000D5447">
        <w:rPr>
          <w:color w:val="FFFFFF" w:themeColor="background1"/>
          <w:sz w:val="4"/>
          <w:szCs w:val="4"/>
        </w:rPr>
        <w:fldChar w:fldCharType="end"/>
      </w:r>
      <w:r w:rsidR="000D5447" w:rsidRPr="000D5447">
        <w:rPr>
          <w:color w:val="FFFFFF" w:themeColor="background1"/>
          <w:sz w:val="4"/>
          <w:szCs w:val="4"/>
        </w:rPr>
        <w:t xml:space="preserve"> Jednotlivci v Česku </w:t>
      </w:r>
      <w:r w:rsidRPr="000D5447">
        <w:rPr>
          <w:color w:val="FFFFFF" w:themeColor="background1"/>
          <w:sz w:val="4"/>
          <w:szCs w:val="4"/>
        </w:rPr>
        <w:t>ve věku 16 let a starší hledající na internetu informace o cestování</w:t>
      </w:r>
      <w:bookmarkEnd w:id="39"/>
    </w:p>
    <w:p w:rsidR="001C4EA2" w:rsidRDefault="009171D1" w:rsidP="009171D1">
      <w:pPr>
        <w:pStyle w:val="Zkladntext"/>
        <w:spacing w:before="0" w:after="120" w:line="288" w:lineRule="auto"/>
      </w:pPr>
      <w:r w:rsidRPr="001318E4">
        <w:rPr>
          <w:noProof/>
        </w:rPr>
        <w:drawing>
          <wp:inline distT="0" distB="0" distL="0" distR="0" wp14:anchorId="62443DB9" wp14:editId="6F00D54B">
            <wp:extent cx="2988000" cy="3240000"/>
            <wp:effectExtent l="0" t="0" r="3175" b="0"/>
            <wp:docPr id="82" name="Graf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1318E4">
        <w:rPr>
          <w:noProof/>
          <w:lang w:eastAsia="en-US"/>
        </w:rPr>
        <w:t xml:space="preserve"> </w:t>
      </w:r>
    </w:p>
    <w:p w:rsidR="001C4EA2" w:rsidRPr="000D5447" w:rsidRDefault="001C4EA2" w:rsidP="001C4EA2">
      <w:pPr>
        <w:pStyle w:val="Titulek"/>
        <w:keepNext/>
        <w:spacing w:after="0"/>
        <w:jc w:val="both"/>
        <w:rPr>
          <w:color w:val="FFFFFF" w:themeColor="background1"/>
          <w:sz w:val="4"/>
          <w:szCs w:val="4"/>
        </w:rPr>
      </w:pPr>
      <w:bookmarkStart w:id="40" w:name="_Toc524332555"/>
      <w:r w:rsidRPr="000D5447">
        <w:rPr>
          <w:color w:val="FFFFFF" w:themeColor="background1"/>
          <w:sz w:val="4"/>
          <w:szCs w:val="4"/>
        </w:rPr>
        <w:lastRenderedPageBreak/>
        <w:t>Graf C</w:t>
      </w:r>
      <w:r w:rsidRPr="000D5447">
        <w:rPr>
          <w:color w:val="FFFFFF" w:themeColor="background1"/>
          <w:sz w:val="4"/>
          <w:szCs w:val="4"/>
        </w:rPr>
        <w:fldChar w:fldCharType="begin"/>
      </w:r>
      <w:r w:rsidRPr="000D5447">
        <w:rPr>
          <w:color w:val="FFFFFF" w:themeColor="background1"/>
          <w:sz w:val="4"/>
          <w:szCs w:val="4"/>
        </w:rPr>
        <w:instrText xml:space="preserve"> SEQ Graf_C \* ARABIC </w:instrText>
      </w:r>
      <w:r w:rsidRPr="000D5447">
        <w:rPr>
          <w:color w:val="FFFFFF" w:themeColor="background1"/>
          <w:sz w:val="4"/>
          <w:szCs w:val="4"/>
        </w:rPr>
        <w:fldChar w:fldCharType="separate"/>
      </w:r>
      <w:r w:rsidRPr="000D5447">
        <w:rPr>
          <w:noProof/>
          <w:color w:val="FFFFFF" w:themeColor="background1"/>
          <w:sz w:val="4"/>
          <w:szCs w:val="4"/>
        </w:rPr>
        <w:t>26</w:t>
      </w:r>
      <w:r w:rsidRPr="000D5447">
        <w:rPr>
          <w:color w:val="FFFFFF" w:themeColor="background1"/>
          <w:sz w:val="4"/>
          <w:szCs w:val="4"/>
        </w:rPr>
        <w:fldChar w:fldCharType="end"/>
      </w:r>
      <w:r w:rsidRPr="000D5447">
        <w:rPr>
          <w:color w:val="FFFFFF" w:themeColor="background1"/>
          <w:sz w:val="4"/>
          <w:szCs w:val="4"/>
        </w:rPr>
        <w:t xml:space="preserve"> Jednotlivci v Česku, kteří </w:t>
      </w:r>
      <w:r w:rsidR="000D5447" w:rsidRPr="000D5447">
        <w:rPr>
          <w:color w:val="FFFFFF" w:themeColor="background1"/>
          <w:sz w:val="4"/>
          <w:szCs w:val="4"/>
        </w:rPr>
        <w:t>nakoupili ubytování či letenky/</w:t>
      </w:r>
      <w:r w:rsidRPr="000D5447">
        <w:rPr>
          <w:color w:val="FFFFFF" w:themeColor="background1"/>
          <w:sz w:val="4"/>
          <w:szCs w:val="4"/>
        </w:rPr>
        <w:t>jízdenky přes internet v roce 2017</w:t>
      </w:r>
      <w:bookmarkEnd w:id="40"/>
    </w:p>
    <w:p w:rsidR="009171D1" w:rsidRPr="001318E4" w:rsidRDefault="009171D1" w:rsidP="009171D1">
      <w:pPr>
        <w:pStyle w:val="Zkladntext"/>
        <w:spacing w:before="0" w:after="120" w:line="288" w:lineRule="auto"/>
        <w:rPr>
          <w:sz w:val="20"/>
          <w:szCs w:val="20"/>
        </w:rPr>
      </w:pPr>
      <w:r w:rsidRPr="001318E4">
        <w:rPr>
          <w:noProof/>
        </w:rPr>
        <w:drawing>
          <wp:inline distT="0" distB="0" distL="0" distR="0" wp14:anchorId="0E039E74" wp14:editId="3BE27386">
            <wp:extent cx="3096000" cy="3240000"/>
            <wp:effectExtent l="0" t="0" r="0" b="0"/>
            <wp:docPr id="83" name="Graf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C4EA2" w:rsidRDefault="001C4EA2" w:rsidP="00B1686C">
      <w:pPr>
        <w:pStyle w:val="Zkladntext"/>
        <w:numPr>
          <w:ilvl w:val="0"/>
          <w:numId w:val="14"/>
        </w:numPr>
        <w:tabs>
          <w:tab w:val="clear" w:pos="360"/>
          <w:tab w:val="num" w:pos="284"/>
        </w:tabs>
        <w:spacing w:before="0" w:after="80" w:line="264" w:lineRule="auto"/>
        <w:ind w:left="284" w:hanging="284"/>
        <w:rPr>
          <w:sz w:val="20"/>
          <w:szCs w:val="20"/>
        </w:rPr>
        <w:sectPr w:rsidR="001C4EA2" w:rsidSect="001C4EA2">
          <w:type w:val="continuous"/>
          <w:pgSz w:w="11906" w:h="16838" w:code="9"/>
          <w:pgMar w:top="1134" w:right="1134" w:bottom="1418" w:left="1134" w:header="680" w:footer="680" w:gutter="0"/>
          <w:cols w:num="2" w:space="708"/>
          <w:docGrid w:linePitch="360"/>
        </w:sectPr>
      </w:pP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lastRenderedPageBreak/>
        <w:t xml:space="preserve">Ve vyhledávání informací o cestování a ubytování jsou Češi poměrně aktivní. </w:t>
      </w:r>
      <w:r w:rsidRPr="001318E4">
        <w:rPr>
          <w:b/>
          <w:sz w:val="20"/>
          <w:szCs w:val="20"/>
        </w:rPr>
        <w:t>V</w:t>
      </w:r>
      <w:r w:rsidRPr="001318E4">
        <w:rPr>
          <w:sz w:val="20"/>
          <w:szCs w:val="20"/>
        </w:rPr>
        <w:t> </w:t>
      </w:r>
      <w:r w:rsidRPr="001318E4">
        <w:rPr>
          <w:b/>
          <w:sz w:val="20"/>
          <w:szCs w:val="20"/>
        </w:rPr>
        <w:t xml:space="preserve">evropském srovnání </w:t>
      </w:r>
      <w:r w:rsidRPr="001318E4">
        <w:rPr>
          <w:sz w:val="20"/>
          <w:szCs w:val="20"/>
        </w:rPr>
        <w:t xml:space="preserve">za rok 2017 zaujala ČR mezi zeměmi EU28 </w:t>
      </w:r>
      <w:r w:rsidRPr="001318E4">
        <w:rPr>
          <w:b/>
          <w:sz w:val="20"/>
          <w:szCs w:val="20"/>
        </w:rPr>
        <w:t>osmou nejvyšší příčku</w:t>
      </w:r>
      <w:r w:rsidRPr="001318E4">
        <w:rPr>
          <w:sz w:val="20"/>
          <w:szCs w:val="20"/>
        </w:rPr>
        <w:t xml:space="preserve">. Nejaktivnější jsou v tomto ohledu občané Lucemburska, Německa a skandinávských zemí. Pokud porovnáme výsledky za roky 2007 a 2017, </w:t>
      </w:r>
      <w:r w:rsidRPr="001318E4">
        <w:rPr>
          <w:b/>
          <w:sz w:val="20"/>
          <w:szCs w:val="20"/>
        </w:rPr>
        <w:t xml:space="preserve">ČR zaznamenala </w:t>
      </w:r>
      <w:r w:rsidRPr="001318E4">
        <w:rPr>
          <w:sz w:val="20"/>
          <w:szCs w:val="20"/>
        </w:rPr>
        <w:t>v tomto desetiletém období</w:t>
      </w:r>
      <w:r w:rsidRPr="001318E4">
        <w:rPr>
          <w:b/>
          <w:sz w:val="20"/>
          <w:szCs w:val="20"/>
        </w:rPr>
        <w:t xml:space="preserve"> nejvyšší nárůst</w:t>
      </w:r>
      <w:r w:rsidRPr="001318E4">
        <w:rPr>
          <w:sz w:val="20"/>
          <w:szCs w:val="20"/>
        </w:rPr>
        <w:t xml:space="preserve"> podílu jednotlivců, kteří na internetu vyhledávají informace o cestování a ubytování.</w:t>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V České republice si sjednalo po internetu v roce 2017 </w:t>
      </w:r>
      <w:r w:rsidRPr="001318E4">
        <w:rPr>
          <w:b/>
          <w:sz w:val="20"/>
          <w:szCs w:val="20"/>
        </w:rPr>
        <w:t>ubytování od soukromých osob</w:t>
      </w:r>
      <w:r w:rsidRPr="001318E4">
        <w:rPr>
          <w:sz w:val="20"/>
          <w:szCs w:val="20"/>
        </w:rPr>
        <w:t xml:space="preserve"> v rámci sdílené ekonomiky 4,4 % jednotlivců. Přibližně polovina z nich k</w:t>
      </w:r>
      <w:r w:rsidR="009A754C">
        <w:rPr>
          <w:sz w:val="20"/>
          <w:szCs w:val="20"/>
        </w:rPr>
        <w:t> </w:t>
      </w:r>
      <w:r w:rsidRPr="001318E4">
        <w:rPr>
          <w:sz w:val="20"/>
          <w:szCs w:val="20"/>
        </w:rPr>
        <w:t>tomu použila specializované platformy (např.</w:t>
      </w:r>
      <w:r w:rsidR="007D726B">
        <w:rPr>
          <w:sz w:val="20"/>
          <w:szCs w:val="20"/>
        </w:rPr>
        <w:t> </w:t>
      </w:r>
      <w:proofErr w:type="spellStart"/>
      <w:r w:rsidRPr="001318E4">
        <w:rPr>
          <w:sz w:val="20"/>
          <w:szCs w:val="20"/>
        </w:rPr>
        <w:t>Airbnb</w:t>
      </w:r>
      <w:proofErr w:type="spellEnd"/>
      <w:r w:rsidRPr="001318E4">
        <w:rPr>
          <w:sz w:val="20"/>
          <w:szCs w:val="20"/>
        </w:rPr>
        <w:t xml:space="preserve">, </w:t>
      </w:r>
      <w:proofErr w:type="spellStart"/>
      <w:r w:rsidRPr="001318E4">
        <w:rPr>
          <w:sz w:val="20"/>
          <w:szCs w:val="20"/>
        </w:rPr>
        <w:t>Couchsurfing</w:t>
      </w:r>
      <w:proofErr w:type="spellEnd"/>
      <w:r w:rsidRPr="001318E4">
        <w:rPr>
          <w:sz w:val="20"/>
          <w:szCs w:val="20"/>
        </w:rPr>
        <w:t>), druhá polovina použila jiné stránky (např. skupiny na sociálních sítích). Tento ukazatel představuje podíl osob, které toto ubytování po internetu sjednávaly. Na dovolenou pak jeli sami, s rodinou či přáteli. Ukazatel bude tedy více vypovídající, vztáhne-li se k celkovému podílu osob, které si přes internet sjednali jakékoliv ubytování (tedy včetně ubytování od právnických osob</w:t>
      </w:r>
      <w:r w:rsidR="009A754C">
        <w:rPr>
          <w:sz w:val="20"/>
          <w:szCs w:val="20"/>
        </w:rPr>
        <w:t xml:space="preserve"> – tj. v hotelu, penzionu a v dalších komerčních ubytovacích zařízeních</w:t>
      </w:r>
      <w:r w:rsidRPr="001318E4">
        <w:rPr>
          <w:sz w:val="20"/>
          <w:szCs w:val="20"/>
        </w:rPr>
        <w:t>). Na</w:t>
      </w:r>
      <w:r w:rsidR="007D726B">
        <w:rPr>
          <w:sz w:val="20"/>
          <w:szCs w:val="20"/>
        </w:rPr>
        <w:t> </w:t>
      </w:r>
      <w:r w:rsidRPr="001318E4">
        <w:rPr>
          <w:sz w:val="20"/>
          <w:szCs w:val="20"/>
        </w:rPr>
        <w:t>takovéto základně činil podíl osob sjednávajících ubytování od soukromých osob 21 %.</w:t>
      </w:r>
    </w:p>
    <w:p w:rsidR="001C4EA2" w:rsidRPr="001C4EA2" w:rsidRDefault="001C4EA2" w:rsidP="001C4EA2">
      <w:pPr>
        <w:pStyle w:val="Titulek"/>
        <w:keepNext/>
        <w:spacing w:after="0"/>
        <w:jc w:val="both"/>
        <w:rPr>
          <w:color w:val="FFFFFF" w:themeColor="background1"/>
          <w:sz w:val="4"/>
          <w:szCs w:val="4"/>
        </w:rPr>
      </w:pPr>
      <w:bookmarkStart w:id="41" w:name="_Toc524332556"/>
      <w:r w:rsidRPr="001C4EA2">
        <w:rPr>
          <w:color w:val="FFFFFF" w:themeColor="background1"/>
          <w:sz w:val="4"/>
          <w:szCs w:val="4"/>
        </w:rPr>
        <w:t>Graf C</w:t>
      </w:r>
      <w:r w:rsidRPr="001C4EA2">
        <w:rPr>
          <w:color w:val="FFFFFF" w:themeColor="background1"/>
          <w:sz w:val="4"/>
          <w:szCs w:val="4"/>
        </w:rPr>
        <w:fldChar w:fldCharType="begin"/>
      </w:r>
      <w:r w:rsidRPr="001C4EA2">
        <w:rPr>
          <w:color w:val="FFFFFF" w:themeColor="background1"/>
          <w:sz w:val="4"/>
          <w:szCs w:val="4"/>
        </w:rPr>
        <w:instrText xml:space="preserve"> SEQ Graf_C \* ARABIC </w:instrText>
      </w:r>
      <w:r w:rsidRPr="001C4EA2">
        <w:rPr>
          <w:color w:val="FFFFFF" w:themeColor="background1"/>
          <w:sz w:val="4"/>
          <w:szCs w:val="4"/>
        </w:rPr>
        <w:fldChar w:fldCharType="separate"/>
      </w:r>
      <w:r>
        <w:rPr>
          <w:noProof/>
          <w:color w:val="FFFFFF" w:themeColor="background1"/>
          <w:sz w:val="4"/>
          <w:szCs w:val="4"/>
        </w:rPr>
        <w:t>27</w:t>
      </w:r>
      <w:r w:rsidRPr="001C4EA2">
        <w:rPr>
          <w:color w:val="FFFFFF" w:themeColor="background1"/>
          <w:sz w:val="4"/>
          <w:szCs w:val="4"/>
        </w:rPr>
        <w:fldChar w:fldCharType="end"/>
      </w:r>
      <w:r w:rsidRPr="001C4EA2">
        <w:rPr>
          <w:color w:val="FFFFFF" w:themeColor="background1"/>
          <w:sz w:val="4"/>
          <w:szCs w:val="4"/>
        </w:rPr>
        <w:t xml:space="preserve"> </w:t>
      </w:r>
      <w:proofErr w:type="spellStart"/>
      <w:r w:rsidRPr="001C4EA2">
        <w:rPr>
          <w:color w:val="FFFFFF" w:themeColor="background1"/>
          <w:sz w:val="4"/>
          <w:szCs w:val="4"/>
          <w:lang w:val="en-US"/>
        </w:rPr>
        <w:t>Jednotlivci</w:t>
      </w:r>
      <w:proofErr w:type="spellEnd"/>
      <w:r w:rsidRPr="001C4EA2">
        <w:rPr>
          <w:color w:val="FFFFFF" w:themeColor="background1"/>
          <w:sz w:val="4"/>
          <w:szCs w:val="4"/>
          <w:lang w:val="en-US"/>
        </w:rPr>
        <w:t xml:space="preserve"> v </w:t>
      </w:r>
      <w:proofErr w:type="spellStart"/>
      <w:r w:rsidRPr="001C4EA2">
        <w:rPr>
          <w:color w:val="FFFFFF" w:themeColor="background1"/>
          <w:sz w:val="4"/>
          <w:szCs w:val="4"/>
          <w:lang w:val="en-US"/>
        </w:rPr>
        <w:t>zemích</w:t>
      </w:r>
      <w:proofErr w:type="spellEnd"/>
      <w:r w:rsidRPr="001C4EA2">
        <w:rPr>
          <w:color w:val="FFFFFF" w:themeColor="background1"/>
          <w:sz w:val="4"/>
          <w:szCs w:val="4"/>
          <w:lang w:val="en-US"/>
        </w:rPr>
        <w:t xml:space="preserve"> EU </w:t>
      </w:r>
      <w:r w:rsidRPr="001C4EA2">
        <w:rPr>
          <w:color w:val="FFFFFF" w:themeColor="background1"/>
          <w:sz w:val="4"/>
          <w:szCs w:val="4"/>
        </w:rPr>
        <w:t>ve věku 16 až 74 let, kteří přes internet nakoupili ubytování</w:t>
      </w:r>
      <w:bookmarkEnd w:id="41"/>
    </w:p>
    <w:p w:rsidR="009171D1" w:rsidRPr="001318E4" w:rsidRDefault="009171D1" w:rsidP="009171D1">
      <w:pPr>
        <w:pStyle w:val="Zkladntext"/>
        <w:spacing w:before="0" w:after="120" w:line="288" w:lineRule="auto"/>
        <w:rPr>
          <w:sz w:val="20"/>
          <w:szCs w:val="20"/>
        </w:rPr>
      </w:pPr>
      <w:r w:rsidRPr="001318E4">
        <w:rPr>
          <w:noProof/>
        </w:rPr>
        <w:drawing>
          <wp:inline distT="0" distB="0" distL="0" distR="0" wp14:anchorId="7976BC09" wp14:editId="5B1895BC">
            <wp:extent cx="5972810" cy="3112135"/>
            <wp:effectExtent l="0" t="0" r="0" b="0"/>
            <wp:docPr id="84" name="Graf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lastRenderedPageBreak/>
        <w:t xml:space="preserve">Vedle sdíleného ubytování existují i stránky poskytující </w:t>
      </w:r>
      <w:r w:rsidRPr="001318E4">
        <w:rPr>
          <w:b/>
          <w:sz w:val="20"/>
          <w:szCs w:val="20"/>
        </w:rPr>
        <w:t>sdílenou automobilovou přepravu</w:t>
      </w:r>
      <w:r w:rsidRPr="001318E4">
        <w:rPr>
          <w:sz w:val="20"/>
          <w:szCs w:val="20"/>
        </w:rPr>
        <w:t>. Spolujízda u nás v roce 2010 začínala mezi studenty a byla průkopníkem sdílených jízd v Česku. Podobně jako v případě ubytování i zde jsou zájemcům k dispozici jednak specializované stránky a aplikace (např.</w:t>
      </w:r>
      <w:r w:rsidR="007D726B">
        <w:rPr>
          <w:sz w:val="20"/>
          <w:szCs w:val="20"/>
        </w:rPr>
        <w:t> </w:t>
      </w:r>
      <w:r w:rsidRPr="001318E4">
        <w:rPr>
          <w:sz w:val="20"/>
          <w:szCs w:val="20"/>
        </w:rPr>
        <w:t>Uber, BlaBlaCar.cz), jednak jiné stránky a aplikace (např. skupiny na sociálních sítích). V roce 2017 využilo této služby (přes jakékoliv webové stránky či aplikaci) 1,6 % jednotlivců, tj. 16 % z uživatelů sjednávajících si na internetu dopravu. U spolujízdy je patrné největší zapojení z řad věkové skupiny 16 až 24 let (6 %), resp. ze skupiny studentů (8 %).</w:t>
      </w:r>
    </w:p>
    <w:p w:rsidR="009171D1" w:rsidRPr="001318E4" w:rsidRDefault="009171D1" w:rsidP="00B1686C">
      <w:pPr>
        <w:pStyle w:val="Nadpis3"/>
        <w:spacing w:before="240" w:after="120" w:line="264" w:lineRule="auto"/>
      </w:pPr>
      <w:bookmarkStart w:id="42" w:name="_Toc525303547"/>
      <w:r w:rsidRPr="001318E4">
        <w:t>Využívání internetových úložišť a internetového bankovnictví</w:t>
      </w:r>
      <w:bookmarkEnd w:id="42"/>
      <w:r w:rsidRPr="001318E4">
        <w:t xml:space="preserve"> </w:t>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rFonts w:cs="Arial"/>
          <w:sz w:val="20"/>
          <w:szCs w:val="20"/>
        </w:rPr>
      </w:pPr>
      <w:r w:rsidRPr="001318E4">
        <w:rPr>
          <w:rFonts w:cs="Arial"/>
          <w:sz w:val="20"/>
          <w:szCs w:val="20"/>
        </w:rPr>
        <w:t xml:space="preserve">Vzhledem k propojenosti různých typů elektronických zařízení používaných k přístupu na internet nabývá na významu využívání </w:t>
      </w:r>
      <w:r w:rsidRPr="001318E4">
        <w:rPr>
          <w:rFonts w:cs="Arial"/>
          <w:b/>
          <w:sz w:val="20"/>
          <w:szCs w:val="20"/>
        </w:rPr>
        <w:t>internetových úložišť</w:t>
      </w:r>
      <w:r w:rsidRPr="001318E4">
        <w:rPr>
          <w:rStyle w:val="Znakapoznpodarou"/>
          <w:rFonts w:cs="Arial"/>
          <w:sz w:val="20"/>
          <w:szCs w:val="20"/>
        </w:rPr>
        <w:footnoteReference w:id="7"/>
      </w:r>
      <w:r w:rsidRPr="001318E4">
        <w:rPr>
          <w:rFonts w:cs="Arial"/>
          <w:sz w:val="20"/>
          <w:szCs w:val="20"/>
        </w:rPr>
        <w:t>. V roce 2017 využívalo v České republice internetová úložiště 22 % jednotlivců. Oproti roku 2014 se zvýšil jejich podíl o 7 p. b. Mezi uživateli převažují muži (25 %) nad ženami (19 %). Nejvyšší podíl (48 %) vykazují osoby od 16 do 24 let. Hojné je využívání těchto služeb mezi studenty (54 %), kteří často používají více zařízení s přístupem na internet, a tak ocení přístup k dokumentům z různých míst.</w:t>
      </w:r>
    </w:p>
    <w:p w:rsidR="001C4EA2" w:rsidRPr="000D5447" w:rsidRDefault="001C4EA2" w:rsidP="001C4EA2">
      <w:pPr>
        <w:pStyle w:val="Titulek"/>
        <w:keepNext/>
        <w:spacing w:after="0"/>
        <w:jc w:val="both"/>
        <w:rPr>
          <w:color w:val="FFFFFF" w:themeColor="background1"/>
          <w:sz w:val="4"/>
          <w:szCs w:val="4"/>
        </w:rPr>
      </w:pPr>
      <w:bookmarkStart w:id="43" w:name="_Toc524332557"/>
      <w:r w:rsidRPr="000D5447">
        <w:rPr>
          <w:color w:val="FFFFFF" w:themeColor="background1"/>
          <w:sz w:val="4"/>
          <w:szCs w:val="4"/>
        </w:rPr>
        <w:t>Graf C</w:t>
      </w:r>
      <w:r w:rsidRPr="000D5447">
        <w:rPr>
          <w:color w:val="FFFFFF" w:themeColor="background1"/>
          <w:sz w:val="4"/>
          <w:szCs w:val="4"/>
        </w:rPr>
        <w:fldChar w:fldCharType="begin"/>
      </w:r>
      <w:r w:rsidRPr="000D5447">
        <w:rPr>
          <w:color w:val="FFFFFF" w:themeColor="background1"/>
          <w:sz w:val="4"/>
          <w:szCs w:val="4"/>
        </w:rPr>
        <w:instrText xml:space="preserve"> SEQ Graf_C \* ARABIC </w:instrText>
      </w:r>
      <w:r w:rsidRPr="000D5447">
        <w:rPr>
          <w:color w:val="FFFFFF" w:themeColor="background1"/>
          <w:sz w:val="4"/>
          <w:szCs w:val="4"/>
        </w:rPr>
        <w:fldChar w:fldCharType="separate"/>
      </w:r>
      <w:r w:rsidRPr="000D5447">
        <w:rPr>
          <w:noProof/>
          <w:color w:val="FFFFFF" w:themeColor="background1"/>
          <w:sz w:val="4"/>
          <w:szCs w:val="4"/>
        </w:rPr>
        <w:t>28</w:t>
      </w:r>
      <w:r w:rsidRPr="000D5447">
        <w:rPr>
          <w:color w:val="FFFFFF" w:themeColor="background1"/>
          <w:sz w:val="4"/>
          <w:szCs w:val="4"/>
        </w:rPr>
        <w:fldChar w:fldCharType="end"/>
      </w:r>
      <w:r w:rsidRPr="000D5447">
        <w:rPr>
          <w:color w:val="FFFFFF" w:themeColor="background1"/>
          <w:sz w:val="4"/>
          <w:szCs w:val="4"/>
        </w:rPr>
        <w:t xml:space="preserve"> Jednotlivci v Česku ve věku 16 let a starší používající internetové bankovnictví</w:t>
      </w:r>
      <w:bookmarkEnd w:id="43"/>
    </w:p>
    <w:p w:rsidR="001C4EA2" w:rsidRPr="001C4EA2" w:rsidRDefault="001C4EA2" w:rsidP="001C4EA2">
      <w:pPr>
        <w:pStyle w:val="Titulek"/>
        <w:keepNext/>
        <w:spacing w:after="0"/>
        <w:jc w:val="both"/>
        <w:rPr>
          <w:color w:val="FFFFFF" w:themeColor="background1"/>
          <w:sz w:val="4"/>
          <w:szCs w:val="4"/>
        </w:rPr>
      </w:pPr>
      <w:bookmarkStart w:id="44" w:name="_Toc524332558"/>
      <w:r w:rsidRPr="001C4EA2">
        <w:rPr>
          <w:color w:val="FFFFFF" w:themeColor="background1"/>
          <w:sz w:val="4"/>
          <w:szCs w:val="4"/>
        </w:rPr>
        <w:t>Graf C</w:t>
      </w:r>
      <w:r w:rsidRPr="001C4EA2">
        <w:rPr>
          <w:color w:val="FFFFFF" w:themeColor="background1"/>
          <w:sz w:val="4"/>
          <w:szCs w:val="4"/>
        </w:rPr>
        <w:fldChar w:fldCharType="begin"/>
      </w:r>
      <w:r w:rsidRPr="001C4EA2">
        <w:rPr>
          <w:color w:val="FFFFFF" w:themeColor="background1"/>
          <w:sz w:val="4"/>
          <w:szCs w:val="4"/>
        </w:rPr>
        <w:instrText xml:space="preserve"> SEQ Graf_C \* ARABIC </w:instrText>
      </w:r>
      <w:r w:rsidRPr="001C4EA2">
        <w:rPr>
          <w:color w:val="FFFFFF" w:themeColor="background1"/>
          <w:sz w:val="4"/>
          <w:szCs w:val="4"/>
        </w:rPr>
        <w:fldChar w:fldCharType="separate"/>
      </w:r>
      <w:r>
        <w:rPr>
          <w:noProof/>
          <w:color w:val="FFFFFF" w:themeColor="background1"/>
          <w:sz w:val="4"/>
          <w:szCs w:val="4"/>
        </w:rPr>
        <w:t>29</w:t>
      </w:r>
      <w:r w:rsidRPr="001C4EA2">
        <w:rPr>
          <w:color w:val="FFFFFF" w:themeColor="background1"/>
          <w:sz w:val="4"/>
          <w:szCs w:val="4"/>
        </w:rPr>
        <w:fldChar w:fldCharType="end"/>
      </w:r>
      <w:r w:rsidRPr="001C4EA2">
        <w:rPr>
          <w:color w:val="FFFFFF" w:themeColor="background1"/>
          <w:sz w:val="4"/>
          <w:szCs w:val="4"/>
        </w:rPr>
        <w:t xml:space="preserve"> Jednotlivci v Česku používající internetová úložiště v roce 2017</w:t>
      </w:r>
      <w:bookmarkEnd w:id="44"/>
    </w:p>
    <w:p w:rsidR="009171D1" w:rsidRPr="001318E4" w:rsidRDefault="009171D1" w:rsidP="009171D1">
      <w:pPr>
        <w:pStyle w:val="Zkladntext"/>
        <w:spacing w:before="0" w:after="120" w:line="288" w:lineRule="auto"/>
        <w:rPr>
          <w:rFonts w:cs="Arial"/>
          <w:sz w:val="20"/>
          <w:szCs w:val="20"/>
        </w:rPr>
      </w:pPr>
      <w:r w:rsidRPr="001318E4">
        <w:rPr>
          <w:noProof/>
        </w:rPr>
        <w:drawing>
          <wp:inline distT="0" distB="0" distL="0" distR="0" wp14:anchorId="59353FDC" wp14:editId="6ADFD0B5">
            <wp:extent cx="2988000" cy="3240000"/>
            <wp:effectExtent l="0" t="0" r="3175" b="0"/>
            <wp:docPr id="85" name="Graf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1318E4">
        <w:rPr>
          <w:noProof/>
          <w:lang w:eastAsia="en-US"/>
        </w:rPr>
        <w:t xml:space="preserve"> </w:t>
      </w:r>
      <w:r w:rsidRPr="001318E4">
        <w:rPr>
          <w:noProof/>
        </w:rPr>
        <w:drawing>
          <wp:inline distT="0" distB="0" distL="0" distR="0" wp14:anchorId="27569E46" wp14:editId="4102BA46">
            <wp:extent cx="3024000" cy="3238500"/>
            <wp:effectExtent l="0" t="0" r="5080" b="0"/>
            <wp:docPr id="86" name="Graf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171D1" w:rsidRPr="00B1686C" w:rsidRDefault="009171D1" w:rsidP="00B1686C">
      <w:pPr>
        <w:pStyle w:val="Zkladntext"/>
        <w:numPr>
          <w:ilvl w:val="0"/>
          <w:numId w:val="14"/>
        </w:numPr>
        <w:tabs>
          <w:tab w:val="clear" w:pos="360"/>
          <w:tab w:val="num" w:pos="284"/>
        </w:tabs>
        <w:spacing w:before="0" w:after="80" w:line="264" w:lineRule="auto"/>
        <w:ind w:left="284" w:hanging="284"/>
        <w:rPr>
          <w:bCs/>
          <w:i/>
          <w:sz w:val="20"/>
          <w:szCs w:val="20"/>
        </w:rPr>
      </w:pPr>
      <w:r w:rsidRPr="001318E4">
        <w:rPr>
          <w:rFonts w:cs="Arial"/>
          <w:b/>
          <w:sz w:val="20"/>
          <w:szCs w:val="20"/>
        </w:rPr>
        <w:t>Internetové bankovnictví</w:t>
      </w:r>
      <w:r w:rsidRPr="001318E4">
        <w:rPr>
          <w:rFonts w:cs="Arial"/>
          <w:sz w:val="20"/>
          <w:szCs w:val="20"/>
        </w:rPr>
        <w:t xml:space="preserve"> je jednou ze základních finančních online služeb, určenou primárně ke vzdálenému ovládání a správě bankovního účtu. Prostřednictvím portálu lze mj. kontrolovat zůstatek na bankovním účtu, zadávat platební příkazy, trvalé platby, nastavit limity plateb a výběrů atp. Ve 2. čtvrtletí roku 2017 používalo v Česku internetové bankovnictví 4,5 mil. jednotlivců (52 % dospělé populace a 66 % uživatelů internetu) – před deseti lety to bylo 0,9 mil. jednotlivců (11</w:t>
      </w:r>
      <w:r w:rsidR="00B1686C">
        <w:rPr>
          <w:rFonts w:cs="Arial"/>
          <w:sz w:val="20"/>
          <w:szCs w:val="20"/>
        </w:rPr>
        <w:t> % dospělé populace).</w:t>
      </w:r>
    </w:p>
    <w:p w:rsidR="001C4EA2" w:rsidRPr="001C4EA2" w:rsidRDefault="001C4EA2" w:rsidP="001C4EA2">
      <w:pPr>
        <w:pStyle w:val="Titulek"/>
        <w:keepNext/>
        <w:spacing w:after="0"/>
        <w:jc w:val="both"/>
        <w:rPr>
          <w:color w:val="FFFFFF" w:themeColor="background1"/>
          <w:sz w:val="4"/>
          <w:szCs w:val="4"/>
        </w:rPr>
      </w:pPr>
      <w:bookmarkStart w:id="45" w:name="_Toc524332559"/>
      <w:r w:rsidRPr="001C4EA2">
        <w:rPr>
          <w:color w:val="FFFFFF" w:themeColor="background1"/>
          <w:sz w:val="4"/>
          <w:szCs w:val="4"/>
        </w:rPr>
        <w:lastRenderedPageBreak/>
        <w:t>Graf C</w:t>
      </w:r>
      <w:r w:rsidRPr="001C4EA2">
        <w:rPr>
          <w:color w:val="FFFFFF" w:themeColor="background1"/>
          <w:sz w:val="4"/>
          <w:szCs w:val="4"/>
        </w:rPr>
        <w:fldChar w:fldCharType="begin"/>
      </w:r>
      <w:r w:rsidRPr="001C4EA2">
        <w:rPr>
          <w:color w:val="FFFFFF" w:themeColor="background1"/>
          <w:sz w:val="4"/>
          <w:szCs w:val="4"/>
        </w:rPr>
        <w:instrText xml:space="preserve"> SEQ Graf_C \* ARABIC </w:instrText>
      </w:r>
      <w:r w:rsidRPr="001C4EA2">
        <w:rPr>
          <w:color w:val="FFFFFF" w:themeColor="background1"/>
          <w:sz w:val="4"/>
          <w:szCs w:val="4"/>
        </w:rPr>
        <w:fldChar w:fldCharType="separate"/>
      </w:r>
      <w:r>
        <w:rPr>
          <w:noProof/>
          <w:color w:val="FFFFFF" w:themeColor="background1"/>
          <w:sz w:val="4"/>
          <w:szCs w:val="4"/>
        </w:rPr>
        <w:t>30</w:t>
      </w:r>
      <w:r w:rsidRPr="001C4EA2">
        <w:rPr>
          <w:color w:val="FFFFFF" w:themeColor="background1"/>
          <w:sz w:val="4"/>
          <w:szCs w:val="4"/>
        </w:rPr>
        <w:fldChar w:fldCharType="end"/>
      </w:r>
      <w:r w:rsidRPr="001C4EA2">
        <w:rPr>
          <w:color w:val="FFFFFF" w:themeColor="background1"/>
          <w:sz w:val="4"/>
          <w:szCs w:val="4"/>
        </w:rPr>
        <w:t xml:space="preserve"> </w:t>
      </w:r>
      <w:proofErr w:type="spellStart"/>
      <w:r w:rsidRPr="001C4EA2">
        <w:rPr>
          <w:color w:val="FFFFFF" w:themeColor="background1"/>
          <w:sz w:val="4"/>
          <w:szCs w:val="4"/>
          <w:lang w:val="en-US"/>
        </w:rPr>
        <w:t>Jednotlivci</w:t>
      </w:r>
      <w:proofErr w:type="spellEnd"/>
      <w:r w:rsidRPr="001C4EA2">
        <w:rPr>
          <w:color w:val="FFFFFF" w:themeColor="background1"/>
          <w:sz w:val="4"/>
          <w:szCs w:val="4"/>
          <w:lang w:val="en-US"/>
        </w:rPr>
        <w:t xml:space="preserve"> v </w:t>
      </w:r>
      <w:proofErr w:type="spellStart"/>
      <w:r w:rsidRPr="001C4EA2">
        <w:rPr>
          <w:color w:val="FFFFFF" w:themeColor="background1"/>
          <w:sz w:val="4"/>
          <w:szCs w:val="4"/>
          <w:lang w:val="en-US"/>
        </w:rPr>
        <w:t>zemích</w:t>
      </w:r>
      <w:proofErr w:type="spellEnd"/>
      <w:r w:rsidRPr="001C4EA2">
        <w:rPr>
          <w:color w:val="FFFFFF" w:themeColor="background1"/>
          <w:sz w:val="4"/>
          <w:szCs w:val="4"/>
          <w:lang w:val="en-US"/>
        </w:rPr>
        <w:t xml:space="preserve"> EU </w:t>
      </w:r>
      <w:r w:rsidRPr="001C4EA2">
        <w:rPr>
          <w:color w:val="FFFFFF" w:themeColor="background1"/>
          <w:sz w:val="4"/>
          <w:szCs w:val="4"/>
        </w:rPr>
        <w:t xml:space="preserve">ve věku 16 až 74 let </w:t>
      </w:r>
      <w:proofErr w:type="spellStart"/>
      <w:r w:rsidRPr="001C4EA2">
        <w:rPr>
          <w:color w:val="FFFFFF" w:themeColor="background1"/>
          <w:sz w:val="4"/>
          <w:szCs w:val="4"/>
          <w:lang w:val="en-US"/>
        </w:rPr>
        <w:t>používající</w:t>
      </w:r>
      <w:proofErr w:type="spellEnd"/>
      <w:r w:rsidRPr="001C4EA2">
        <w:rPr>
          <w:color w:val="FFFFFF" w:themeColor="background1"/>
          <w:sz w:val="4"/>
          <w:szCs w:val="4"/>
          <w:lang w:val="en-US"/>
        </w:rPr>
        <w:t xml:space="preserve"> internet</w:t>
      </w:r>
      <w:proofErr w:type="spellStart"/>
      <w:r w:rsidRPr="001C4EA2">
        <w:rPr>
          <w:color w:val="FFFFFF" w:themeColor="background1"/>
          <w:sz w:val="4"/>
          <w:szCs w:val="4"/>
        </w:rPr>
        <w:t>ové</w:t>
      </w:r>
      <w:proofErr w:type="spellEnd"/>
      <w:r w:rsidRPr="001C4EA2">
        <w:rPr>
          <w:color w:val="FFFFFF" w:themeColor="background1"/>
          <w:sz w:val="4"/>
          <w:szCs w:val="4"/>
        </w:rPr>
        <w:t xml:space="preserve"> bankovnictví</w:t>
      </w:r>
      <w:bookmarkEnd w:id="45"/>
    </w:p>
    <w:p w:rsidR="009171D1" w:rsidRPr="001318E4" w:rsidRDefault="009171D1" w:rsidP="009171D1">
      <w:pPr>
        <w:pStyle w:val="Zkladntext"/>
        <w:spacing w:before="0" w:after="120" w:line="288" w:lineRule="auto"/>
        <w:rPr>
          <w:sz w:val="20"/>
          <w:szCs w:val="20"/>
        </w:rPr>
      </w:pPr>
      <w:r w:rsidRPr="001318E4">
        <w:rPr>
          <w:noProof/>
        </w:rPr>
        <w:drawing>
          <wp:inline distT="0" distB="0" distL="0" distR="0" wp14:anchorId="20B0D6EA" wp14:editId="3B318D6C">
            <wp:extent cx="5972810" cy="3112135"/>
            <wp:effectExtent l="0" t="0" r="0" b="0"/>
            <wp:docPr id="87" name="Graf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b/>
          <w:sz w:val="20"/>
          <w:szCs w:val="20"/>
        </w:rPr>
        <w:t xml:space="preserve">V mezinárodním srovnání </w:t>
      </w:r>
      <w:r w:rsidRPr="001318E4">
        <w:rPr>
          <w:sz w:val="20"/>
          <w:szCs w:val="20"/>
        </w:rPr>
        <w:t>využívání internetového bankovnictví jsme za rok 2017</w:t>
      </w:r>
      <w:r w:rsidRPr="001318E4">
        <w:rPr>
          <w:b/>
          <w:sz w:val="20"/>
          <w:szCs w:val="20"/>
        </w:rPr>
        <w:t xml:space="preserve"> </w:t>
      </w:r>
      <w:r w:rsidRPr="001318E4">
        <w:rPr>
          <w:sz w:val="20"/>
          <w:szCs w:val="20"/>
        </w:rPr>
        <w:t>mírně nad průměrem EU28. Nejaktivnější jsou v používání internetového bankovnictví občané severských států</w:t>
      </w:r>
      <w:r w:rsidR="00DF75BB">
        <w:rPr>
          <w:sz w:val="20"/>
          <w:szCs w:val="20"/>
        </w:rPr>
        <w:t>, Beneluxu, Velké Británie</w:t>
      </w:r>
      <w:r w:rsidRPr="001318E4">
        <w:rPr>
          <w:sz w:val="20"/>
          <w:szCs w:val="20"/>
        </w:rPr>
        <w:t xml:space="preserve"> a </w:t>
      </w:r>
      <w:r w:rsidR="00DF75BB">
        <w:rPr>
          <w:sz w:val="20"/>
          <w:szCs w:val="20"/>
        </w:rPr>
        <w:t>Francie</w:t>
      </w:r>
      <w:r w:rsidRPr="001318E4">
        <w:rPr>
          <w:sz w:val="20"/>
          <w:szCs w:val="20"/>
        </w:rPr>
        <w:t xml:space="preserve">. Pokud porovnáme výsledky za roky 2007 a 2017, je nutné dodat, že </w:t>
      </w:r>
      <w:r w:rsidRPr="001318E4">
        <w:rPr>
          <w:b/>
          <w:sz w:val="20"/>
          <w:szCs w:val="20"/>
        </w:rPr>
        <w:t xml:space="preserve">ČR zaznamenala </w:t>
      </w:r>
      <w:r w:rsidRPr="001318E4">
        <w:rPr>
          <w:sz w:val="20"/>
          <w:szCs w:val="20"/>
        </w:rPr>
        <w:t>v tomto desetiletém období</w:t>
      </w:r>
      <w:r w:rsidRPr="001318E4">
        <w:rPr>
          <w:b/>
          <w:sz w:val="20"/>
          <w:szCs w:val="20"/>
        </w:rPr>
        <w:t xml:space="preserve"> nejvyšší nárůst</w:t>
      </w:r>
      <w:r w:rsidRPr="001318E4">
        <w:rPr>
          <w:sz w:val="20"/>
          <w:szCs w:val="20"/>
        </w:rPr>
        <w:t xml:space="preserve"> podílu jednotlivců využívajících internetového bankovnictví. </w:t>
      </w:r>
    </w:p>
    <w:p w:rsidR="009171D1" w:rsidRPr="001318E4" w:rsidRDefault="009171D1" w:rsidP="00B1686C">
      <w:pPr>
        <w:pStyle w:val="Zkladntext"/>
        <w:numPr>
          <w:ilvl w:val="0"/>
          <w:numId w:val="14"/>
        </w:numPr>
        <w:tabs>
          <w:tab w:val="clear" w:pos="360"/>
          <w:tab w:val="num" w:pos="284"/>
        </w:tabs>
        <w:spacing w:before="0" w:after="80" w:line="264" w:lineRule="auto"/>
        <w:ind w:left="284" w:hanging="284"/>
        <w:rPr>
          <w:sz w:val="20"/>
          <w:szCs w:val="20"/>
        </w:rPr>
      </w:pPr>
      <w:r w:rsidRPr="001318E4">
        <w:rPr>
          <w:sz w:val="20"/>
          <w:szCs w:val="20"/>
        </w:rPr>
        <w:t xml:space="preserve">Internetové bankovnictví je v ČR tou nejčastěji využívanou finanční online službou. Ostatní sledované </w:t>
      </w:r>
      <w:r w:rsidRPr="001318E4">
        <w:rPr>
          <w:b/>
          <w:sz w:val="20"/>
          <w:szCs w:val="20"/>
        </w:rPr>
        <w:t>finanční služby</w:t>
      </w:r>
      <w:r w:rsidRPr="001318E4">
        <w:rPr>
          <w:sz w:val="20"/>
          <w:szCs w:val="20"/>
        </w:rPr>
        <w:t xml:space="preserve"> – sjednání pojištění online, sjednání půjčky a obchod s cennými papíry online – jsou využívány výrazně méně. V případě sjednání pojištění (např. cestovního) online je to 10,2 % (respektive 12,8 % mezi populací využívající internet). U sjednávání půjček a obchodování s cennými papíry se pak jedná pouze o 0,7 % (respektive 0,9 % mezi internetovou populací).</w:t>
      </w:r>
    </w:p>
    <w:p w:rsidR="009171D1" w:rsidRPr="001318E4" w:rsidRDefault="009171D1" w:rsidP="00B1686C">
      <w:pPr>
        <w:pStyle w:val="Nadpis2"/>
        <w:spacing w:before="240" w:after="120" w:line="264" w:lineRule="auto"/>
      </w:pPr>
      <w:bookmarkStart w:id="46" w:name="_Toc525303548"/>
      <w:r w:rsidRPr="001318E4">
        <w:t>C. 4 Nakupování přes internet</w:t>
      </w:r>
      <w:bookmarkEnd w:id="46"/>
    </w:p>
    <w:p w:rsidR="009171D1" w:rsidRPr="001318E4" w:rsidRDefault="009171D1" w:rsidP="00B1686C">
      <w:pPr>
        <w:pStyle w:val="Zkladntext"/>
        <w:spacing w:before="0" w:after="80" w:line="264" w:lineRule="auto"/>
        <w:rPr>
          <w:i/>
          <w:sz w:val="20"/>
        </w:rPr>
      </w:pPr>
      <w:r w:rsidRPr="001318E4">
        <w:rPr>
          <w:i/>
          <w:sz w:val="20"/>
        </w:rPr>
        <w:t>Nakupování v e-</w:t>
      </w:r>
      <w:proofErr w:type="spellStart"/>
      <w:r w:rsidRPr="001318E4">
        <w:rPr>
          <w:i/>
          <w:sz w:val="20"/>
        </w:rPr>
        <w:t>shopech</w:t>
      </w:r>
      <w:proofErr w:type="spellEnd"/>
      <w:r w:rsidRPr="001318E4">
        <w:rPr>
          <w:i/>
          <w:sz w:val="20"/>
        </w:rPr>
        <w:t xml:space="preserve"> se stává široce rozšířenou variantou nakupování, a to jak mezi českými spotřebiteli, tak i v ostatních zemích Evropské unie. Hlavními výhodami nakupování přes internet jsou možnost nakupovat kdykoli a kdekoli, přístup k širšímu výběr</w:t>
      </w:r>
      <w:r w:rsidR="009A754C">
        <w:rPr>
          <w:i/>
          <w:sz w:val="20"/>
        </w:rPr>
        <w:t>u</w:t>
      </w:r>
      <w:r w:rsidRPr="001318E4">
        <w:rPr>
          <w:i/>
          <w:sz w:val="20"/>
        </w:rPr>
        <w:t xml:space="preserve"> produktů a možnost rychlého porovnání cen různých prodejců. Neocenitelné je to zvláště při nákupu zboží či služeb od zahraničních prodejců.</w:t>
      </w:r>
    </w:p>
    <w:p w:rsidR="009171D1" w:rsidRPr="00B1686C" w:rsidRDefault="009171D1" w:rsidP="00B1686C">
      <w:pPr>
        <w:pStyle w:val="Zkladntext"/>
        <w:numPr>
          <w:ilvl w:val="0"/>
          <w:numId w:val="14"/>
        </w:numPr>
        <w:tabs>
          <w:tab w:val="clear" w:pos="360"/>
        </w:tabs>
        <w:spacing w:before="0" w:after="80" w:line="264" w:lineRule="auto"/>
        <w:ind w:left="284" w:hanging="284"/>
        <w:rPr>
          <w:bCs/>
          <w:i/>
          <w:sz w:val="20"/>
          <w:szCs w:val="20"/>
        </w:rPr>
      </w:pPr>
      <w:r w:rsidRPr="001318E4">
        <w:rPr>
          <w:rFonts w:cs="Arial"/>
          <w:sz w:val="20"/>
          <w:szCs w:val="20"/>
        </w:rPr>
        <w:t xml:space="preserve">Každým rokem roste v Česku počet lidí, kteří využívají </w:t>
      </w:r>
      <w:r w:rsidRPr="001318E4">
        <w:rPr>
          <w:rFonts w:cs="Arial"/>
          <w:b/>
          <w:sz w:val="20"/>
          <w:szCs w:val="20"/>
        </w:rPr>
        <w:t>internet k</w:t>
      </w:r>
      <w:r w:rsidRPr="001318E4">
        <w:rPr>
          <w:rFonts w:cs="Arial"/>
          <w:sz w:val="20"/>
          <w:szCs w:val="20"/>
        </w:rPr>
        <w:t xml:space="preserve"> </w:t>
      </w:r>
      <w:r w:rsidRPr="001318E4">
        <w:rPr>
          <w:rFonts w:cs="Arial"/>
          <w:b/>
          <w:sz w:val="20"/>
          <w:szCs w:val="20"/>
        </w:rPr>
        <w:t>nakupování</w:t>
      </w:r>
      <w:r w:rsidRPr="001318E4">
        <w:rPr>
          <w:rStyle w:val="Znakapoznpodarou"/>
          <w:rFonts w:cs="Arial"/>
          <w:b/>
          <w:sz w:val="20"/>
          <w:szCs w:val="20"/>
        </w:rPr>
        <w:footnoteReference w:id="8"/>
      </w:r>
      <w:r w:rsidRPr="001318E4">
        <w:rPr>
          <w:rFonts w:cs="Arial"/>
          <w:sz w:val="20"/>
          <w:szCs w:val="20"/>
        </w:rPr>
        <w:t xml:space="preserve">. Ve 2. čtvrtletí roku 2017 uvedlo 51 % (4,5 milionu) obyvatel Česka starších 16 let, že v uplynulých 12 měsících uskutečnilo nákup přes internet. Ještě před deseti lety bylo přitom nakupování přes internet službou, kterou využívalo pouze 15 % (1,3 milionu) české populace. </w:t>
      </w:r>
    </w:p>
    <w:p w:rsidR="001C4EA2" w:rsidRDefault="001C4EA2" w:rsidP="001C4EA2">
      <w:pPr>
        <w:pStyle w:val="Titulek"/>
        <w:keepNext/>
        <w:jc w:val="both"/>
        <w:sectPr w:rsidR="001C4EA2" w:rsidSect="006D0F31">
          <w:type w:val="continuous"/>
          <w:pgSz w:w="11906" w:h="16838" w:code="9"/>
          <w:pgMar w:top="1134" w:right="1134" w:bottom="1418" w:left="1134" w:header="680" w:footer="680" w:gutter="0"/>
          <w:cols w:space="708"/>
          <w:docGrid w:linePitch="360"/>
        </w:sectPr>
      </w:pPr>
    </w:p>
    <w:p w:rsidR="001C4EA2" w:rsidRPr="000D5447" w:rsidRDefault="001C4EA2" w:rsidP="001C4EA2">
      <w:pPr>
        <w:pStyle w:val="Titulek"/>
        <w:keepNext/>
        <w:spacing w:after="0"/>
        <w:jc w:val="both"/>
        <w:rPr>
          <w:color w:val="FFFFFF" w:themeColor="background1"/>
          <w:sz w:val="4"/>
          <w:szCs w:val="4"/>
        </w:rPr>
      </w:pPr>
      <w:bookmarkStart w:id="47" w:name="_Toc524332560"/>
      <w:r w:rsidRPr="000D5447">
        <w:rPr>
          <w:color w:val="FFFFFF" w:themeColor="background1"/>
          <w:sz w:val="4"/>
          <w:szCs w:val="4"/>
        </w:rPr>
        <w:lastRenderedPageBreak/>
        <w:t>Graf C</w:t>
      </w:r>
      <w:r w:rsidRPr="000D5447">
        <w:rPr>
          <w:color w:val="FFFFFF" w:themeColor="background1"/>
          <w:sz w:val="4"/>
          <w:szCs w:val="4"/>
        </w:rPr>
        <w:fldChar w:fldCharType="begin"/>
      </w:r>
      <w:r w:rsidRPr="000D5447">
        <w:rPr>
          <w:color w:val="FFFFFF" w:themeColor="background1"/>
          <w:sz w:val="4"/>
          <w:szCs w:val="4"/>
        </w:rPr>
        <w:instrText xml:space="preserve"> SEQ Graf_C \* ARABIC </w:instrText>
      </w:r>
      <w:r w:rsidRPr="000D5447">
        <w:rPr>
          <w:color w:val="FFFFFF" w:themeColor="background1"/>
          <w:sz w:val="4"/>
          <w:szCs w:val="4"/>
        </w:rPr>
        <w:fldChar w:fldCharType="separate"/>
      </w:r>
      <w:r w:rsidRPr="000D5447">
        <w:rPr>
          <w:noProof/>
          <w:color w:val="FFFFFF" w:themeColor="background1"/>
          <w:sz w:val="4"/>
          <w:szCs w:val="4"/>
        </w:rPr>
        <w:t>31</w:t>
      </w:r>
      <w:r w:rsidRPr="000D5447">
        <w:rPr>
          <w:color w:val="FFFFFF" w:themeColor="background1"/>
          <w:sz w:val="4"/>
          <w:szCs w:val="4"/>
        </w:rPr>
        <w:fldChar w:fldCharType="end"/>
      </w:r>
      <w:r w:rsidR="000D5447" w:rsidRPr="000D5447">
        <w:rPr>
          <w:color w:val="FFFFFF" w:themeColor="background1"/>
          <w:sz w:val="4"/>
          <w:szCs w:val="4"/>
        </w:rPr>
        <w:t xml:space="preserve"> Jednotlivci v Česku </w:t>
      </w:r>
      <w:r w:rsidRPr="000D5447">
        <w:rPr>
          <w:color w:val="FFFFFF" w:themeColor="background1"/>
          <w:sz w:val="4"/>
          <w:szCs w:val="4"/>
        </w:rPr>
        <w:t>ve věku 16 let a starší nakupující na internetu</w:t>
      </w:r>
      <w:bookmarkEnd w:id="47"/>
      <w:r w:rsidRPr="000D5447">
        <w:rPr>
          <w:color w:val="FFFFFF" w:themeColor="background1"/>
          <w:sz w:val="4"/>
          <w:szCs w:val="4"/>
        </w:rPr>
        <w:t xml:space="preserve"> </w:t>
      </w:r>
    </w:p>
    <w:p w:rsidR="001C4EA2" w:rsidRDefault="009171D1" w:rsidP="009171D1">
      <w:pPr>
        <w:pStyle w:val="Zkladntext"/>
        <w:spacing w:before="120" w:after="120" w:line="288" w:lineRule="auto"/>
      </w:pPr>
      <w:r w:rsidRPr="001318E4">
        <w:rPr>
          <w:noProof/>
        </w:rPr>
        <w:drawing>
          <wp:inline distT="0" distB="0" distL="0" distR="0" wp14:anchorId="770B4DD6" wp14:editId="07B5F046">
            <wp:extent cx="2988000" cy="3240000"/>
            <wp:effectExtent l="0" t="0" r="3175" b="0"/>
            <wp:docPr id="88" name="Graf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1318E4">
        <w:rPr>
          <w:noProof/>
          <w:lang w:eastAsia="en-US"/>
        </w:rPr>
        <w:t xml:space="preserve"> </w:t>
      </w:r>
    </w:p>
    <w:p w:rsidR="001C4EA2" w:rsidRPr="001C4EA2" w:rsidRDefault="001C4EA2" w:rsidP="001C4EA2">
      <w:pPr>
        <w:pStyle w:val="Titulek"/>
        <w:keepNext/>
        <w:spacing w:after="0"/>
        <w:jc w:val="both"/>
        <w:rPr>
          <w:color w:val="FFFFFF" w:themeColor="background1"/>
          <w:sz w:val="4"/>
          <w:szCs w:val="4"/>
        </w:rPr>
      </w:pPr>
      <w:bookmarkStart w:id="48" w:name="_Toc524332561"/>
      <w:r w:rsidRPr="001C4EA2">
        <w:rPr>
          <w:color w:val="FFFFFF" w:themeColor="background1"/>
          <w:sz w:val="4"/>
          <w:szCs w:val="4"/>
        </w:rPr>
        <w:lastRenderedPageBreak/>
        <w:t>Graf C</w:t>
      </w:r>
      <w:r w:rsidRPr="001C4EA2">
        <w:rPr>
          <w:color w:val="FFFFFF" w:themeColor="background1"/>
          <w:sz w:val="4"/>
          <w:szCs w:val="4"/>
        </w:rPr>
        <w:fldChar w:fldCharType="begin"/>
      </w:r>
      <w:r w:rsidRPr="001C4EA2">
        <w:rPr>
          <w:color w:val="FFFFFF" w:themeColor="background1"/>
          <w:sz w:val="4"/>
          <w:szCs w:val="4"/>
        </w:rPr>
        <w:instrText xml:space="preserve"> SEQ Graf_C \* ARABIC </w:instrText>
      </w:r>
      <w:r w:rsidRPr="001C4EA2">
        <w:rPr>
          <w:color w:val="FFFFFF" w:themeColor="background1"/>
          <w:sz w:val="4"/>
          <w:szCs w:val="4"/>
        </w:rPr>
        <w:fldChar w:fldCharType="separate"/>
      </w:r>
      <w:r>
        <w:rPr>
          <w:noProof/>
          <w:color w:val="FFFFFF" w:themeColor="background1"/>
          <w:sz w:val="4"/>
          <w:szCs w:val="4"/>
        </w:rPr>
        <w:t>32</w:t>
      </w:r>
      <w:r w:rsidRPr="001C4EA2">
        <w:rPr>
          <w:color w:val="FFFFFF" w:themeColor="background1"/>
          <w:sz w:val="4"/>
          <w:szCs w:val="4"/>
        </w:rPr>
        <w:fldChar w:fldCharType="end"/>
      </w:r>
      <w:r w:rsidRPr="001C4EA2">
        <w:rPr>
          <w:color w:val="FFFFFF" w:themeColor="background1"/>
          <w:sz w:val="4"/>
          <w:szCs w:val="4"/>
        </w:rPr>
        <w:t xml:space="preserve"> Online nakupující v Česku v roce 2017</w:t>
      </w:r>
      <w:bookmarkEnd w:id="48"/>
    </w:p>
    <w:p w:rsidR="009171D1" w:rsidRPr="00B1686C" w:rsidRDefault="009171D1" w:rsidP="009171D1">
      <w:pPr>
        <w:pStyle w:val="Zkladntext"/>
        <w:spacing w:before="120" w:after="120" w:line="288" w:lineRule="auto"/>
        <w:rPr>
          <w:bCs/>
          <w:i/>
          <w:sz w:val="20"/>
          <w:szCs w:val="20"/>
        </w:rPr>
      </w:pPr>
      <w:r w:rsidRPr="001318E4">
        <w:rPr>
          <w:noProof/>
        </w:rPr>
        <w:drawing>
          <wp:inline distT="0" distB="0" distL="0" distR="0" wp14:anchorId="69CF65B3" wp14:editId="547D6DAD">
            <wp:extent cx="3024000" cy="3238500"/>
            <wp:effectExtent l="0" t="0" r="5080" b="0"/>
            <wp:docPr id="89" name="Graf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C4EA2" w:rsidRDefault="001C4EA2" w:rsidP="00B1686C">
      <w:pPr>
        <w:pStyle w:val="Zkladntext"/>
        <w:numPr>
          <w:ilvl w:val="0"/>
          <w:numId w:val="14"/>
        </w:numPr>
        <w:tabs>
          <w:tab w:val="clear" w:pos="360"/>
        </w:tabs>
        <w:spacing w:before="0" w:after="80" w:line="264" w:lineRule="auto"/>
        <w:ind w:left="284" w:hanging="284"/>
        <w:rPr>
          <w:sz w:val="20"/>
          <w:szCs w:val="20"/>
        </w:rPr>
        <w:sectPr w:rsidR="001C4EA2" w:rsidSect="001C4EA2">
          <w:type w:val="continuous"/>
          <w:pgSz w:w="11906" w:h="16838" w:code="9"/>
          <w:pgMar w:top="1134" w:right="1134" w:bottom="1418" w:left="1134" w:header="680" w:footer="680" w:gutter="0"/>
          <w:cols w:num="2" w:space="708"/>
          <w:docGrid w:linePitch="360"/>
        </w:sectPr>
      </w:pPr>
    </w:p>
    <w:p w:rsidR="009171D1" w:rsidRPr="00B1686C" w:rsidRDefault="009171D1" w:rsidP="00B1686C">
      <w:pPr>
        <w:pStyle w:val="Zkladntext"/>
        <w:numPr>
          <w:ilvl w:val="0"/>
          <w:numId w:val="14"/>
        </w:numPr>
        <w:tabs>
          <w:tab w:val="clear" w:pos="360"/>
        </w:tabs>
        <w:spacing w:before="0" w:after="80" w:line="264" w:lineRule="auto"/>
        <w:ind w:left="284" w:hanging="284"/>
        <w:rPr>
          <w:bCs/>
          <w:i/>
          <w:sz w:val="20"/>
          <w:szCs w:val="20"/>
        </w:rPr>
      </w:pPr>
      <w:r w:rsidRPr="001318E4">
        <w:rPr>
          <w:sz w:val="20"/>
          <w:szCs w:val="20"/>
        </w:rPr>
        <w:lastRenderedPageBreak/>
        <w:t xml:space="preserve">Pro internetové obchody jsou dlouhodobě zajímavou skupinou </w:t>
      </w:r>
      <w:r w:rsidRPr="001318E4">
        <w:rPr>
          <w:b/>
          <w:sz w:val="20"/>
          <w:szCs w:val="20"/>
        </w:rPr>
        <w:t>ženy na rodičovské dovolené</w:t>
      </w:r>
      <w:r w:rsidRPr="001318E4">
        <w:rPr>
          <w:sz w:val="20"/>
          <w:szCs w:val="20"/>
        </w:rPr>
        <w:t>. Přes internet jich v roce 2017 nakoupily již téměř čtyři pětiny (78 %).</w:t>
      </w:r>
    </w:p>
    <w:p w:rsidR="001C4EA2" w:rsidRPr="001C4EA2" w:rsidRDefault="001C4EA2" w:rsidP="001C4EA2">
      <w:pPr>
        <w:pStyle w:val="Titulek"/>
        <w:keepNext/>
        <w:spacing w:after="0"/>
        <w:jc w:val="both"/>
        <w:rPr>
          <w:color w:val="FFFFFF" w:themeColor="background1"/>
          <w:sz w:val="4"/>
          <w:szCs w:val="4"/>
        </w:rPr>
      </w:pPr>
      <w:bookmarkStart w:id="49" w:name="_Toc524332562"/>
      <w:r w:rsidRPr="001C4EA2">
        <w:rPr>
          <w:color w:val="FFFFFF" w:themeColor="background1"/>
          <w:sz w:val="4"/>
          <w:szCs w:val="4"/>
        </w:rPr>
        <w:t>Graf C</w:t>
      </w:r>
      <w:r w:rsidRPr="001C4EA2">
        <w:rPr>
          <w:color w:val="FFFFFF" w:themeColor="background1"/>
          <w:sz w:val="4"/>
          <w:szCs w:val="4"/>
        </w:rPr>
        <w:fldChar w:fldCharType="begin"/>
      </w:r>
      <w:r w:rsidRPr="001C4EA2">
        <w:rPr>
          <w:color w:val="FFFFFF" w:themeColor="background1"/>
          <w:sz w:val="4"/>
          <w:szCs w:val="4"/>
        </w:rPr>
        <w:instrText xml:space="preserve"> SEQ Graf_C \* ARABIC </w:instrText>
      </w:r>
      <w:r w:rsidRPr="001C4EA2">
        <w:rPr>
          <w:color w:val="FFFFFF" w:themeColor="background1"/>
          <w:sz w:val="4"/>
          <w:szCs w:val="4"/>
        </w:rPr>
        <w:fldChar w:fldCharType="separate"/>
      </w:r>
      <w:r>
        <w:rPr>
          <w:noProof/>
          <w:color w:val="FFFFFF" w:themeColor="background1"/>
          <w:sz w:val="4"/>
          <w:szCs w:val="4"/>
        </w:rPr>
        <w:t>33</w:t>
      </w:r>
      <w:r w:rsidRPr="001C4EA2">
        <w:rPr>
          <w:color w:val="FFFFFF" w:themeColor="background1"/>
          <w:sz w:val="4"/>
          <w:szCs w:val="4"/>
        </w:rPr>
        <w:fldChar w:fldCharType="end"/>
      </w:r>
      <w:r w:rsidRPr="001C4EA2">
        <w:rPr>
          <w:color w:val="FFFFFF" w:themeColor="background1"/>
          <w:sz w:val="4"/>
          <w:szCs w:val="4"/>
        </w:rPr>
        <w:t xml:space="preserve"> </w:t>
      </w:r>
      <w:proofErr w:type="spellStart"/>
      <w:r w:rsidRPr="001C4EA2">
        <w:rPr>
          <w:color w:val="FFFFFF" w:themeColor="background1"/>
          <w:sz w:val="4"/>
          <w:szCs w:val="4"/>
          <w:lang w:val="en-US"/>
        </w:rPr>
        <w:t>Jednotlivci</w:t>
      </w:r>
      <w:proofErr w:type="spellEnd"/>
      <w:r w:rsidRPr="001C4EA2">
        <w:rPr>
          <w:color w:val="FFFFFF" w:themeColor="background1"/>
          <w:sz w:val="4"/>
          <w:szCs w:val="4"/>
          <w:lang w:val="en-US"/>
        </w:rPr>
        <w:t xml:space="preserve"> v </w:t>
      </w:r>
      <w:proofErr w:type="spellStart"/>
      <w:r w:rsidRPr="001C4EA2">
        <w:rPr>
          <w:color w:val="FFFFFF" w:themeColor="background1"/>
          <w:sz w:val="4"/>
          <w:szCs w:val="4"/>
          <w:lang w:val="en-US"/>
        </w:rPr>
        <w:t>zemích</w:t>
      </w:r>
      <w:proofErr w:type="spellEnd"/>
      <w:r w:rsidRPr="001C4EA2">
        <w:rPr>
          <w:color w:val="FFFFFF" w:themeColor="background1"/>
          <w:sz w:val="4"/>
          <w:szCs w:val="4"/>
          <w:lang w:val="en-US"/>
        </w:rPr>
        <w:t xml:space="preserve"> EU </w:t>
      </w:r>
      <w:r w:rsidRPr="001C4EA2">
        <w:rPr>
          <w:color w:val="FFFFFF" w:themeColor="background1"/>
          <w:sz w:val="4"/>
          <w:szCs w:val="4"/>
        </w:rPr>
        <w:t>ve věku 16 až 74 let nakupující na internetu</w:t>
      </w:r>
      <w:bookmarkEnd w:id="49"/>
    </w:p>
    <w:p w:rsidR="009171D1" w:rsidRPr="00B1686C" w:rsidRDefault="009171D1" w:rsidP="009171D1">
      <w:pPr>
        <w:pStyle w:val="Zkladntext"/>
        <w:spacing w:before="0" w:after="120" w:line="288" w:lineRule="auto"/>
        <w:rPr>
          <w:bCs/>
          <w:i/>
          <w:sz w:val="20"/>
          <w:szCs w:val="20"/>
        </w:rPr>
      </w:pPr>
      <w:r w:rsidRPr="001318E4">
        <w:rPr>
          <w:noProof/>
        </w:rPr>
        <w:drawing>
          <wp:inline distT="0" distB="0" distL="0" distR="0" wp14:anchorId="6AE56408" wp14:editId="7D3B6D1B">
            <wp:extent cx="5972810" cy="3112135"/>
            <wp:effectExtent l="0" t="0" r="0" b="0"/>
            <wp:docPr id="90" name="Graf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171D1" w:rsidRPr="00B1686C" w:rsidRDefault="009171D1" w:rsidP="00B1686C">
      <w:pPr>
        <w:pStyle w:val="Zkladntext"/>
        <w:numPr>
          <w:ilvl w:val="0"/>
          <w:numId w:val="14"/>
        </w:numPr>
        <w:tabs>
          <w:tab w:val="clear" w:pos="360"/>
        </w:tabs>
        <w:spacing w:before="0" w:after="80" w:line="264" w:lineRule="auto"/>
        <w:ind w:left="284" w:hanging="284"/>
        <w:rPr>
          <w:bCs/>
          <w:i/>
          <w:sz w:val="20"/>
          <w:szCs w:val="20"/>
        </w:rPr>
      </w:pPr>
      <w:r w:rsidRPr="001318E4">
        <w:rPr>
          <w:sz w:val="20"/>
          <w:szCs w:val="20"/>
        </w:rPr>
        <w:t xml:space="preserve">I přes to, že obliba online nakupování u Čechů neustále </w:t>
      </w:r>
      <w:r w:rsidRPr="001318E4">
        <w:rPr>
          <w:b/>
          <w:sz w:val="20"/>
          <w:szCs w:val="20"/>
        </w:rPr>
        <w:t>roste</w:t>
      </w:r>
      <w:r w:rsidRPr="001318E4">
        <w:rPr>
          <w:sz w:val="20"/>
          <w:szCs w:val="20"/>
        </w:rPr>
        <w:t xml:space="preserve">, v mezinárodním srovnání jsme stále </w:t>
      </w:r>
      <w:r w:rsidRPr="001318E4">
        <w:rPr>
          <w:b/>
          <w:sz w:val="20"/>
          <w:szCs w:val="20"/>
        </w:rPr>
        <w:t>těsně pod průměrem EU28</w:t>
      </w:r>
      <w:r w:rsidRPr="001318E4">
        <w:rPr>
          <w:sz w:val="20"/>
          <w:szCs w:val="20"/>
        </w:rPr>
        <w:t xml:space="preserve">. </w:t>
      </w:r>
      <w:r w:rsidRPr="001318E4">
        <w:rPr>
          <w:rFonts w:cs="Arial"/>
          <w:sz w:val="20"/>
          <w:szCs w:val="20"/>
        </w:rPr>
        <w:t xml:space="preserve">Nakupování přes internet je ze zemí EU </w:t>
      </w:r>
      <w:r w:rsidRPr="001318E4">
        <w:rPr>
          <w:rFonts w:cs="Arial"/>
          <w:b/>
          <w:sz w:val="20"/>
          <w:szCs w:val="20"/>
        </w:rPr>
        <w:t>nejrozšířenější ve Velké Británii</w:t>
      </w:r>
      <w:r w:rsidRPr="001318E4">
        <w:rPr>
          <w:rFonts w:cs="Arial"/>
          <w:sz w:val="20"/>
          <w:szCs w:val="20"/>
        </w:rPr>
        <w:t xml:space="preserve"> (v roce 2017 tam online nakupovalo 82 % jednotlivců ve věku 16-74 let). Velmi často nakupují přes internet také občané Dánska, Lucemburska, Švédska, Německa či Nizozemska. </w:t>
      </w:r>
    </w:p>
    <w:p w:rsidR="001C4EA2" w:rsidRDefault="001C4EA2" w:rsidP="001C4EA2">
      <w:pPr>
        <w:pStyle w:val="Titulek"/>
        <w:keepNext/>
        <w:jc w:val="both"/>
        <w:sectPr w:rsidR="001C4EA2" w:rsidSect="006D0F31">
          <w:type w:val="continuous"/>
          <w:pgSz w:w="11906" w:h="16838" w:code="9"/>
          <w:pgMar w:top="1134" w:right="1134" w:bottom="1418" w:left="1134" w:header="680" w:footer="680" w:gutter="0"/>
          <w:cols w:space="708"/>
          <w:docGrid w:linePitch="360"/>
        </w:sectPr>
      </w:pPr>
    </w:p>
    <w:p w:rsidR="001C4EA2" w:rsidRPr="0058579A" w:rsidRDefault="001C4EA2" w:rsidP="001C4EA2">
      <w:pPr>
        <w:pStyle w:val="Titulek"/>
        <w:keepNext/>
        <w:spacing w:after="0"/>
        <w:jc w:val="both"/>
        <w:rPr>
          <w:color w:val="FFFFFF" w:themeColor="background1"/>
          <w:sz w:val="4"/>
          <w:szCs w:val="4"/>
        </w:rPr>
      </w:pPr>
      <w:bookmarkStart w:id="50" w:name="_Toc524332563"/>
      <w:r w:rsidRPr="0058579A">
        <w:rPr>
          <w:color w:val="FFFFFF" w:themeColor="background1"/>
          <w:sz w:val="4"/>
          <w:szCs w:val="4"/>
        </w:rPr>
        <w:lastRenderedPageBreak/>
        <w:t>Graf C</w:t>
      </w:r>
      <w:r w:rsidRPr="0058579A">
        <w:rPr>
          <w:color w:val="FFFFFF" w:themeColor="background1"/>
          <w:sz w:val="4"/>
          <w:szCs w:val="4"/>
        </w:rPr>
        <w:fldChar w:fldCharType="begin"/>
      </w:r>
      <w:r w:rsidRPr="0058579A">
        <w:rPr>
          <w:color w:val="FFFFFF" w:themeColor="background1"/>
          <w:sz w:val="4"/>
          <w:szCs w:val="4"/>
        </w:rPr>
        <w:instrText xml:space="preserve"> SEQ Graf_C \* ARABIC </w:instrText>
      </w:r>
      <w:r w:rsidRPr="0058579A">
        <w:rPr>
          <w:color w:val="FFFFFF" w:themeColor="background1"/>
          <w:sz w:val="4"/>
          <w:szCs w:val="4"/>
        </w:rPr>
        <w:fldChar w:fldCharType="separate"/>
      </w:r>
      <w:r w:rsidRPr="0058579A">
        <w:rPr>
          <w:noProof/>
          <w:color w:val="FFFFFF" w:themeColor="background1"/>
          <w:sz w:val="4"/>
          <w:szCs w:val="4"/>
        </w:rPr>
        <w:t>34</w:t>
      </w:r>
      <w:r w:rsidRPr="0058579A">
        <w:rPr>
          <w:color w:val="FFFFFF" w:themeColor="background1"/>
          <w:sz w:val="4"/>
          <w:szCs w:val="4"/>
        </w:rPr>
        <w:fldChar w:fldCharType="end"/>
      </w:r>
      <w:r w:rsidRPr="0058579A">
        <w:rPr>
          <w:color w:val="FFFFFF" w:themeColor="background1"/>
          <w:sz w:val="4"/>
          <w:szCs w:val="4"/>
        </w:rPr>
        <w:t xml:space="preserve"> Jednotlivci v Česku, kteří nakoupili oblečení na internetu v roce 2017</w:t>
      </w:r>
      <w:bookmarkEnd w:id="50"/>
    </w:p>
    <w:p w:rsidR="001C4EA2" w:rsidRDefault="009171D1" w:rsidP="009171D1">
      <w:pPr>
        <w:pStyle w:val="Zkladntext"/>
        <w:spacing w:before="0" w:after="120" w:line="288" w:lineRule="auto"/>
      </w:pPr>
      <w:r w:rsidRPr="001318E4">
        <w:rPr>
          <w:noProof/>
        </w:rPr>
        <w:drawing>
          <wp:inline distT="0" distB="0" distL="0" distR="0" wp14:anchorId="6BD59BB8" wp14:editId="7CC3C5DF">
            <wp:extent cx="3024000" cy="3238500"/>
            <wp:effectExtent l="0" t="0" r="5080" b="0"/>
            <wp:docPr id="91" name="Graf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1318E4">
        <w:rPr>
          <w:noProof/>
          <w:lang w:eastAsia="en-US"/>
        </w:rPr>
        <w:t xml:space="preserve"> </w:t>
      </w:r>
    </w:p>
    <w:p w:rsidR="001C4EA2" w:rsidRPr="0058579A" w:rsidRDefault="001C4EA2" w:rsidP="001C4EA2">
      <w:pPr>
        <w:pStyle w:val="Titulek"/>
        <w:keepNext/>
        <w:spacing w:after="0"/>
        <w:jc w:val="both"/>
        <w:rPr>
          <w:color w:val="FFFFFF" w:themeColor="background1"/>
          <w:sz w:val="4"/>
          <w:szCs w:val="4"/>
        </w:rPr>
      </w:pPr>
      <w:bookmarkStart w:id="51" w:name="_Toc524332564"/>
      <w:r w:rsidRPr="0058579A">
        <w:rPr>
          <w:color w:val="FFFFFF" w:themeColor="background1"/>
          <w:sz w:val="4"/>
          <w:szCs w:val="4"/>
        </w:rPr>
        <w:lastRenderedPageBreak/>
        <w:t>Graf C</w:t>
      </w:r>
      <w:r w:rsidRPr="0058579A">
        <w:rPr>
          <w:color w:val="FFFFFF" w:themeColor="background1"/>
          <w:sz w:val="4"/>
          <w:szCs w:val="4"/>
        </w:rPr>
        <w:fldChar w:fldCharType="begin"/>
      </w:r>
      <w:r w:rsidRPr="0058579A">
        <w:rPr>
          <w:color w:val="FFFFFF" w:themeColor="background1"/>
          <w:sz w:val="4"/>
          <w:szCs w:val="4"/>
        </w:rPr>
        <w:instrText xml:space="preserve"> SEQ Graf_C \* ARABIC </w:instrText>
      </w:r>
      <w:r w:rsidRPr="0058579A">
        <w:rPr>
          <w:color w:val="FFFFFF" w:themeColor="background1"/>
          <w:sz w:val="4"/>
          <w:szCs w:val="4"/>
        </w:rPr>
        <w:fldChar w:fldCharType="separate"/>
      </w:r>
      <w:r w:rsidRPr="0058579A">
        <w:rPr>
          <w:noProof/>
          <w:color w:val="FFFFFF" w:themeColor="background1"/>
          <w:sz w:val="4"/>
          <w:szCs w:val="4"/>
        </w:rPr>
        <w:t>35</w:t>
      </w:r>
      <w:r w:rsidRPr="0058579A">
        <w:rPr>
          <w:color w:val="FFFFFF" w:themeColor="background1"/>
          <w:sz w:val="4"/>
          <w:szCs w:val="4"/>
        </w:rPr>
        <w:fldChar w:fldCharType="end"/>
      </w:r>
      <w:r w:rsidRPr="0058579A">
        <w:rPr>
          <w:color w:val="FFFFFF" w:themeColor="background1"/>
          <w:sz w:val="4"/>
          <w:szCs w:val="4"/>
        </w:rPr>
        <w:t xml:space="preserve"> Jednotlivci v Česku, kteří nakoupili vstupenky na internetu v roce 2017</w:t>
      </w:r>
      <w:bookmarkEnd w:id="51"/>
    </w:p>
    <w:p w:rsidR="009171D1" w:rsidRPr="00B1686C" w:rsidRDefault="009171D1" w:rsidP="009171D1">
      <w:pPr>
        <w:pStyle w:val="Zkladntext"/>
        <w:spacing w:before="0" w:after="120" w:line="288" w:lineRule="auto"/>
        <w:rPr>
          <w:bCs/>
          <w:i/>
          <w:sz w:val="20"/>
          <w:szCs w:val="20"/>
        </w:rPr>
      </w:pPr>
      <w:r w:rsidRPr="001318E4">
        <w:rPr>
          <w:noProof/>
        </w:rPr>
        <w:drawing>
          <wp:inline distT="0" distB="0" distL="0" distR="0" wp14:anchorId="7D8AE8BB" wp14:editId="550F3D5A">
            <wp:extent cx="3024000" cy="3238500"/>
            <wp:effectExtent l="0" t="0" r="5080" b="0"/>
            <wp:docPr id="92" name="Graf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C4EA2" w:rsidRDefault="001C4EA2" w:rsidP="00B1686C">
      <w:pPr>
        <w:pStyle w:val="Zkladntext"/>
        <w:numPr>
          <w:ilvl w:val="0"/>
          <w:numId w:val="14"/>
        </w:numPr>
        <w:tabs>
          <w:tab w:val="clear" w:pos="360"/>
        </w:tabs>
        <w:spacing w:before="0" w:after="80" w:line="264" w:lineRule="auto"/>
        <w:ind w:left="284" w:hanging="284"/>
        <w:rPr>
          <w:sz w:val="20"/>
          <w:szCs w:val="20"/>
        </w:rPr>
        <w:sectPr w:rsidR="001C4EA2" w:rsidSect="009759AC">
          <w:type w:val="continuous"/>
          <w:pgSz w:w="11906" w:h="16838" w:code="9"/>
          <w:pgMar w:top="1134" w:right="1134" w:bottom="1418" w:left="1134" w:header="680" w:footer="680" w:gutter="0"/>
          <w:cols w:num="2" w:space="708"/>
          <w:docGrid w:linePitch="360"/>
        </w:sectPr>
      </w:pPr>
    </w:p>
    <w:p w:rsidR="009171D1" w:rsidRPr="00B1686C" w:rsidRDefault="009171D1" w:rsidP="00B1686C">
      <w:pPr>
        <w:pStyle w:val="Zkladntext"/>
        <w:numPr>
          <w:ilvl w:val="0"/>
          <w:numId w:val="14"/>
        </w:numPr>
        <w:tabs>
          <w:tab w:val="clear" w:pos="360"/>
        </w:tabs>
        <w:spacing w:before="0" w:after="80" w:line="264" w:lineRule="auto"/>
        <w:ind w:left="284" w:hanging="284"/>
        <w:rPr>
          <w:sz w:val="20"/>
          <w:szCs w:val="20"/>
        </w:rPr>
      </w:pPr>
      <w:r w:rsidRPr="00B1686C">
        <w:rPr>
          <w:sz w:val="20"/>
          <w:szCs w:val="20"/>
        </w:rPr>
        <w:lastRenderedPageBreak/>
        <w:t xml:space="preserve">Hlavní z výhod nakupování přes internet je nákup z pohodlí domova a možnost rychlého porovnání cen různých prodejců. Neocenitelné je to při nákupu zboží či služeb od </w:t>
      </w:r>
      <w:r w:rsidRPr="00B1686C">
        <w:rPr>
          <w:b/>
          <w:sz w:val="20"/>
          <w:szCs w:val="20"/>
        </w:rPr>
        <w:t>zahraničních prodejců</w:t>
      </w:r>
      <w:r w:rsidRPr="00B1686C">
        <w:rPr>
          <w:sz w:val="20"/>
          <w:szCs w:val="20"/>
        </w:rPr>
        <w:t>. Zboží např.</w:t>
      </w:r>
      <w:r w:rsidR="007D726B">
        <w:rPr>
          <w:sz w:val="20"/>
          <w:szCs w:val="20"/>
        </w:rPr>
        <w:t> </w:t>
      </w:r>
      <w:r w:rsidRPr="00B1686C">
        <w:rPr>
          <w:sz w:val="20"/>
          <w:szCs w:val="20"/>
        </w:rPr>
        <w:t xml:space="preserve">přes Amazon, </w:t>
      </w:r>
      <w:proofErr w:type="spellStart"/>
      <w:r w:rsidRPr="00B1686C">
        <w:rPr>
          <w:sz w:val="20"/>
          <w:szCs w:val="20"/>
        </w:rPr>
        <w:t>eBay</w:t>
      </w:r>
      <w:proofErr w:type="spellEnd"/>
      <w:r w:rsidRPr="00B1686C">
        <w:rPr>
          <w:sz w:val="20"/>
          <w:szCs w:val="20"/>
        </w:rPr>
        <w:t xml:space="preserve"> či ubytování v zahraničních hotelech v roce 2017 nakoupilo v Česku 10 % jednotlivců; tj. 19 % nakupujících na internetu zakoupilo zboží od zahraničního prodejce, ať už z jiné země EU nebo jinde ve světě.</w:t>
      </w:r>
    </w:p>
    <w:p w:rsidR="009171D1" w:rsidRPr="00B1686C" w:rsidRDefault="009171D1" w:rsidP="00B1686C">
      <w:pPr>
        <w:pStyle w:val="Zkladntext"/>
        <w:numPr>
          <w:ilvl w:val="0"/>
          <w:numId w:val="14"/>
        </w:numPr>
        <w:spacing w:before="0" w:after="80" w:line="264" w:lineRule="auto"/>
        <w:rPr>
          <w:sz w:val="20"/>
          <w:szCs w:val="20"/>
        </w:rPr>
      </w:pPr>
      <w:r w:rsidRPr="00B1686C">
        <w:rPr>
          <w:sz w:val="20"/>
          <w:szCs w:val="20"/>
        </w:rPr>
        <w:t>Nakupování přes internet má i svá úskalí. Jedním z nich je nemožnost si výrobek prohlédnout či vyzkoušet. Právě kvůli tomu v roce 2017 uvedla polovina osob, které nenakoupily online, že preferuje nákup v kamenných prodejnách. Lidem starším 65 let pak často v nakupování přes internet brání pocit, že k tomu nemají dostatečné znalosti (77 % osob v této věkové kategorii). Buďto internet nepoužívají vůbec (67 %), nebo ho používají jen pro základní činnosti, jako je posílání e-mailů či prohlížení webových stránek.</w:t>
      </w:r>
    </w:p>
    <w:p w:rsidR="009171D1" w:rsidRPr="00B1686C" w:rsidRDefault="009171D1" w:rsidP="00B1686C">
      <w:pPr>
        <w:pStyle w:val="Zkladntext"/>
        <w:numPr>
          <w:ilvl w:val="0"/>
          <w:numId w:val="14"/>
        </w:numPr>
        <w:tabs>
          <w:tab w:val="clear" w:pos="360"/>
        </w:tabs>
        <w:spacing w:before="0" w:after="80" w:line="264" w:lineRule="auto"/>
        <w:ind w:left="284" w:hanging="284"/>
        <w:rPr>
          <w:b/>
          <w:bCs/>
          <w:i/>
          <w:sz w:val="20"/>
          <w:szCs w:val="20"/>
        </w:rPr>
      </w:pPr>
      <w:r w:rsidRPr="00B1686C">
        <w:rPr>
          <w:sz w:val="20"/>
          <w:szCs w:val="20"/>
        </w:rPr>
        <w:t xml:space="preserve">Ze všeho nejraději nakupují Češi na internetu oblečení, obuv či módní doplňky (28 % dospělé populace a 54 % nakupujících na internetu). Na oblibě v posledních letech </w:t>
      </w:r>
      <w:r w:rsidRPr="00B1686C">
        <w:rPr>
          <w:b/>
          <w:sz w:val="20"/>
          <w:szCs w:val="20"/>
        </w:rPr>
        <w:t>nabývá také online nakupování potravin</w:t>
      </w:r>
      <w:r w:rsidRPr="00B1686C">
        <w:rPr>
          <w:sz w:val="20"/>
          <w:szCs w:val="20"/>
        </w:rPr>
        <w:t xml:space="preserve"> a drogerie. V roce 2017 tento typ zboží nakoupilo 11 % obyvatel. </w:t>
      </w:r>
    </w:p>
    <w:p w:rsidR="009171D1" w:rsidRPr="00B1686C" w:rsidRDefault="009171D1" w:rsidP="00B1686C">
      <w:pPr>
        <w:pStyle w:val="Zkladntext"/>
        <w:numPr>
          <w:ilvl w:val="0"/>
          <w:numId w:val="14"/>
        </w:numPr>
        <w:tabs>
          <w:tab w:val="clear" w:pos="360"/>
        </w:tabs>
        <w:spacing w:before="0" w:after="80" w:line="264" w:lineRule="auto"/>
        <w:ind w:left="284" w:hanging="284"/>
        <w:rPr>
          <w:b/>
          <w:bCs/>
          <w:i/>
          <w:sz w:val="20"/>
          <w:szCs w:val="20"/>
        </w:rPr>
      </w:pPr>
      <w:r w:rsidRPr="00B1686C">
        <w:rPr>
          <w:sz w:val="20"/>
          <w:szCs w:val="20"/>
        </w:rPr>
        <w:t>Podíl Čechů, kteří nakupují potraviny, nápoje a drogistické zboží na internetu, byl v roce 2017 pod</w:t>
      </w:r>
      <w:r w:rsidR="00955F38">
        <w:rPr>
          <w:sz w:val="20"/>
          <w:szCs w:val="20"/>
        </w:rPr>
        <w:t> </w:t>
      </w:r>
      <w:r w:rsidRPr="00B1686C">
        <w:rPr>
          <w:sz w:val="20"/>
          <w:szCs w:val="20"/>
        </w:rPr>
        <w:t xml:space="preserve">průměrem EU, který činil 14 % jednotlivců, respektive 24 % nakupujících na internetu. Nejvíce toto zboží na internetu kupují obyvatelé Nizozemska, Estonska a Velké Británie. </w:t>
      </w:r>
    </w:p>
    <w:p w:rsidR="009171D1" w:rsidRPr="00B1686C" w:rsidRDefault="009171D1" w:rsidP="00B1686C">
      <w:pPr>
        <w:pStyle w:val="Zkladntext"/>
        <w:numPr>
          <w:ilvl w:val="0"/>
          <w:numId w:val="14"/>
        </w:numPr>
        <w:tabs>
          <w:tab w:val="clear" w:pos="360"/>
        </w:tabs>
        <w:spacing w:before="0" w:after="80" w:line="264" w:lineRule="auto"/>
        <w:ind w:left="284" w:hanging="284"/>
        <w:rPr>
          <w:b/>
          <w:bCs/>
          <w:i/>
          <w:sz w:val="20"/>
          <w:szCs w:val="20"/>
        </w:rPr>
      </w:pPr>
      <w:r w:rsidRPr="00B1686C">
        <w:rPr>
          <w:sz w:val="20"/>
          <w:szCs w:val="20"/>
        </w:rPr>
        <w:t xml:space="preserve">Přes internet lze dnes běžně zakoupit nejenom zboží, ale </w:t>
      </w:r>
      <w:r w:rsidRPr="00B1686C">
        <w:rPr>
          <w:b/>
          <w:sz w:val="20"/>
          <w:szCs w:val="20"/>
        </w:rPr>
        <w:t>i služby</w:t>
      </w:r>
      <w:r w:rsidRPr="00B1686C">
        <w:rPr>
          <w:sz w:val="20"/>
          <w:szCs w:val="20"/>
        </w:rPr>
        <w:t xml:space="preserve">. Největší zájem měli v roce 2017 Češi o online </w:t>
      </w:r>
      <w:r w:rsidRPr="00B1686C">
        <w:rPr>
          <w:b/>
          <w:sz w:val="20"/>
          <w:szCs w:val="20"/>
        </w:rPr>
        <w:t>nákup ubytování</w:t>
      </w:r>
      <w:r w:rsidRPr="00B1686C">
        <w:rPr>
          <w:sz w:val="20"/>
          <w:szCs w:val="20"/>
        </w:rPr>
        <w:t xml:space="preserve"> (19 % jednotlivců; 24 % nakupujících na internetu) a o </w:t>
      </w:r>
      <w:r w:rsidRPr="00B1686C">
        <w:rPr>
          <w:b/>
          <w:sz w:val="20"/>
          <w:szCs w:val="20"/>
        </w:rPr>
        <w:t>vstupenky</w:t>
      </w:r>
      <w:r w:rsidRPr="00B1686C">
        <w:rPr>
          <w:sz w:val="20"/>
          <w:szCs w:val="20"/>
        </w:rPr>
        <w:t xml:space="preserve"> na kulturní či sportovní akce (17 % jednotlivců; 33 % nakupujících na internetu). </w:t>
      </w:r>
    </w:p>
    <w:p w:rsidR="00681D9E" w:rsidRDefault="00681D9E">
      <w:pPr>
        <w:spacing w:after="0" w:line="240" w:lineRule="auto"/>
        <w:rPr>
          <w:b/>
          <w:bCs/>
          <w:color w:val="009BB4"/>
          <w:sz w:val="28"/>
          <w:szCs w:val="28"/>
        </w:rPr>
      </w:pPr>
    </w:p>
    <w:bookmarkEnd w:id="1"/>
    <w:sectPr w:rsidR="00681D9E" w:rsidSect="006D0F31">
      <w:type w:val="continuous"/>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B2" w:rsidRDefault="001C21B2" w:rsidP="00E71A58">
      <w:r>
        <w:separator/>
      </w:r>
    </w:p>
  </w:endnote>
  <w:endnote w:type="continuationSeparator" w:id="0">
    <w:p w:rsidR="001C21B2" w:rsidRDefault="001C21B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B2" w:rsidRPr="00932443" w:rsidRDefault="001C21B2" w:rsidP="00A418BC">
    <w:pPr>
      <w:pStyle w:val="Zpat"/>
      <w:rPr>
        <w:szCs w:val="16"/>
      </w:rPr>
    </w:pPr>
    <w:r>
      <w:rPr>
        <w:szCs w:val="16"/>
        <w:lang w:eastAsia="cs-CZ"/>
      </w:rPr>
      <w:drawing>
        <wp:anchor distT="0" distB="0" distL="114300" distR="114300" simplePos="0" relativeHeight="251658240" behindDoc="0" locked="0" layoutInCell="1" allowOverlap="1" wp14:anchorId="2DF6CF52" wp14:editId="707C374E">
          <wp:simplePos x="0" y="0"/>
          <wp:positionH relativeFrom="column">
            <wp:align>right</wp:align>
          </wp:positionH>
          <wp:positionV relativeFrom="paragraph">
            <wp:posOffset>-64770</wp:posOffset>
          </wp:positionV>
          <wp:extent cx="428625" cy="201295"/>
          <wp:effectExtent l="0" t="0" r="3175" b="1905"/>
          <wp:wrapNone/>
          <wp:docPr id="20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9545F3">
      <w:rPr>
        <w:szCs w:val="16"/>
      </w:rPr>
      <w:t>28</w:t>
    </w:r>
    <w:r w:rsidRPr="00932443">
      <w:rPr>
        <w:szCs w:val="16"/>
      </w:rPr>
      <w:fldChar w:fldCharType="end"/>
    </w:r>
    <w:r w:rsidRPr="00932443">
      <w:rPr>
        <w:szCs w:val="16"/>
      </w:rPr>
      <w:tab/>
    </w:r>
    <w:r>
      <w:rPr>
        <w:szCs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B2" w:rsidRPr="00932443" w:rsidRDefault="001C21B2" w:rsidP="00A418BC">
    <w:pPr>
      <w:pStyle w:val="Zpat"/>
      <w:rPr>
        <w:szCs w:val="16"/>
      </w:rPr>
    </w:pPr>
    <w:r>
      <w:rPr>
        <w:szCs w:val="16"/>
        <w:lang w:eastAsia="cs-CZ"/>
      </w:rPr>
      <w:drawing>
        <wp:anchor distT="0" distB="0" distL="114300" distR="114300" simplePos="0" relativeHeight="251657216" behindDoc="0" locked="0" layoutInCell="1" allowOverlap="1" wp14:anchorId="6862A637" wp14:editId="2B8F87FD">
          <wp:simplePos x="0" y="0"/>
          <wp:positionH relativeFrom="column">
            <wp:align>left</wp:align>
          </wp:positionH>
          <wp:positionV relativeFrom="paragraph">
            <wp:posOffset>-122555</wp:posOffset>
          </wp:positionV>
          <wp:extent cx="510540" cy="272415"/>
          <wp:effectExtent l="0" t="0" r="0" b="6985"/>
          <wp:wrapNone/>
          <wp:docPr id="202"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2018</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9545F3">
      <w:rPr>
        <w:rStyle w:val="ZpatChar"/>
        <w:szCs w:val="16"/>
      </w:rPr>
      <w:t>27</w:t>
    </w:r>
    <w:r w:rsidRPr="00932443">
      <w:rPr>
        <w:rStyle w:val="ZpatCha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AC" w:rsidRDefault="009759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B2" w:rsidRDefault="001C21B2" w:rsidP="00E71A58">
      <w:r>
        <w:separator/>
      </w:r>
    </w:p>
  </w:footnote>
  <w:footnote w:type="continuationSeparator" w:id="0">
    <w:p w:rsidR="001C21B2" w:rsidRDefault="001C21B2" w:rsidP="00E71A58">
      <w:r>
        <w:continuationSeparator/>
      </w:r>
    </w:p>
  </w:footnote>
  <w:footnote w:id="1">
    <w:p w:rsidR="001C21B2" w:rsidRPr="0036606D" w:rsidRDefault="001C21B2" w:rsidP="009171D1">
      <w:pPr>
        <w:pStyle w:val="Textpoznpodarou"/>
        <w:jc w:val="both"/>
        <w:rPr>
          <w:rFonts w:ascii="Arial" w:hAnsi="Arial" w:cs="Arial"/>
          <w:sz w:val="18"/>
        </w:rPr>
      </w:pPr>
      <w:r w:rsidRPr="00A5607B">
        <w:rPr>
          <w:rStyle w:val="Znakapoznpodarou"/>
          <w:rFonts w:ascii="Arial" w:hAnsi="Arial" w:cs="Arial"/>
          <w:sz w:val="18"/>
        </w:rPr>
        <w:footnoteRef/>
      </w:r>
      <w:r>
        <w:t xml:space="preserve"> </w:t>
      </w:r>
      <w:r w:rsidRPr="00BE1D2A">
        <w:rPr>
          <w:rFonts w:ascii="Arial" w:hAnsi="Arial" w:cs="Arial"/>
          <w:sz w:val="18"/>
          <w:szCs w:val="18"/>
        </w:rPr>
        <w:t>Podrobné údaje o rozšíření a způsobu využívání vybraných ICT jednotlivci se sleduj</w:t>
      </w:r>
      <w:r>
        <w:rPr>
          <w:rFonts w:ascii="Arial" w:hAnsi="Arial" w:cs="Arial"/>
          <w:sz w:val="18"/>
          <w:szCs w:val="18"/>
        </w:rPr>
        <w:t>í</w:t>
      </w:r>
      <w:r w:rsidRPr="00BE1D2A">
        <w:rPr>
          <w:rFonts w:ascii="Arial" w:hAnsi="Arial" w:cs="Arial"/>
          <w:sz w:val="18"/>
          <w:szCs w:val="18"/>
        </w:rPr>
        <w:t xml:space="preserve"> v rámci </w:t>
      </w:r>
      <w:r w:rsidRPr="00BE1D2A">
        <w:rPr>
          <w:rFonts w:ascii="Arial" w:hAnsi="Arial" w:cs="Arial"/>
          <w:b/>
          <w:i/>
          <w:sz w:val="18"/>
          <w:szCs w:val="18"/>
        </w:rPr>
        <w:t>Výběrové</w:t>
      </w:r>
      <w:r>
        <w:rPr>
          <w:rFonts w:ascii="Arial" w:hAnsi="Arial" w:cs="Arial"/>
          <w:b/>
          <w:i/>
          <w:sz w:val="18"/>
          <w:szCs w:val="18"/>
        </w:rPr>
        <w:t>ho</w:t>
      </w:r>
      <w:r w:rsidRPr="00BE1D2A">
        <w:rPr>
          <w:rFonts w:ascii="Arial" w:hAnsi="Arial" w:cs="Arial"/>
          <w:b/>
          <w:i/>
          <w:sz w:val="18"/>
          <w:szCs w:val="18"/>
        </w:rPr>
        <w:t xml:space="preserve"> šetření o využívání ICT v domácnostech</w:t>
      </w:r>
      <w:r w:rsidRPr="0036606D">
        <w:rPr>
          <w:rFonts w:ascii="Arial" w:hAnsi="Arial" w:cs="Arial"/>
          <w:b/>
          <w:i/>
          <w:sz w:val="18"/>
        </w:rPr>
        <w:t xml:space="preserve"> (VŠIT).</w:t>
      </w:r>
      <w:r w:rsidRPr="0036606D">
        <w:rPr>
          <w:rFonts w:ascii="Arial" w:hAnsi="Arial" w:cs="Arial"/>
          <w:sz w:val="18"/>
        </w:rPr>
        <w:t xml:space="preserve"> Šetření je prováděno formou osobního rozhovoru na výběrovém vzorku cca</w:t>
      </w:r>
      <w:r>
        <w:rPr>
          <w:rFonts w:ascii="Arial" w:hAnsi="Arial" w:cs="Arial"/>
          <w:sz w:val="18"/>
        </w:rPr>
        <w:t> </w:t>
      </w:r>
      <w:r w:rsidRPr="0036606D">
        <w:rPr>
          <w:rFonts w:ascii="Arial" w:hAnsi="Arial" w:cs="Arial"/>
          <w:sz w:val="18"/>
        </w:rPr>
        <w:t>10 tis. jednotlivců</w:t>
      </w:r>
      <w:r>
        <w:rPr>
          <w:rFonts w:ascii="Arial" w:hAnsi="Arial" w:cs="Arial"/>
          <w:sz w:val="18"/>
        </w:rPr>
        <w:t xml:space="preserve">.  Zjištěná data jsou k dispozici v </w:t>
      </w:r>
      <w:r w:rsidRPr="00BE1D2A">
        <w:rPr>
          <w:rFonts w:ascii="Arial" w:hAnsi="Arial" w:cs="Arial"/>
          <w:sz w:val="18"/>
        </w:rPr>
        <w:t>široké škál</w:t>
      </w:r>
      <w:r>
        <w:rPr>
          <w:rFonts w:ascii="Arial" w:hAnsi="Arial" w:cs="Arial"/>
          <w:sz w:val="18"/>
        </w:rPr>
        <w:t>e</w:t>
      </w:r>
      <w:r w:rsidRPr="00BE1D2A">
        <w:rPr>
          <w:rFonts w:ascii="Arial" w:hAnsi="Arial" w:cs="Arial"/>
          <w:sz w:val="18"/>
        </w:rPr>
        <w:t xml:space="preserve"> demografických a sociálních charakteristik osob žijících v</w:t>
      </w:r>
      <w:r>
        <w:rPr>
          <w:rFonts w:ascii="Arial" w:hAnsi="Arial" w:cs="Arial"/>
          <w:sz w:val="18"/>
        </w:rPr>
        <w:t> </w:t>
      </w:r>
      <w:r w:rsidRPr="00BE1D2A">
        <w:rPr>
          <w:rFonts w:ascii="Arial" w:hAnsi="Arial" w:cs="Arial"/>
          <w:sz w:val="18"/>
        </w:rPr>
        <w:t>šetřených domácnostech</w:t>
      </w:r>
      <w:r>
        <w:rPr>
          <w:rFonts w:ascii="Arial" w:hAnsi="Arial" w:cs="Arial"/>
          <w:sz w:val="18"/>
        </w:rPr>
        <w:t xml:space="preserve">, jako je např. </w:t>
      </w:r>
      <w:r w:rsidRPr="0036606D">
        <w:rPr>
          <w:rFonts w:ascii="Arial" w:hAnsi="Arial" w:cs="Arial"/>
          <w:sz w:val="18"/>
        </w:rPr>
        <w:t xml:space="preserve">pohlaví, věk, </w:t>
      </w:r>
      <w:r>
        <w:rPr>
          <w:rFonts w:ascii="Arial" w:hAnsi="Arial" w:cs="Arial"/>
          <w:sz w:val="18"/>
        </w:rPr>
        <w:t xml:space="preserve">nejvyšší dosažené vzdělání, ekonomická aktivita, příjmová skupina, kraj a velikost obce bydliště. </w:t>
      </w:r>
      <w:r w:rsidRPr="0036606D">
        <w:rPr>
          <w:rFonts w:ascii="Arial" w:hAnsi="Arial" w:cs="Arial"/>
          <w:sz w:val="18"/>
        </w:rPr>
        <w:t>Od roku 2006 je šetření prováděno každoročně ve 2. čtvrtletí sledovaného roku ve všech zemích EU, a to jako povinné zjišťování na základě nařízení Evropského parlamentu a Rady (ES) č. 808/2004, o</w:t>
      </w:r>
      <w:r>
        <w:rPr>
          <w:rFonts w:ascii="Arial" w:hAnsi="Arial" w:cs="Arial"/>
          <w:sz w:val="18"/>
        </w:rPr>
        <w:t> </w:t>
      </w:r>
      <w:r w:rsidRPr="0036606D">
        <w:rPr>
          <w:rFonts w:ascii="Arial" w:hAnsi="Arial" w:cs="Arial"/>
          <w:sz w:val="18"/>
        </w:rPr>
        <w:t xml:space="preserve">statistice Společenství o informační společnosti. </w:t>
      </w:r>
    </w:p>
    <w:p w:rsidR="001C21B2" w:rsidRDefault="001C21B2" w:rsidP="00085ADD">
      <w:pPr>
        <w:pStyle w:val="Textpoznpodarou"/>
        <w:jc w:val="both"/>
      </w:pPr>
      <w:r w:rsidRPr="0036606D">
        <w:rPr>
          <w:rFonts w:ascii="Arial" w:hAnsi="Arial" w:cs="Arial"/>
          <w:sz w:val="18"/>
        </w:rPr>
        <w:t xml:space="preserve">Podrobněji viz následující odkaz: </w:t>
      </w:r>
      <w:hyperlink r:id="rId1" w:history="1">
        <w:r w:rsidR="009545F3" w:rsidRPr="009545F3">
          <w:rPr>
            <w:rStyle w:val="Hypertextovodkaz"/>
            <w:rFonts w:ascii="Arial" w:hAnsi="Arial" w:cs="Arial"/>
            <w:sz w:val="18"/>
          </w:rPr>
          <w:t>https://www.czso.cz/csu/czso/dom</w:t>
        </w:r>
        <w:bookmarkStart w:id="2" w:name="_GoBack"/>
        <w:bookmarkEnd w:id="2"/>
        <w:r w:rsidR="009545F3" w:rsidRPr="009545F3">
          <w:rPr>
            <w:rStyle w:val="Hypertextovodkaz"/>
            <w:rFonts w:ascii="Arial" w:hAnsi="Arial" w:cs="Arial"/>
            <w:sz w:val="18"/>
          </w:rPr>
          <w:t>a</w:t>
        </w:r>
        <w:r w:rsidR="009545F3" w:rsidRPr="009545F3">
          <w:rPr>
            <w:rStyle w:val="Hypertextovodkaz"/>
            <w:rFonts w:ascii="Arial" w:hAnsi="Arial" w:cs="Arial"/>
            <w:sz w:val="18"/>
          </w:rPr>
          <w:t>cnosti_a_jednotlivci</w:t>
        </w:r>
      </w:hyperlink>
      <w:r w:rsidR="009545F3">
        <w:rPr>
          <w:rFonts w:ascii="Arial" w:hAnsi="Arial" w:cs="Arial"/>
          <w:sz w:val="18"/>
        </w:rPr>
        <w:t xml:space="preserve"> </w:t>
      </w:r>
    </w:p>
  </w:footnote>
  <w:footnote w:id="2">
    <w:p w:rsidR="001C21B2" w:rsidRPr="00330B5C" w:rsidRDefault="001C21B2" w:rsidP="00085ADD">
      <w:pPr>
        <w:pStyle w:val="Textpoznpodarou"/>
        <w:spacing w:before="60"/>
        <w:jc w:val="both"/>
        <w:rPr>
          <w:rFonts w:ascii="Arial" w:hAnsi="Arial" w:cs="Arial"/>
          <w:sz w:val="18"/>
          <w:szCs w:val="18"/>
        </w:rPr>
      </w:pPr>
      <w:r w:rsidRPr="00A5607B">
        <w:rPr>
          <w:rStyle w:val="Znakapoznpodarou"/>
          <w:rFonts w:ascii="Arial" w:hAnsi="Arial" w:cs="Arial"/>
          <w:sz w:val="18"/>
        </w:rPr>
        <w:footnoteRef/>
      </w:r>
      <w:r>
        <w:t xml:space="preserve"> </w:t>
      </w:r>
      <w:r w:rsidRPr="00F56FCC">
        <w:rPr>
          <w:rFonts w:ascii="Arial" w:hAnsi="Arial" w:cs="Arial"/>
          <w:sz w:val="18"/>
          <w:szCs w:val="18"/>
        </w:rPr>
        <w:t>Uživatelem počítače je jednotlivec, jenž alespoň jednou v posledních 3 měsících před dotazováním použil počítač. Použití počítače znamená použití stolního počítače, notebooku či tabletu, a to jak pro soukromé, tak pro pracovní účely. Počítač mohl být tedy použit doma, ve škole, v práci či kdekoliv jinde.</w:t>
      </w:r>
    </w:p>
  </w:footnote>
  <w:footnote w:id="3">
    <w:p w:rsidR="001C21B2" w:rsidRPr="001C08C1" w:rsidRDefault="001C21B2" w:rsidP="009171D1">
      <w:pPr>
        <w:pStyle w:val="Textpoznpodarou"/>
        <w:jc w:val="both"/>
        <w:rPr>
          <w:rFonts w:ascii="Arial" w:hAnsi="Arial" w:cs="Arial"/>
          <w:sz w:val="18"/>
          <w:szCs w:val="18"/>
        </w:rPr>
      </w:pPr>
      <w:r w:rsidRPr="00A5607B">
        <w:rPr>
          <w:rStyle w:val="Znakapoznpodarou"/>
          <w:rFonts w:ascii="Arial" w:hAnsi="Arial" w:cs="Arial"/>
          <w:sz w:val="18"/>
        </w:rPr>
        <w:footnoteRef/>
      </w:r>
      <w:r>
        <w:t xml:space="preserve"> </w:t>
      </w:r>
      <w:r w:rsidRPr="001C08C1">
        <w:rPr>
          <w:rFonts w:ascii="Arial" w:hAnsi="Arial" w:cs="Arial"/>
          <w:sz w:val="18"/>
          <w:szCs w:val="18"/>
        </w:rPr>
        <w:t>Za uživatele internetu je považován každ</w:t>
      </w:r>
      <w:r>
        <w:rPr>
          <w:rFonts w:ascii="Arial" w:hAnsi="Arial" w:cs="Arial"/>
          <w:sz w:val="18"/>
          <w:szCs w:val="18"/>
        </w:rPr>
        <w:t>ý</w:t>
      </w:r>
      <w:r w:rsidRPr="001C08C1">
        <w:rPr>
          <w:rFonts w:ascii="Arial" w:hAnsi="Arial" w:cs="Arial"/>
          <w:sz w:val="18"/>
          <w:szCs w:val="18"/>
        </w:rPr>
        <w:t xml:space="preserve"> jednotlivec, který použil internet alespoň jednou v posledních třech měsících, a to kdekoliv (doma, v práci, ve škole apod.) a pro jakýkoliv účel (soukromý i pracovní). Použitím internetu se rozumí jakákoliv aktivní činnost na internetu, např. prohlížení webových stránek, stahování souborů, používání e-mailů</w:t>
      </w:r>
      <w:r>
        <w:rPr>
          <w:rFonts w:ascii="Arial" w:hAnsi="Arial" w:cs="Arial"/>
          <w:sz w:val="18"/>
          <w:szCs w:val="18"/>
        </w:rPr>
        <w:t>,</w:t>
      </w:r>
      <w:r w:rsidRPr="001C08C1">
        <w:rPr>
          <w:rFonts w:ascii="Arial" w:hAnsi="Arial" w:cs="Arial"/>
          <w:sz w:val="18"/>
          <w:szCs w:val="18"/>
        </w:rPr>
        <w:t xml:space="preserve"> z</w:t>
      </w:r>
      <w:r>
        <w:rPr>
          <w:rFonts w:ascii="Arial" w:hAnsi="Arial" w:cs="Arial"/>
          <w:sz w:val="18"/>
          <w:szCs w:val="18"/>
        </w:rPr>
        <w:t> </w:t>
      </w:r>
      <w:r w:rsidRPr="001C08C1">
        <w:rPr>
          <w:rFonts w:ascii="Arial" w:hAnsi="Arial" w:cs="Arial"/>
          <w:sz w:val="18"/>
          <w:szCs w:val="18"/>
        </w:rPr>
        <w:t>jakéhokoliv místa (domácnost, škola, práce atd.), pro jakýkoliv účel (soukromý, pracovní atd.), a to jak na počítačích (i</w:t>
      </w:r>
      <w:r>
        <w:rPr>
          <w:rFonts w:ascii="Arial" w:hAnsi="Arial" w:cs="Arial"/>
          <w:sz w:val="18"/>
          <w:szCs w:val="18"/>
        </w:rPr>
        <w:t> </w:t>
      </w:r>
      <w:r w:rsidRPr="001C08C1">
        <w:rPr>
          <w:rFonts w:ascii="Arial" w:hAnsi="Arial" w:cs="Arial"/>
          <w:sz w:val="18"/>
          <w:szCs w:val="18"/>
        </w:rPr>
        <w:t>přenosných), tak na mobilních telefonech, chytrých telefonech, herních konzolích atd.</w:t>
      </w:r>
    </w:p>
  </w:footnote>
  <w:footnote w:id="4">
    <w:p w:rsidR="001C21B2" w:rsidRDefault="001C21B2" w:rsidP="009171D1">
      <w:pPr>
        <w:pStyle w:val="Textpoznpodarou"/>
        <w:jc w:val="both"/>
      </w:pPr>
      <w:r w:rsidRPr="00A5607B">
        <w:rPr>
          <w:rStyle w:val="Znakapoznpodarou"/>
          <w:rFonts w:ascii="Arial" w:hAnsi="Arial" w:cs="Arial"/>
          <w:sz w:val="18"/>
        </w:rPr>
        <w:footnoteRef/>
      </w:r>
      <w:r w:rsidRPr="00A5607B">
        <w:rPr>
          <w:rFonts w:ascii="Arial" w:hAnsi="Arial" w:cs="Arial"/>
          <w:sz w:val="18"/>
        </w:rPr>
        <w:t xml:space="preserve"> </w:t>
      </w:r>
      <w:r w:rsidRPr="003D5FD9">
        <w:rPr>
          <w:rFonts w:ascii="Arial" w:hAnsi="Arial" w:cs="Arial"/>
          <w:sz w:val="18"/>
          <w:szCs w:val="18"/>
        </w:rPr>
        <w:t>Sociální sítě slouží k propojení velkého množství lidí na internetu a umožňují uživatelům sdružovat se, komunikovat a</w:t>
      </w:r>
      <w:r>
        <w:rPr>
          <w:rFonts w:ascii="Arial" w:hAnsi="Arial" w:cs="Arial"/>
          <w:sz w:val="18"/>
          <w:szCs w:val="18"/>
        </w:rPr>
        <w:t> </w:t>
      </w:r>
      <w:r w:rsidRPr="003D5FD9">
        <w:rPr>
          <w:rFonts w:ascii="Arial" w:hAnsi="Arial" w:cs="Arial"/>
          <w:sz w:val="18"/>
          <w:szCs w:val="18"/>
        </w:rPr>
        <w:t xml:space="preserve">sdílet informace s dalšími uživateli. Mezi nejrozšířenější sociální sítě patří </w:t>
      </w:r>
      <w:proofErr w:type="spellStart"/>
      <w:r w:rsidRPr="003D5FD9">
        <w:rPr>
          <w:rFonts w:ascii="Arial" w:hAnsi="Arial" w:cs="Arial"/>
          <w:sz w:val="18"/>
          <w:szCs w:val="18"/>
        </w:rPr>
        <w:t>Facebook</w:t>
      </w:r>
      <w:proofErr w:type="spellEnd"/>
      <w:r w:rsidRPr="003D5FD9">
        <w:rPr>
          <w:rFonts w:ascii="Arial" w:hAnsi="Arial" w:cs="Arial"/>
          <w:sz w:val="18"/>
          <w:szCs w:val="18"/>
        </w:rPr>
        <w:t xml:space="preserve">, </w:t>
      </w:r>
      <w:proofErr w:type="spellStart"/>
      <w:r w:rsidRPr="003D5FD9">
        <w:rPr>
          <w:rFonts w:ascii="Arial" w:hAnsi="Arial" w:cs="Arial"/>
          <w:sz w:val="18"/>
          <w:szCs w:val="18"/>
        </w:rPr>
        <w:t>Twitter</w:t>
      </w:r>
      <w:proofErr w:type="spellEnd"/>
      <w:r w:rsidRPr="003D5FD9">
        <w:rPr>
          <w:rFonts w:ascii="Arial" w:hAnsi="Arial" w:cs="Arial"/>
          <w:sz w:val="18"/>
          <w:szCs w:val="18"/>
        </w:rPr>
        <w:t xml:space="preserve"> či </w:t>
      </w:r>
      <w:proofErr w:type="spellStart"/>
      <w:r w:rsidRPr="003D5FD9">
        <w:rPr>
          <w:rFonts w:ascii="Arial" w:hAnsi="Arial" w:cs="Arial"/>
          <w:sz w:val="18"/>
          <w:szCs w:val="18"/>
        </w:rPr>
        <w:t>Instagram</w:t>
      </w:r>
      <w:proofErr w:type="spellEnd"/>
      <w:r>
        <w:rPr>
          <w:rFonts w:ascii="Arial" w:hAnsi="Arial" w:cs="Arial"/>
          <w:sz w:val="18"/>
          <w:szCs w:val="18"/>
        </w:rPr>
        <w:t xml:space="preserve">. </w:t>
      </w:r>
      <w:r w:rsidRPr="005D0B56">
        <w:rPr>
          <w:rFonts w:ascii="Arial" w:hAnsi="Arial" w:cs="Arial"/>
          <w:sz w:val="18"/>
          <w:szCs w:val="18"/>
        </w:rPr>
        <w:t>Účast v</w:t>
      </w:r>
      <w:r>
        <w:rPr>
          <w:rFonts w:ascii="Arial" w:hAnsi="Arial" w:cs="Arial"/>
          <w:sz w:val="18"/>
          <w:szCs w:val="18"/>
        </w:rPr>
        <w:t> </w:t>
      </w:r>
      <w:r w:rsidRPr="005D0B56">
        <w:rPr>
          <w:rFonts w:ascii="Arial" w:hAnsi="Arial" w:cs="Arial"/>
          <w:sz w:val="18"/>
          <w:szCs w:val="18"/>
        </w:rPr>
        <w:t>sociálních sítích zahrnuje osoby, které</w:t>
      </w:r>
      <w:r w:rsidRPr="003D5FD9">
        <w:rPr>
          <w:rFonts w:ascii="Arial" w:hAnsi="Arial" w:cs="Arial"/>
          <w:sz w:val="18"/>
          <w:szCs w:val="18"/>
        </w:rPr>
        <w:t xml:space="preserve"> mají svůj profil na některé ze sociálních sítí a k tomuto profilu se přihlásily alespoň jednou v posledních 3 měsících.</w:t>
      </w:r>
    </w:p>
  </w:footnote>
  <w:footnote w:id="5">
    <w:p w:rsidR="001C21B2" w:rsidRPr="00424DCA" w:rsidRDefault="001C21B2" w:rsidP="009171D1">
      <w:pPr>
        <w:pStyle w:val="Textpoznpodarou"/>
        <w:jc w:val="both"/>
        <w:rPr>
          <w:rFonts w:ascii="Arial" w:hAnsi="Arial" w:cs="Arial"/>
          <w:sz w:val="18"/>
        </w:rPr>
      </w:pPr>
      <w:r w:rsidRPr="008C73CD">
        <w:rPr>
          <w:rStyle w:val="Znakapoznpodarou"/>
          <w:rFonts w:ascii="Arial" w:hAnsi="Arial" w:cs="Arial"/>
          <w:sz w:val="18"/>
        </w:rPr>
        <w:footnoteRef/>
      </w:r>
      <w:r>
        <w:t xml:space="preserve"> </w:t>
      </w:r>
      <w:r w:rsidRPr="00424DCA">
        <w:rPr>
          <w:rFonts w:ascii="Arial" w:hAnsi="Arial" w:cs="Arial"/>
          <w:sz w:val="18"/>
        </w:rPr>
        <w:t>Sledování videa z placených filmových katalogů představuje sledování filmů/seriálů či jiného videa na</w:t>
      </w:r>
      <w:r>
        <w:rPr>
          <w:rFonts w:ascii="Arial" w:hAnsi="Arial" w:cs="Arial"/>
          <w:sz w:val="18"/>
        </w:rPr>
        <w:t> </w:t>
      </w:r>
      <w:r w:rsidRPr="00424DCA">
        <w:rPr>
          <w:rFonts w:ascii="Arial" w:hAnsi="Arial" w:cs="Arial"/>
          <w:sz w:val="18"/>
        </w:rPr>
        <w:t>specializovaných stránkách, kde si mohou uživatelé vybrat z filmového katalogu, co a kdy budou sledovat (např.</w:t>
      </w:r>
      <w:r>
        <w:rPr>
          <w:rFonts w:ascii="Arial" w:hAnsi="Arial" w:cs="Arial"/>
          <w:sz w:val="18"/>
        </w:rPr>
        <w:t> </w:t>
      </w:r>
      <w:proofErr w:type="spellStart"/>
      <w:r w:rsidRPr="00424DCA">
        <w:rPr>
          <w:rFonts w:ascii="Arial" w:hAnsi="Arial" w:cs="Arial"/>
          <w:sz w:val="18"/>
        </w:rPr>
        <w:t>Netflix</w:t>
      </w:r>
      <w:proofErr w:type="spellEnd"/>
      <w:r w:rsidRPr="00424DCA">
        <w:rPr>
          <w:rFonts w:ascii="Arial" w:hAnsi="Arial" w:cs="Arial"/>
          <w:sz w:val="18"/>
        </w:rPr>
        <w:t>, HBO, Apple iTunes). Pro využívání těchto služeb se musí uživatel zaregistrovat na webových stránkách poskytovatele a následně za</w:t>
      </w:r>
      <w:r>
        <w:rPr>
          <w:rFonts w:ascii="Arial" w:hAnsi="Arial" w:cs="Arial"/>
          <w:sz w:val="18"/>
        </w:rPr>
        <w:t> </w:t>
      </w:r>
      <w:r w:rsidRPr="00424DCA">
        <w:rPr>
          <w:rFonts w:ascii="Arial" w:hAnsi="Arial" w:cs="Arial"/>
          <w:sz w:val="18"/>
        </w:rPr>
        <w:t>tyto služby platit.</w:t>
      </w:r>
    </w:p>
  </w:footnote>
  <w:footnote w:id="6">
    <w:p w:rsidR="001C21B2" w:rsidRPr="005F5D37" w:rsidRDefault="001C21B2" w:rsidP="009171D1">
      <w:pPr>
        <w:pStyle w:val="Textpoznpodarou"/>
        <w:jc w:val="both"/>
        <w:rPr>
          <w:rFonts w:ascii="Arial" w:hAnsi="Arial" w:cs="Arial"/>
          <w:sz w:val="18"/>
        </w:rPr>
      </w:pPr>
      <w:r w:rsidRPr="00A5607B">
        <w:rPr>
          <w:rStyle w:val="Znakapoznpodarou"/>
          <w:rFonts w:ascii="Arial" w:hAnsi="Arial" w:cs="Arial"/>
          <w:sz w:val="18"/>
        </w:rPr>
        <w:footnoteRef/>
      </w:r>
      <w:r>
        <w:t xml:space="preserve"> </w:t>
      </w:r>
      <w:r w:rsidRPr="005F5D37">
        <w:rPr>
          <w:rFonts w:ascii="Arial" w:hAnsi="Arial" w:cs="Arial"/>
          <w:sz w:val="18"/>
        </w:rPr>
        <w:t>Hledání informací o cestování a ubytování zahrnuje vyhledávání informací v této oblasti</w:t>
      </w:r>
      <w:r>
        <w:rPr>
          <w:rFonts w:ascii="Arial" w:hAnsi="Arial" w:cs="Arial"/>
          <w:sz w:val="18"/>
        </w:rPr>
        <w:t>,</w:t>
      </w:r>
      <w:r w:rsidRPr="005F5D37">
        <w:rPr>
          <w:rFonts w:ascii="Arial" w:hAnsi="Arial" w:cs="Arial"/>
          <w:sz w:val="18"/>
        </w:rPr>
        <w:t xml:space="preserve"> a to jak formou vyhledávání přes internetový prohlížeč, tak přímou návštěvou vybraných internetových stránek. Mezi příklady informací o cestování mohou patřit informace o dostupných letech, autobusovém či vlakovém spojení, ubytování, pronájmu automobilu či cestovním pojištění. Účastník musel nějakou z těchto aktivit vykonat v posledních 3 měsících pro soukromé účely.</w:t>
      </w:r>
    </w:p>
  </w:footnote>
  <w:footnote w:id="7">
    <w:p w:rsidR="001C21B2" w:rsidRDefault="001C21B2" w:rsidP="009171D1">
      <w:pPr>
        <w:pStyle w:val="Textpoznpodarou"/>
        <w:jc w:val="both"/>
      </w:pPr>
      <w:r w:rsidRPr="00A26627">
        <w:rPr>
          <w:rStyle w:val="Znakapoznpodarou"/>
          <w:rFonts w:ascii="Arial" w:hAnsi="Arial" w:cs="Arial"/>
          <w:sz w:val="18"/>
        </w:rPr>
        <w:footnoteRef/>
      </w:r>
      <w:r w:rsidRPr="00A26627">
        <w:rPr>
          <w:rFonts w:ascii="Arial" w:hAnsi="Arial" w:cs="Arial"/>
          <w:sz w:val="16"/>
        </w:rPr>
        <w:t xml:space="preserve"> </w:t>
      </w:r>
      <w:r w:rsidRPr="00A26627">
        <w:rPr>
          <w:rFonts w:ascii="Arial" w:hAnsi="Arial" w:cs="Arial"/>
          <w:sz w:val="18"/>
        </w:rPr>
        <w:t>J</w:t>
      </w:r>
      <w:r w:rsidRPr="00D428F0">
        <w:rPr>
          <w:rFonts w:ascii="Arial" w:hAnsi="Arial" w:cs="Arial"/>
          <w:sz w:val="18"/>
        </w:rPr>
        <w:t xml:space="preserve">edná se o služby, které umožňují nahrávání, skladování a přístup k vlastním dokumentům a souborům prostřednictvím vzdálených datových úložišť online (např. Google Drive, </w:t>
      </w:r>
      <w:proofErr w:type="spellStart"/>
      <w:r w:rsidRPr="00D428F0">
        <w:rPr>
          <w:rFonts w:ascii="Arial" w:hAnsi="Arial" w:cs="Arial"/>
          <w:sz w:val="18"/>
        </w:rPr>
        <w:t>OneDrive</w:t>
      </w:r>
      <w:proofErr w:type="spellEnd"/>
      <w:r w:rsidRPr="00D428F0">
        <w:rPr>
          <w:rFonts w:ascii="Arial" w:hAnsi="Arial" w:cs="Arial"/>
          <w:sz w:val="18"/>
        </w:rPr>
        <w:t xml:space="preserve">, </w:t>
      </w:r>
      <w:proofErr w:type="spellStart"/>
      <w:r w:rsidRPr="00D428F0">
        <w:rPr>
          <w:rFonts w:ascii="Arial" w:hAnsi="Arial" w:cs="Arial"/>
          <w:sz w:val="18"/>
        </w:rPr>
        <w:t>Dropbox</w:t>
      </w:r>
      <w:proofErr w:type="spellEnd"/>
      <w:r w:rsidRPr="00D428F0">
        <w:rPr>
          <w:rFonts w:ascii="Arial" w:hAnsi="Arial" w:cs="Arial"/>
          <w:sz w:val="18"/>
        </w:rPr>
        <w:t>, uloz.to). Ukládaná data jsou přístupná prohlížení a úpravám z různých míst a zařízení.</w:t>
      </w:r>
    </w:p>
  </w:footnote>
  <w:footnote w:id="8">
    <w:p w:rsidR="001C21B2" w:rsidRDefault="001C21B2" w:rsidP="009171D1">
      <w:pPr>
        <w:pStyle w:val="Textpoznpodarou"/>
        <w:jc w:val="both"/>
      </w:pPr>
      <w:r w:rsidRPr="00A5607B">
        <w:rPr>
          <w:rStyle w:val="Znakapoznpodarou"/>
          <w:rFonts w:ascii="Arial" w:hAnsi="Arial" w:cs="Arial"/>
          <w:sz w:val="18"/>
        </w:rPr>
        <w:footnoteRef/>
      </w:r>
      <w:r>
        <w:t xml:space="preserve"> </w:t>
      </w:r>
      <w:r w:rsidRPr="00E64DBA">
        <w:rPr>
          <w:rFonts w:ascii="Arial" w:hAnsi="Arial" w:cs="Arial"/>
          <w:sz w:val="18"/>
          <w:szCs w:val="18"/>
        </w:rPr>
        <w:t>Nákup přes internet zahrnuje objednání zboží nebo služeb na webových stránkách či prostřednictvím aplikací (nezapočítávají se objednávky uskutečněné přes e-mail) pro soukromé účely. Zboží objednané tímto způsobem nemusí být placeno přes internet, může být placeno i dobírkou či při osobním odběru. Referenčním obdobím u nákupů přes internet je posledních 12 měsíců, pouze frekvence nákupů a částka vynaložená za nákupy přes internet jsou zjišťovány za poslední 3 měsíce před šetřením.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B2" w:rsidRPr="006F5416" w:rsidRDefault="001C21B2" w:rsidP="00EF25CC">
    <w:pPr>
      <w:pStyle w:val="Zhlav"/>
    </w:pPr>
    <w:r>
      <w:t>Rozvoj informační společnosti v České republice a zemích EU</w:t>
    </w:r>
  </w:p>
  <w:p w:rsidR="001C21B2" w:rsidRPr="00EF25CC" w:rsidRDefault="001C21B2" w:rsidP="00EF25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B2" w:rsidRPr="006F5416" w:rsidRDefault="001C21B2" w:rsidP="00937AE2">
    <w:pPr>
      <w:pStyle w:val="Zhlav"/>
    </w:pPr>
    <w:r>
      <w:t>Rozvoj informační společnosti v České republice a zemích EU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AC" w:rsidRDefault="009759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384135D"/>
    <w:multiLevelType w:val="hybridMultilevel"/>
    <w:tmpl w:val="FD5658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F750D5"/>
    <w:multiLevelType w:val="hybridMultilevel"/>
    <w:tmpl w:val="5D747D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0D7D2D59"/>
    <w:multiLevelType w:val="hybridMultilevel"/>
    <w:tmpl w:val="CD607F88"/>
    <w:lvl w:ilvl="0" w:tplc="08DC1D28">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0EEF0B92"/>
    <w:multiLevelType w:val="hybridMultilevel"/>
    <w:tmpl w:val="338AA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FE85D3C"/>
    <w:multiLevelType w:val="hybridMultilevel"/>
    <w:tmpl w:val="26643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C7F720E"/>
    <w:multiLevelType w:val="hybridMultilevel"/>
    <w:tmpl w:val="C1DCAACC"/>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4733F88"/>
    <w:multiLevelType w:val="hybridMultilevel"/>
    <w:tmpl w:val="0F7A41B8"/>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8">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BFD3662"/>
    <w:multiLevelType w:val="hybridMultilevel"/>
    <w:tmpl w:val="1DEEB002"/>
    <w:lvl w:ilvl="0" w:tplc="3174A9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787561"/>
    <w:multiLevelType w:val="hybridMultilevel"/>
    <w:tmpl w:val="CC78A5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F3B4673"/>
    <w:multiLevelType w:val="hybridMultilevel"/>
    <w:tmpl w:val="82FA25BC"/>
    <w:lvl w:ilvl="0" w:tplc="3174A966">
      <w:start w:val="1"/>
      <w:numFmt w:val="bullet"/>
      <w:lvlText w:val=""/>
      <w:lvlJc w:val="left"/>
      <w:pPr>
        <w:tabs>
          <w:tab w:val="num" w:pos="360"/>
        </w:tabs>
        <w:ind w:left="360" w:hanging="360"/>
      </w:pPr>
      <w:rPr>
        <w:rFonts w:ascii="Symbol" w:hAnsi="Symbol" w:hint="default"/>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9"/>
  </w:num>
  <w:num w:numId="14">
    <w:abstractNumId w:val="22"/>
  </w:num>
  <w:num w:numId="15">
    <w:abstractNumId w:val="14"/>
  </w:num>
  <w:num w:numId="16">
    <w:abstractNumId w:val="11"/>
  </w:num>
  <w:num w:numId="17">
    <w:abstractNumId w:val="15"/>
  </w:num>
  <w:num w:numId="18">
    <w:abstractNumId w:val="13"/>
  </w:num>
  <w:num w:numId="19">
    <w:abstractNumId w:val="17"/>
  </w:num>
  <w:num w:numId="20">
    <w:abstractNumId w:val="10"/>
  </w:num>
  <w:num w:numId="21">
    <w:abstractNumId w:val="12"/>
  </w:num>
  <w:num w:numId="22">
    <w:abstractNumId w:val="21"/>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74"/>
    <w:rsid w:val="0000209D"/>
    <w:rsid w:val="00004D5A"/>
    <w:rsid w:val="000056D5"/>
    <w:rsid w:val="0000661F"/>
    <w:rsid w:val="0000767A"/>
    <w:rsid w:val="00010702"/>
    <w:rsid w:val="000234D6"/>
    <w:rsid w:val="00023D29"/>
    <w:rsid w:val="00026389"/>
    <w:rsid w:val="00031AE0"/>
    <w:rsid w:val="00031DF9"/>
    <w:rsid w:val="000322EF"/>
    <w:rsid w:val="00033FCD"/>
    <w:rsid w:val="00041CEC"/>
    <w:rsid w:val="0004694F"/>
    <w:rsid w:val="000522E4"/>
    <w:rsid w:val="00060678"/>
    <w:rsid w:val="000610E1"/>
    <w:rsid w:val="00062EC5"/>
    <w:rsid w:val="00062F22"/>
    <w:rsid w:val="000712B3"/>
    <w:rsid w:val="000738F5"/>
    <w:rsid w:val="00080DC7"/>
    <w:rsid w:val="0008263E"/>
    <w:rsid w:val="00082C19"/>
    <w:rsid w:val="00085395"/>
    <w:rsid w:val="00085ADD"/>
    <w:rsid w:val="00087634"/>
    <w:rsid w:val="00087F2B"/>
    <w:rsid w:val="00090B26"/>
    <w:rsid w:val="000974D1"/>
    <w:rsid w:val="0009799E"/>
    <w:rsid w:val="000A1183"/>
    <w:rsid w:val="000A256D"/>
    <w:rsid w:val="000A3A2C"/>
    <w:rsid w:val="000C233D"/>
    <w:rsid w:val="000C2E06"/>
    <w:rsid w:val="000C3408"/>
    <w:rsid w:val="000C6AFD"/>
    <w:rsid w:val="000D5447"/>
    <w:rsid w:val="000D5637"/>
    <w:rsid w:val="000E6FBD"/>
    <w:rsid w:val="000F1E6B"/>
    <w:rsid w:val="00100F5C"/>
    <w:rsid w:val="00104C4C"/>
    <w:rsid w:val="0012192F"/>
    <w:rsid w:val="00125D69"/>
    <w:rsid w:val="001310B8"/>
    <w:rsid w:val="001374A5"/>
    <w:rsid w:val="001405FA"/>
    <w:rsid w:val="001425C3"/>
    <w:rsid w:val="00151D30"/>
    <w:rsid w:val="001532F4"/>
    <w:rsid w:val="0016256B"/>
    <w:rsid w:val="00163793"/>
    <w:rsid w:val="001706D6"/>
    <w:rsid w:val="001714F2"/>
    <w:rsid w:val="001719E8"/>
    <w:rsid w:val="00184B08"/>
    <w:rsid w:val="00185010"/>
    <w:rsid w:val="001964E7"/>
    <w:rsid w:val="001A552F"/>
    <w:rsid w:val="001B2CA9"/>
    <w:rsid w:val="001B3110"/>
    <w:rsid w:val="001B4729"/>
    <w:rsid w:val="001B6C09"/>
    <w:rsid w:val="001B7B0A"/>
    <w:rsid w:val="001C05CD"/>
    <w:rsid w:val="001C21B2"/>
    <w:rsid w:val="001C4EA2"/>
    <w:rsid w:val="001C550B"/>
    <w:rsid w:val="001D68B2"/>
    <w:rsid w:val="001F4597"/>
    <w:rsid w:val="001F71F0"/>
    <w:rsid w:val="002118B9"/>
    <w:rsid w:val="00215A2F"/>
    <w:rsid w:val="00217C5B"/>
    <w:rsid w:val="0022139E"/>
    <w:rsid w:val="002252E0"/>
    <w:rsid w:val="002255F6"/>
    <w:rsid w:val="00227850"/>
    <w:rsid w:val="00227A53"/>
    <w:rsid w:val="00230C6E"/>
    <w:rsid w:val="00236443"/>
    <w:rsid w:val="002436BA"/>
    <w:rsid w:val="00244A15"/>
    <w:rsid w:val="00247319"/>
    <w:rsid w:val="0024799E"/>
    <w:rsid w:val="00253C0F"/>
    <w:rsid w:val="00256F55"/>
    <w:rsid w:val="00263723"/>
    <w:rsid w:val="00271465"/>
    <w:rsid w:val="00272ECF"/>
    <w:rsid w:val="00285412"/>
    <w:rsid w:val="00286B82"/>
    <w:rsid w:val="002A16D4"/>
    <w:rsid w:val="002A230C"/>
    <w:rsid w:val="002C354E"/>
    <w:rsid w:val="002C43BD"/>
    <w:rsid w:val="002D0E59"/>
    <w:rsid w:val="002E02A1"/>
    <w:rsid w:val="002E4E4C"/>
    <w:rsid w:val="002E53B8"/>
    <w:rsid w:val="00304771"/>
    <w:rsid w:val="003052D4"/>
    <w:rsid w:val="00306C5B"/>
    <w:rsid w:val="0031346B"/>
    <w:rsid w:val="00320135"/>
    <w:rsid w:val="003209D6"/>
    <w:rsid w:val="00321924"/>
    <w:rsid w:val="003258E2"/>
    <w:rsid w:val="0032656E"/>
    <w:rsid w:val="00332190"/>
    <w:rsid w:val="00344668"/>
    <w:rsid w:val="003462D9"/>
    <w:rsid w:val="00346BD2"/>
    <w:rsid w:val="00360C86"/>
    <w:rsid w:val="0036231A"/>
    <w:rsid w:val="003657F3"/>
    <w:rsid w:val="003818DC"/>
    <w:rsid w:val="00384327"/>
    <w:rsid w:val="00385D98"/>
    <w:rsid w:val="003A2B4D"/>
    <w:rsid w:val="003A478C"/>
    <w:rsid w:val="003A5525"/>
    <w:rsid w:val="003A6B38"/>
    <w:rsid w:val="003B009D"/>
    <w:rsid w:val="003B3A31"/>
    <w:rsid w:val="003B5A32"/>
    <w:rsid w:val="003C3490"/>
    <w:rsid w:val="003C6AB3"/>
    <w:rsid w:val="003D5166"/>
    <w:rsid w:val="003D561C"/>
    <w:rsid w:val="003D6920"/>
    <w:rsid w:val="003D7360"/>
    <w:rsid w:val="003E4C91"/>
    <w:rsid w:val="003F313C"/>
    <w:rsid w:val="003F4B2C"/>
    <w:rsid w:val="003F551C"/>
    <w:rsid w:val="003F7D23"/>
    <w:rsid w:val="00407C13"/>
    <w:rsid w:val="00410638"/>
    <w:rsid w:val="00427DBA"/>
    <w:rsid w:val="00432A58"/>
    <w:rsid w:val="00434617"/>
    <w:rsid w:val="00440900"/>
    <w:rsid w:val="004441A0"/>
    <w:rsid w:val="00447AC3"/>
    <w:rsid w:val="0045371C"/>
    <w:rsid w:val="0045583D"/>
    <w:rsid w:val="00460FB3"/>
    <w:rsid w:val="00471EB7"/>
    <w:rsid w:val="00476240"/>
    <w:rsid w:val="00476439"/>
    <w:rsid w:val="00476ABC"/>
    <w:rsid w:val="0047735C"/>
    <w:rsid w:val="004776BC"/>
    <w:rsid w:val="0048139F"/>
    <w:rsid w:val="00481E40"/>
    <w:rsid w:val="00484ECE"/>
    <w:rsid w:val="004915CB"/>
    <w:rsid w:val="004924DC"/>
    <w:rsid w:val="004A14E4"/>
    <w:rsid w:val="004A3212"/>
    <w:rsid w:val="004A61C5"/>
    <w:rsid w:val="004A77DF"/>
    <w:rsid w:val="004B021D"/>
    <w:rsid w:val="004B1417"/>
    <w:rsid w:val="004B2A0F"/>
    <w:rsid w:val="004B55B7"/>
    <w:rsid w:val="004B6468"/>
    <w:rsid w:val="004B680F"/>
    <w:rsid w:val="004C17F9"/>
    <w:rsid w:val="004C1E47"/>
    <w:rsid w:val="004C302C"/>
    <w:rsid w:val="004C384C"/>
    <w:rsid w:val="004C3867"/>
    <w:rsid w:val="004C4CD0"/>
    <w:rsid w:val="004C70DC"/>
    <w:rsid w:val="004D0211"/>
    <w:rsid w:val="004D0794"/>
    <w:rsid w:val="004D41FF"/>
    <w:rsid w:val="004D79D3"/>
    <w:rsid w:val="004F06F5"/>
    <w:rsid w:val="004F1191"/>
    <w:rsid w:val="004F33A0"/>
    <w:rsid w:val="004F3D06"/>
    <w:rsid w:val="00502A16"/>
    <w:rsid w:val="005108C0"/>
    <w:rsid w:val="00511679"/>
    <w:rsid w:val="00511873"/>
    <w:rsid w:val="00512A2F"/>
    <w:rsid w:val="00513B7E"/>
    <w:rsid w:val="00515C74"/>
    <w:rsid w:val="0052007E"/>
    <w:rsid w:val="0052337A"/>
    <w:rsid w:val="00525137"/>
    <w:rsid w:val="005251DD"/>
    <w:rsid w:val="00532CBB"/>
    <w:rsid w:val="00532CE7"/>
    <w:rsid w:val="0053324C"/>
    <w:rsid w:val="00534A28"/>
    <w:rsid w:val="00536744"/>
    <w:rsid w:val="00541508"/>
    <w:rsid w:val="0055599F"/>
    <w:rsid w:val="00556D68"/>
    <w:rsid w:val="005647BF"/>
    <w:rsid w:val="0057364B"/>
    <w:rsid w:val="00574773"/>
    <w:rsid w:val="00580DC8"/>
    <w:rsid w:val="00583F46"/>
    <w:rsid w:val="00583FFD"/>
    <w:rsid w:val="0058579A"/>
    <w:rsid w:val="005911BE"/>
    <w:rsid w:val="00593152"/>
    <w:rsid w:val="00597C39"/>
    <w:rsid w:val="005A10F2"/>
    <w:rsid w:val="005A21E0"/>
    <w:rsid w:val="005A27BE"/>
    <w:rsid w:val="005A28FF"/>
    <w:rsid w:val="005A3DF8"/>
    <w:rsid w:val="005A5549"/>
    <w:rsid w:val="005B121D"/>
    <w:rsid w:val="005C06ED"/>
    <w:rsid w:val="005C23A9"/>
    <w:rsid w:val="005D09AA"/>
    <w:rsid w:val="005D5802"/>
    <w:rsid w:val="005D7890"/>
    <w:rsid w:val="005E7C78"/>
    <w:rsid w:val="005F3EB1"/>
    <w:rsid w:val="005F5469"/>
    <w:rsid w:val="00604022"/>
    <w:rsid w:val="00604307"/>
    <w:rsid w:val="0060487F"/>
    <w:rsid w:val="00604EAD"/>
    <w:rsid w:val="006104FB"/>
    <w:rsid w:val="00612A2F"/>
    <w:rsid w:val="00616E05"/>
    <w:rsid w:val="00623647"/>
    <w:rsid w:val="00624093"/>
    <w:rsid w:val="006404A7"/>
    <w:rsid w:val="006451E4"/>
    <w:rsid w:val="00645B33"/>
    <w:rsid w:val="00650694"/>
    <w:rsid w:val="006516CB"/>
    <w:rsid w:val="00655739"/>
    <w:rsid w:val="00657E87"/>
    <w:rsid w:val="00664803"/>
    <w:rsid w:val="00665BA4"/>
    <w:rsid w:val="00667AF2"/>
    <w:rsid w:val="006710C9"/>
    <w:rsid w:val="00674D89"/>
    <w:rsid w:val="00675E37"/>
    <w:rsid w:val="0068174E"/>
    <w:rsid w:val="00681D9E"/>
    <w:rsid w:val="00681DCE"/>
    <w:rsid w:val="0068260E"/>
    <w:rsid w:val="0068503B"/>
    <w:rsid w:val="0069424E"/>
    <w:rsid w:val="00695BEF"/>
    <w:rsid w:val="006977F6"/>
    <w:rsid w:val="00697A13"/>
    <w:rsid w:val="006A109C"/>
    <w:rsid w:val="006B344A"/>
    <w:rsid w:val="006B78D8"/>
    <w:rsid w:val="006C113F"/>
    <w:rsid w:val="006C123E"/>
    <w:rsid w:val="006C56D4"/>
    <w:rsid w:val="006C6924"/>
    <w:rsid w:val="006C6C48"/>
    <w:rsid w:val="006C7CA6"/>
    <w:rsid w:val="006D0F31"/>
    <w:rsid w:val="006D3E8A"/>
    <w:rsid w:val="006D61F6"/>
    <w:rsid w:val="006E279A"/>
    <w:rsid w:val="006E313B"/>
    <w:rsid w:val="006E65BC"/>
    <w:rsid w:val="006F17D3"/>
    <w:rsid w:val="006F48ED"/>
    <w:rsid w:val="006F5416"/>
    <w:rsid w:val="00703765"/>
    <w:rsid w:val="00706AD4"/>
    <w:rsid w:val="007140BE"/>
    <w:rsid w:val="00715110"/>
    <w:rsid w:val="007211F5"/>
    <w:rsid w:val="00725BB5"/>
    <w:rsid w:val="00726D5A"/>
    <w:rsid w:val="00730AE8"/>
    <w:rsid w:val="00741493"/>
    <w:rsid w:val="007445D0"/>
    <w:rsid w:val="00752180"/>
    <w:rsid w:val="00755202"/>
    <w:rsid w:val="00755D3A"/>
    <w:rsid w:val="007578D3"/>
    <w:rsid w:val="007609C6"/>
    <w:rsid w:val="0076175D"/>
    <w:rsid w:val="00761AD2"/>
    <w:rsid w:val="00763A84"/>
    <w:rsid w:val="0076521E"/>
    <w:rsid w:val="007661E9"/>
    <w:rsid w:val="007745AC"/>
    <w:rsid w:val="00776169"/>
    <w:rsid w:val="00776527"/>
    <w:rsid w:val="00780EF1"/>
    <w:rsid w:val="007847E4"/>
    <w:rsid w:val="00790764"/>
    <w:rsid w:val="0079453C"/>
    <w:rsid w:val="00794677"/>
    <w:rsid w:val="00797FE8"/>
    <w:rsid w:val="007B0363"/>
    <w:rsid w:val="007B1818"/>
    <w:rsid w:val="007B2E26"/>
    <w:rsid w:val="007B6689"/>
    <w:rsid w:val="007D40DF"/>
    <w:rsid w:val="007D726B"/>
    <w:rsid w:val="007E7E61"/>
    <w:rsid w:val="007F0845"/>
    <w:rsid w:val="007F6C9B"/>
    <w:rsid w:val="00804C7B"/>
    <w:rsid w:val="00807C82"/>
    <w:rsid w:val="00813E24"/>
    <w:rsid w:val="00816905"/>
    <w:rsid w:val="00821FF6"/>
    <w:rsid w:val="0082256C"/>
    <w:rsid w:val="00825C4D"/>
    <w:rsid w:val="0083143E"/>
    <w:rsid w:val="00831CDE"/>
    <w:rsid w:val="00834304"/>
    <w:rsid w:val="0083434D"/>
    <w:rsid w:val="00834FAA"/>
    <w:rsid w:val="008353D1"/>
    <w:rsid w:val="00836086"/>
    <w:rsid w:val="00837E52"/>
    <w:rsid w:val="0084708F"/>
    <w:rsid w:val="008477C8"/>
    <w:rsid w:val="0085114D"/>
    <w:rsid w:val="00852217"/>
    <w:rsid w:val="00855408"/>
    <w:rsid w:val="00856D65"/>
    <w:rsid w:val="008603EE"/>
    <w:rsid w:val="00861B41"/>
    <w:rsid w:val="00863434"/>
    <w:rsid w:val="00865330"/>
    <w:rsid w:val="00865E4C"/>
    <w:rsid w:val="008701E4"/>
    <w:rsid w:val="00872D1B"/>
    <w:rsid w:val="00875A32"/>
    <w:rsid w:val="00876086"/>
    <w:rsid w:val="008873D4"/>
    <w:rsid w:val="0089085D"/>
    <w:rsid w:val="00893E85"/>
    <w:rsid w:val="00894031"/>
    <w:rsid w:val="008A2396"/>
    <w:rsid w:val="008B2FEB"/>
    <w:rsid w:val="008B309E"/>
    <w:rsid w:val="008B7C02"/>
    <w:rsid w:val="008B7D2B"/>
    <w:rsid w:val="008C0049"/>
    <w:rsid w:val="008C0E88"/>
    <w:rsid w:val="008D1E6A"/>
    <w:rsid w:val="008D2A16"/>
    <w:rsid w:val="008E2C57"/>
    <w:rsid w:val="008E31FF"/>
    <w:rsid w:val="008E6F06"/>
    <w:rsid w:val="008F029B"/>
    <w:rsid w:val="008F1C09"/>
    <w:rsid w:val="008F1E34"/>
    <w:rsid w:val="008F3B39"/>
    <w:rsid w:val="008F3FC9"/>
    <w:rsid w:val="008F4FFD"/>
    <w:rsid w:val="008F585B"/>
    <w:rsid w:val="009003A8"/>
    <w:rsid w:val="00902500"/>
    <w:rsid w:val="00902EFF"/>
    <w:rsid w:val="00906401"/>
    <w:rsid w:val="0091155E"/>
    <w:rsid w:val="00912A92"/>
    <w:rsid w:val="009171D1"/>
    <w:rsid w:val="0091728D"/>
    <w:rsid w:val="009172CA"/>
    <w:rsid w:val="0092180B"/>
    <w:rsid w:val="00921F14"/>
    <w:rsid w:val="00924AC8"/>
    <w:rsid w:val="0092597A"/>
    <w:rsid w:val="00927894"/>
    <w:rsid w:val="00932443"/>
    <w:rsid w:val="00937AE2"/>
    <w:rsid w:val="009404B5"/>
    <w:rsid w:val="0094427A"/>
    <w:rsid w:val="00945EE9"/>
    <w:rsid w:val="009545F3"/>
    <w:rsid w:val="00955F38"/>
    <w:rsid w:val="0096077C"/>
    <w:rsid w:val="00974923"/>
    <w:rsid w:val="009759AC"/>
    <w:rsid w:val="00976E82"/>
    <w:rsid w:val="00980D3D"/>
    <w:rsid w:val="00987A30"/>
    <w:rsid w:val="00990989"/>
    <w:rsid w:val="00992CF3"/>
    <w:rsid w:val="009968D6"/>
    <w:rsid w:val="009A19F9"/>
    <w:rsid w:val="009A1CAB"/>
    <w:rsid w:val="009A60D1"/>
    <w:rsid w:val="009A754C"/>
    <w:rsid w:val="009B08EC"/>
    <w:rsid w:val="009B6FD3"/>
    <w:rsid w:val="009C0729"/>
    <w:rsid w:val="009C0B75"/>
    <w:rsid w:val="009C1750"/>
    <w:rsid w:val="009C2E29"/>
    <w:rsid w:val="009C554B"/>
    <w:rsid w:val="009C719E"/>
    <w:rsid w:val="009D3ACD"/>
    <w:rsid w:val="009E5273"/>
    <w:rsid w:val="009E5DDB"/>
    <w:rsid w:val="009F30E8"/>
    <w:rsid w:val="009F4CA7"/>
    <w:rsid w:val="00A10D66"/>
    <w:rsid w:val="00A14114"/>
    <w:rsid w:val="00A16413"/>
    <w:rsid w:val="00A23E43"/>
    <w:rsid w:val="00A30F65"/>
    <w:rsid w:val="00A351E4"/>
    <w:rsid w:val="00A418BC"/>
    <w:rsid w:val="00A46DE0"/>
    <w:rsid w:val="00A50D73"/>
    <w:rsid w:val="00A52CAD"/>
    <w:rsid w:val="00A53FC7"/>
    <w:rsid w:val="00A62CE1"/>
    <w:rsid w:val="00A6741E"/>
    <w:rsid w:val="00A75E40"/>
    <w:rsid w:val="00A77D1D"/>
    <w:rsid w:val="00A857C0"/>
    <w:rsid w:val="00A8616B"/>
    <w:rsid w:val="00AA2659"/>
    <w:rsid w:val="00AA2996"/>
    <w:rsid w:val="00AA52BF"/>
    <w:rsid w:val="00AA559A"/>
    <w:rsid w:val="00AB2AF1"/>
    <w:rsid w:val="00AB437F"/>
    <w:rsid w:val="00AB5C19"/>
    <w:rsid w:val="00AD306C"/>
    <w:rsid w:val="00AE09B3"/>
    <w:rsid w:val="00AE1A83"/>
    <w:rsid w:val="00AF1FF8"/>
    <w:rsid w:val="00B00913"/>
    <w:rsid w:val="00B01593"/>
    <w:rsid w:val="00B06238"/>
    <w:rsid w:val="00B10A4D"/>
    <w:rsid w:val="00B1686C"/>
    <w:rsid w:val="00B17E71"/>
    <w:rsid w:val="00B17FDE"/>
    <w:rsid w:val="00B2379C"/>
    <w:rsid w:val="00B2687D"/>
    <w:rsid w:val="00B32DDB"/>
    <w:rsid w:val="00B34528"/>
    <w:rsid w:val="00B402FC"/>
    <w:rsid w:val="00B42F2D"/>
    <w:rsid w:val="00B44912"/>
    <w:rsid w:val="00B46604"/>
    <w:rsid w:val="00B51564"/>
    <w:rsid w:val="00B530CD"/>
    <w:rsid w:val="00B549A5"/>
    <w:rsid w:val="00B55F5E"/>
    <w:rsid w:val="00B5752E"/>
    <w:rsid w:val="00B63A11"/>
    <w:rsid w:val="00B64C24"/>
    <w:rsid w:val="00B6608F"/>
    <w:rsid w:val="00B679FB"/>
    <w:rsid w:val="00B70408"/>
    <w:rsid w:val="00B76D1E"/>
    <w:rsid w:val="00B80EC6"/>
    <w:rsid w:val="00B92D1D"/>
    <w:rsid w:val="00B938C5"/>
    <w:rsid w:val="00B95940"/>
    <w:rsid w:val="00BB46F3"/>
    <w:rsid w:val="00BB4CB1"/>
    <w:rsid w:val="00BB4F98"/>
    <w:rsid w:val="00BC5164"/>
    <w:rsid w:val="00BC6B60"/>
    <w:rsid w:val="00BC7154"/>
    <w:rsid w:val="00BD366B"/>
    <w:rsid w:val="00BD6D50"/>
    <w:rsid w:val="00BE0024"/>
    <w:rsid w:val="00BE18B9"/>
    <w:rsid w:val="00BE2495"/>
    <w:rsid w:val="00BF1578"/>
    <w:rsid w:val="00C02DB3"/>
    <w:rsid w:val="00C21F94"/>
    <w:rsid w:val="00C235D8"/>
    <w:rsid w:val="00C27913"/>
    <w:rsid w:val="00C3376C"/>
    <w:rsid w:val="00C33B68"/>
    <w:rsid w:val="00C36A79"/>
    <w:rsid w:val="00C405D4"/>
    <w:rsid w:val="00C42E6C"/>
    <w:rsid w:val="00C4513B"/>
    <w:rsid w:val="00C54697"/>
    <w:rsid w:val="00C60393"/>
    <w:rsid w:val="00C73885"/>
    <w:rsid w:val="00C747B1"/>
    <w:rsid w:val="00C82191"/>
    <w:rsid w:val="00C90CF4"/>
    <w:rsid w:val="00C92EB6"/>
    <w:rsid w:val="00C93389"/>
    <w:rsid w:val="00C957FA"/>
    <w:rsid w:val="00CA321C"/>
    <w:rsid w:val="00CB4930"/>
    <w:rsid w:val="00CC2E7D"/>
    <w:rsid w:val="00CD10A5"/>
    <w:rsid w:val="00CD2076"/>
    <w:rsid w:val="00CD488F"/>
    <w:rsid w:val="00CE15A4"/>
    <w:rsid w:val="00CE670B"/>
    <w:rsid w:val="00CF51EC"/>
    <w:rsid w:val="00CF73AE"/>
    <w:rsid w:val="00CF7C1A"/>
    <w:rsid w:val="00D040DD"/>
    <w:rsid w:val="00D1205B"/>
    <w:rsid w:val="00D13986"/>
    <w:rsid w:val="00D235B7"/>
    <w:rsid w:val="00D25F28"/>
    <w:rsid w:val="00D27973"/>
    <w:rsid w:val="00D50F46"/>
    <w:rsid w:val="00D66223"/>
    <w:rsid w:val="00D67EDA"/>
    <w:rsid w:val="00D8084C"/>
    <w:rsid w:val="00DA7C0C"/>
    <w:rsid w:val="00DB2EC8"/>
    <w:rsid w:val="00DC3CB6"/>
    <w:rsid w:val="00DC5B3B"/>
    <w:rsid w:val="00DD129F"/>
    <w:rsid w:val="00DF42FF"/>
    <w:rsid w:val="00DF75BB"/>
    <w:rsid w:val="00E01C0E"/>
    <w:rsid w:val="00E03F9A"/>
    <w:rsid w:val="00E04694"/>
    <w:rsid w:val="00E051F2"/>
    <w:rsid w:val="00E1152B"/>
    <w:rsid w:val="00E12B1E"/>
    <w:rsid w:val="00E17262"/>
    <w:rsid w:val="00E253A2"/>
    <w:rsid w:val="00E270A5"/>
    <w:rsid w:val="00E278A7"/>
    <w:rsid w:val="00E27D82"/>
    <w:rsid w:val="00E3309D"/>
    <w:rsid w:val="00E34F40"/>
    <w:rsid w:val="00E40AE2"/>
    <w:rsid w:val="00E50156"/>
    <w:rsid w:val="00E53470"/>
    <w:rsid w:val="00E539F6"/>
    <w:rsid w:val="00E607E7"/>
    <w:rsid w:val="00E6519D"/>
    <w:rsid w:val="00E67696"/>
    <w:rsid w:val="00E67CFF"/>
    <w:rsid w:val="00E67E74"/>
    <w:rsid w:val="00E71A58"/>
    <w:rsid w:val="00E72A7A"/>
    <w:rsid w:val="00E75C94"/>
    <w:rsid w:val="00E76B4E"/>
    <w:rsid w:val="00E93820"/>
    <w:rsid w:val="00EA0C68"/>
    <w:rsid w:val="00EA32BC"/>
    <w:rsid w:val="00EB4511"/>
    <w:rsid w:val="00EB6DB2"/>
    <w:rsid w:val="00EC03D7"/>
    <w:rsid w:val="00EC4DC9"/>
    <w:rsid w:val="00ED62C6"/>
    <w:rsid w:val="00ED64C1"/>
    <w:rsid w:val="00EE3446"/>
    <w:rsid w:val="00EE3E78"/>
    <w:rsid w:val="00EE4B1B"/>
    <w:rsid w:val="00EF150D"/>
    <w:rsid w:val="00EF1F5A"/>
    <w:rsid w:val="00EF25CC"/>
    <w:rsid w:val="00EF302A"/>
    <w:rsid w:val="00EF47BF"/>
    <w:rsid w:val="00F04811"/>
    <w:rsid w:val="00F0488C"/>
    <w:rsid w:val="00F10A64"/>
    <w:rsid w:val="00F10F11"/>
    <w:rsid w:val="00F15AAA"/>
    <w:rsid w:val="00F15BEF"/>
    <w:rsid w:val="00F15E55"/>
    <w:rsid w:val="00F24407"/>
    <w:rsid w:val="00F24FAA"/>
    <w:rsid w:val="00F26DD0"/>
    <w:rsid w:val="00F3364D"/>
    <w:rsid w:val="00F34076"/>
    <w:rsid w:val="00F348FA"/>
    <w:rsid w:val="00F40A62"/>
    <w:rsid w:val="00F437CC"/>
    <w:rsid w:val="00F43A6B"/>
    <w:rsid w:val="00F47067"/>
    <w:rsid w:val="00F525EB"/>
    <w:rsid w:val="00F5355C"/>
    <w:rsid w:val="00F556CA"/>
    <w:rsid w:val="00F63DDE"/>
    <w:rsid w:val="00F63FB7"/>
    <w:rsid w:val="00F649D2"/>
    <w:rsid w:val="00F6602B"/>
    <w:rsid w:val="00F73A0C"/>
    <w:rsid w:val="00F756DB"/>
    <w:rsid w:val="00F85066"/>
    <w:rsid w:val="00F9030B"/>
    <w:rsid w:val="00F90BD6"/>
    <w:rsid w:val="00FA28A2"/>
    <w:rsid w:val="00FA5D4D"/>
    <w:rsid w:val="00FA6197"/>
    <w:rsid w:val="00FB0EE2"/>
    <w:rsid w:val="00FB542E"/>
    <w:rsid w:val="00FC0E5F"/>
    <w:rsid w:val="00FC1A95"/>
    <w:rsid w:val="00FC56DE"/>
    <w:rsid w:val="00FC684B"/>
    <w:rsid w:val="00FD3265"/>
    <w:rsid w:val="00FE2F78"/>
    <w:rsid w:val="00FE5959"/>
    <w:rsid w:val="00FF3C27"/>
    <w:rsid w:val="00FF4CC1"/>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CE15A4"/>
    <w:pPr>
      <w:spacing w:before="120"/>
    </w:pPr>
    <w:rPr>
      <w:b/>
      <w:noProof/>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CE15A4"/>
    <w:pPr>
      <w:spacing w:before="60"/>
      <w:ind w:left="198"/>
    </w:pPr>
    <w:rPr>
      <w:b/>
      <w:noProof/>
    </w:rPr>
  </w:style>
  <w:style w:type="paragraph" w:styleId="Obsah3">
    <w:name w:val="toc 3"/>
    <w:basedOn w:val="Obsahpoloky"/>
    <w:next w:val="Obsahpoloky"/>
    <w:autoRedefine/>
    <w:uiPriority w:val="39"/>
    <w:unhideWhenUsed/>
    <w:rsid w:val="00CE15A4"/>
    <w:pPr>
      <w:ind w:left="400"/>
    </w:pPr>
    <w:rPr>
      <w:noProof/>
    </w:r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471EB7"/>
    <w:pPr>
      <w:spacing w:before="240" w:after="0" w:line="240" w:lineRule="auto"/>
      <w:jc w:val="both"/>
    </w:pPr>
    <w:rPr>
      <w:sz w:val="15"/>
    </w:rPr>
  </w:style>
  <w:style w:type="character" w:customStyle="1" w:styleId="ZkladntextChar">
    <w:name w:val="Základní text Char"/>
    <w:basedOn w:val="Standardnpsmoodstavce"/>
    <w:link w:val="Zkladntext"/>
    <w:semiHidden/>
    <w:rsid w:val="00471EB7"/>
    <w:rPr>
      <w:rFonts w:ascii="Arial" w:eastAsia="Times New Roman" w:hAnsi="Arial"/>
      <w:sz w:val="15"/>
      <w:szCs w:val="24"/>
      <w:lang w:eastAsia="cs-CZ"/>
    </w:rPr>
  </w:style>
  <w:style w:type="paragraph" w:styleId="Textpoznpodarou">
    <w:name w:val="footnote text"/>
    <w:basedOn w:val="Normln"/>
    <w:link w:val="TextpoznpodarouChar"/>
    <w:uiPriority w:val="99"/>
    <w:unhideWhenUsed/>
    <w:rsid w:val="00471EB7"/>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uiPriority w:val="99"/>
    <w:rsid w:val="00471EB7"/>
    <w:rPr>
      <w:rFonts w:ascii="Times New Roman" w:eastAsia="Times New Roman" w:hAnsi="Times New Roman"/>
      <w:lang w:eastAsia="cs-CZ"/>
    </w:rPr>
  </w:style>
  <w:style w:type="character" w:styleId="Znakapoznpodarou">
    <w:name w:val="footnote reference"/>
    <w:uiPriority w:val="99"/>
    <w:semiHidden/>
    <w:unhideWhenUsed/>
    <w:rsid w:val="00471EB7"/>
    <w:rPr>
      <w:vertAlign w:val="superscript"/>
    </w:rPr>
  </w:style>
  <w:style w:type="character" w:styleId="Odkaznakoment">
    <w:name w:val="annotation reference"/>
    <w:basedOn w:val="Standardnpsmoodstavce"/>
    <w:uiPriority w:val="99"/>
    <w:semiHidden/>
    <w:unhideWhenUsed/>
    <w:rsid w:val="000F1E6B"/>
    <w:rPr>
      <w:sz w:val="16"/>
      <w:szCs w:val="16"/>
    </w:rPr>
  </w:style>
  <w:style w:type="paragraph" w:styleId="Textkomente">
    <w:name w:val="annotation text"/>
    <w:basedOn w:val="Normln"/>
    <w:link w:val="TextkomenteChar"/>
    <w:uiPriority w:val="99"/>
    <w:semiHidden/>
    <w:unhideWhenUsed/>
    <w:rsid w:val="000F1E6B"/>
    <w:pPr>
      <w:spacing w:line="240" w:lineRule="auto"/>
    </w:pPr>
    <w:rPr>
      <w:szCs w:val="20"/>
    </w:rPr>
  </w:style>
  <w:style w:type="character" w:customStyle="1" w:styleId="TextkomenteChar">
    <w:name w:val="Text komentáře Char"/>
    <w:basedOn w:val="Standardnpsmoodstavce"/>
    <w:link w:val="Textkomente"/>
    <w:uiPriority w:val="99"/>
    <w:semiHidden/>
    <w:rsid w:val="000F1E6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0F1E6B"/>
    <w:rPr>
      <w:b/>
      <w:bCs/>
    </w:rPr>
  </w:style>
  <w:style w:type="character" w:customStyle="1" w:styleId="PedmtkomenteChar">
    <w:name w:val="Předmět komentáře Char"/>
    <w:basedOn w:val="TextkomenteChar"/>
    <w:link w:val="Pedmtkomente"/>
    <w:uiPriority w:val="99"/>
    <w:semiHidden/>
    <w:rsid w:val="000F1E6B"/>
    <w:rPr>
      <w:rFonts w:ascii="Arial" w:eastAsia="Times New Roman" w:hAnsi="Arial"/>
      <w:b/>
      <w:bCs/>
      <w:lang w:eastAsia="cs-CZ"/>
    </w:rPr>
  </w:style>
  <w:style w:type="character" w:styleId="Sledovanodkaz">
    <w:name w:val="FollowedHyperlink"/>
    <w:basedOn w:val="Standardnpsmoodstavce"/>
    <w:uiPriority w:val="99"/>
    <w:semiHidden/>
    <w:unhideWhenUsed/>
    <w:rsid w:val="008B309E"/>
    <w:rPr>
      <w:color w:val="800080" w:themeColor="followedHyperlink"/>
      <w:u w:val="single"/>
    </w:rPr>
  </w:style>
  <w:style w:type="paragraph" w:styleId="Odstavecseseznamem">
    <w:name w:val="List Paragraph"/>
    <w:basedOn w:val="Normln"/>
    <w:uiPriority w:val="34"/>
    <w:qFormat/>
    <w:rsid w:val="00681D9E"/>
    <w:pPr>
      <w:spacing w:after="0" w:line="240" w:lineRule="auto"/>
      <w:ind w:left="720"/>
      <w:contextualSpacing/>
    </w:pPr>
    <w:rPr>
      <w:rFonts w:ascii="Times New Roman" w:hAnsi="Times New Roman"/>
      <w:sz w:val="24"/>
    </w:rPr>
  </w:style>
  <w:style w:type="paragraph" w:styleId="Normlnweb">
    <w:name w:val="Normal (Web)"/>
    <w:basedOn w:val="Normln"/>
    <w:uiPriority w:val="99"/>
    <w:semiHidden/>
    <w:unhideWhenUsed/>
    <w:rsid w:val="00681D9E"/>
    <w:pPr>
      <w:spacing w:before="100" w:beforeAutospacing="1" w:after="100" w:afterAutospacing="1" w:line="240" w:lineRule="auto"/>
    </w:pPr>
    <w:rPr>
      <w:rFonts w:ascii="Times New Roman" w:hAnsi="Times New Roman"/>
      <w:sz w:val="24"/>
    </w:rPr>
  </w:style>
  <w:style w:type="paragraph" w:styleId="Bezmezer">
    <w:name w:val="No Spacing"/>
    <w:uiPriority w:val="1"/>
    <w:qFormat/>
    <w:rsid w:val="008353D1"/>
    <w:pPr>
      <w:spacing w:line="360" w:lineRule="auto"/>
      <w:ind w:firstLine="709"/>
      <w:jc w:val="both"/>
    </w:pPr>
    <w:rPr>
      <w:rFonts w:ascii="Arial" w:eastAsiaTheme="minorHAnsi" w:hAnsi="Arial" w:cstheme="minorBidi"/>
      <w:szCs w:val="22"/>
    </w:rPr>
  </w:style>
  <w:style w:type="paragraph" w:styleId="Titulek">
    <w:name w:val="caption"/>
    <w:basedOn w:val="Normln"/>
    <w:next w:val="Normln"/>
    <w:uiPriority w:val="35"/>
    <w:unhideWhenUsed/>
    <w:qFormat/>
    <w:rsid w:val="006C6C48"/>
    <w:pPr>
      <w:spacing w:after="200" w:line="240" w:lineRule="auto"/>
    </w:pPr>
    <w:rPr>
      <w:b/>
      <w:bCs/>
      <w:color w:val="4F81BD" w:themeColor="accent1"/>
      <w:sz w:val="18"/>
      <w:szCs w:val="18"/>
    </w:rPr>
  </w:style>
  <w:style w:type="paragraph" w:styleId="Seznamobrzk">
    <w:name w:val="table of figures"/>
    <w:basedOn w:val="Normln"/>
    <w:next w:val="Normln"/>
    <w:uiPriority w:val="99"/>
    <w:unhideWhenUsed/>
    <w:rsid w:val="00C42E6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CE15A4"/>
    <w:pPr>
      <w:spacing w:before="120"/>
    </w:pPr>
    <w:rPr>
      <w:b/>
      <w:noProof/>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CE15A4"/>
    <w:pPr>
      <w:spacing w:before="60"/>
      <w:ind w:left="198"/>
    </w:pPr>
    <w:rPr>
      <w:b/>
      <w:noProof/>
    </w:rPr>
  </w:style>
  <w:style w:type="paragraph" w:styleId="Obsah3">
    <w:name w:val="toc 3"/>
    <w:basedOn w:val="Obsahpoloky"/>
    <w:next w:val="Obsahpoloky"/>
    <w:autoRedefine/>
    <w:uiPriority w:val="39"/>
    <w:unhideWhenUsed/>
    <w:rsid w:val="00CE15A4"/>
    <w:pPr>
      <w:ind w:left="400"/>
    </w:pPr>
    <w:rPr>
      <w:noProof/>
    </w:r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471EB7"/>
    <w:pPr>
      <w:spacing w:before="240" w:after="0" w:line="240" w:lineRule="auto"/>
      <w:jc w:val="both"/>
    </w:pPr>
    <w:rPr>
      <w:sz w:val="15"/>
    </w:rPr>
  </w:style>
  <w:style w:type="character" w:customStyle="1" w:styleId="ZkladntextChar">
    <w:name w:val="Základní text Char"/>
    <w:basedOn w:val="Standardnpsmoodstavce"/>
    <w:link w:val="Zkladntext"/>
    <w:semiHidden/>
    <w:rsid w:val="00471EB7"/>
    <w:rPr>
      <w:rFonts w:ascii="Arial" w:eastAsia="Times New Roman" w:hAnsi="Arial"/>
      <w:sz w:val="15"/>
      <w:szCs w:val="24"/>
      <w:lang w:eastAsia="cs-CZ"/>
    </w:rPr>
  </w:style>
  <w:style w:type="paragraph" w:styleId="Textpoznpodarou">
    <w:name w:val="footnote text"/>
    <w:basedOn w:val="Normln"/>
    <w:link w:val="TextpoznpodarouChar"/>
    <w:uiPriority w:val="99"/>
    <w:unhideWhenUsed/>
    <w:rsid w:val="00471EB7"/>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uiPriority w:val="99"/>
    <w:rsid w:val="00471EB7"/>
    <w:rPr>
      <w:rFonts w:ascii="Times New Roman" w:eastAsia="Times New Roman" w:hAnsi="Times New Roman"/>
      <w:lang w:eastAsia="cs-CZ"/>
    </w:rPr>
  </w:style>
  <w:style w:type="character" w:styleId="Znakapoznpodarou">
    <w:name w:val="footnote reference"/>
    <w:uiPriority w:val="99"/>
    <w:semiHidden/>
    <w:unhideWhenUsed/>
    <w:rsid w:val="00471EB7"/>
    <w:rPr>
      <w:vertAlign w:val="superscript"/>
    </w:rPr>
  </w:style>
  <w:style w:type="character" w:styleId="Odkaznakoment">
    <w:name w:val="annotation reference"/>
    <w:basedOn w:val="Standardnpsmoodstavce"/>
    <w:uiPriority w:val="99"/>
    <w:semiHidden/>
    <w:unhideWhenUsed/>
    <w:rsid w:val="000F1E6B"/>
    <w:rPr>
      <w:sz w:val="16"/>
      <w:szCs w:val="16"/>
    </w:rPr>
  </w:style>
  <w:style w:type="paragraph" w:styleId="Textkomente">
    <w:name w:val="annotation text"/>
    <w:basedOn w:val="Normln"/>
    <w:link w:val="TextkomenteChar"/>
    <w:uiPriority w:val="99"/>
    <w:semiHidden/>
    <w:unhideWhenUsed/>
    <w:rsid w:val="000F1E6B"/>
    <w:pPr>
      <w:spacing w:line="240" w:lineRule="auto"/>
    </w:pPr>
    <w:rPr>
      <w:szCs w:val="20"/>
    </w:rPr>
  </w:style>
  <w:style w:type="character" w:customStyle="1" w:styleId="TextkomenteChar">
    <w:name w:val="Text komentáře Char"/>
    <w:basedOn w:val="Standardnpsmoodstavce"/>
    <w:link w:val="Textkomente"/>
    <w:uiPriority w:val="99"/>
    <w:semiHidden/>
    <w:rsid w:val="000F1E6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0F1E6B"/>
    <w:rPr>
      <w:b/>
      <w:bCs/>
    </w:rPr>
  </w:style>
  <w:style w:type="character" w:customStyle="1" w:styleId="PedmtkomenteChar">
    <w:name w:val="Předmět komentáře Char"/>
    <w:basedOn w:val="TextkomenteChar"/>
    <w:link w:val="Pedmtkomente"/>
    <w:uiPriority w:val="99"/>
    <w:semiHidden/>
    <w:rsid w:val="000F1E6B"/>
    <w:rPr>
      <w:rFonts w:ascii="Arial" w:eastAsia="Times New Roman" w:hAnsi="Arial"/>
      <w:b/>
      <w:bCs/>
      <w:lang w:eastAsia="cs-CZ"/>
    </w:rPr>
  </w:style>
  <w:style w:type="character" w:styleId="Sledovanodkaz">
    <w:name w:val="FollowedHyperlink"/>
    <w:basedOn w:val="Standardnpsmoodstavce"/>
    <w:uiPriority w:val="99"/>
    <w:semiHidden/>
    <w:unhideWhenUsed/>
    <w:rsid w:val="008B309E"/>
    <w:rPr>
      <w:color w:val="800080" w:themeColor="followedHyperlink"/>
      <w:u w:val="single"/>
    </w:rPr>
  </w:style>
  <w:style w:type="paragraph" w:styleId="Odstavecseseznamem">
    <w:name w:val="List Paragraph"/>
    <w:basedOn w:val="Normln"/>
    <w:uiPriority w:val="34"/>
    <w:qFormat/>
    <w:rsid w:val="00681D9E"/>
    <w:pPr>
      <w:spacing w:after="0" w:line="240" w:lineRule="auto"/>
      <w:ind w:left="720"/>
      <w:contextualSpacing/>
    </w:pPr>
    <w:rPr>
      <w:rFonts w:ascii="Times New Roman" w:hAnsi="Times New Roman"/>
      <w:sz w:val="24"/>
    </w:rPr>
  </w:style>
  <w:style w:type="paragraph" w:styleId="Normlnweb">
    <w:name w:val="Normal (Web)"/>
    <w:basedOn w:val="Normln"/>
    <w:uiPriority w:val="99"/>
    <w:semiHidden/>
    <w:unhideWhenUsed/>
    <w:rsid w:val="00681D9E"/>
    <w:pPr>
      <w:spacing w:before="100" w:beforeAutospacing="1" w:after="100" w:afterAutospacing="1" w:line="240" w:lineRule="auto"/>
    </w:pPr>
    <w:rPr>
      <w:rFonts w:ascii="Times New Roman" w:hAnsi="Times New Roman"/>
      <w:sz w:val="24"/>
    </w:rPr>
  </w:style>
  <w:style w:type="paragraph" w:styleId="Bezmezer">
    <w:name w:val="No Spacing"/>
    <w:uiPriority w:val="1"/>
    <w:qFormat/>
    <w:rsid w:val="008353D1"/>
    <w:pPr>
      <w:spacing w:line="360" w:lineRule="auto"/>
      <w:ind w:firstLine="709"/>
      <w:jc w:val="both"/>
    </w:pPr>
    <w:rPr>
      <w:rFonts w:ascii="Arial" w:eastAsiaTheme="minorHAnsi" w:hAnsi="Arial" w:cstheme="minorBidi"/>
      <w:szCs w:val="22"/>
    </w:rPr>
  </w:style>
  <w:style w:type="paragraph" w:styleId="Titulek">
    <w:name w:val="caption"/>
    <w:basedOn w:val="Normln"/>
    <w:next w:val="Normln"/>
    <w:uiPriority w:val="35"/>
    <w:unhideWhenUsed/>
    <w:qFormat/>
    <w:rsid w:val="006C6C48"/>
    <w:pPr>
      <w:spacing w:after="200" w:line="240" w:lineRule="auto"/>
    </w:pPr>
    <w:rPr>
      <w:b/>
      <w:bCs/>
      <w:color w:val="4F81BD" w:themeColor="accent1"/>
      <w:sz w:val="18"/>
      <w:szCs w:val="18"/>
    </w:rPr>
  </w:style>
  <w:style w:type="paragraph" w:styleId="Seznamobrzk">
    <w:name w:val="table of figures"/>
    <w:basedOn w:val="Normln"/>
    <w:next w:val="Normln"/>
    <w:uiPriority w:val="99"/>
    <w:unhideWhenUsed/>
    <w:rsid w:val="00C42E6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4107725">
      <w:bodyDiv w:val="1"/>
      <w:marLeft w:val="0"/>
      <w:marRight w:val="0"/>
      <w:marTop w:val="0"/>
      <w:marBottom w:val="0"/>
      <w:divBdr>
        <w:top w:val="none" w:sz="0" w:space="0" w:color="auto"/>
        <w:left w:val="none" w:sz="0" w:space="0" w:color="auto"/>
        <w:bottom w:val="none" w:sz="0" w:space="0" w:color="auto"/>
        <w:right w:val="none" w:sz="0" w:space="0" w:color="auto"/>
      </w:divBdr>
    </w:div>
    <w:div w:id="60911430">
      <w:bodyDiv w:val="1"/>
      <w:marLeft w:val="0"/>
      <w:marRight w:val="0"/>
      <w:marTop w:val="0"/>
      <w:marBottom w:val="0"/>
      <w:divBdr>
        <w:top w:val="none" w:sz="0" w:space="0" w:color="auto"/>
        <w:left w:val="none" w:sz="0" w:space="0" w:color="auto"/>
        <w:bottom w:val="none" w:sz="0" w:space="0" w:color="auto"/>
        <w:right w:val="none" w:sz="0" w:space="0" w:color="auto"/>
      </w:divBdr>
    </w:div>
    <w:div w:id="93938263">
      <w:bodyDiv w:val="1"/>
      <w:marLeft w:val="0"/>
      <w:marRight w:val="0"/>
      <w:marTop w:val="0"/>
      <w:marBottom w:val="0"/>
      <w:divBdr>
        <w:top w:val="none" w:sz="0" w:space="0" w:color="auto"/>
        <w:left w:val="none" w:sz="0" w:space="0" w:color="auto"/>
        <w:bottom w:val="none" w:sz="0" w:space="0" w:color="auto"/>
        <w:right w:val="none" w:sz="0" w:space="0" w:color="auto"/>
      </w:divBdr>
    </w:div>
    <w:div w:id="103310191">
      <w:bodyDiv w:val="1"/>
      <w:marLeft w:val="0"/>
      <w:marRight w:val="0"/>
      <w:marTop w:val="0"/>
      <w:marBottom w:val="0"/>
      <w:divBdr>
        <w:top w:val="none" w:sz="0" w:space="0" w:color="auto"/>
        <w:left w:val="none" w:sz="0" w:space="0" w:color="auto"/>
        <w:bottom w:val="none" w:sz="0" w:space="0" w:color="auto"/>
        <w:right w:val="none" w:sz="0" w:space="0" w:color="auto"/>
      </w:divBdr>
    </w:div>
    <w:div w:id="147983956">
      <w:bodyDiv w:val="1"/>
      <w:marLeft w:val="0"/>
      <w:marRight w:val="0"/>
      <w:marTop w:val="0"/>
      <w:marBottom w:val="0"/>
      <w:divBdr>
        <w:top w:val="none" w:sz="0" w:space="0" w:color="auto"/>
        <w:left w:val="none" w:sz="0" w:space="0" w:color="auto"/>
        <w:bottom w:val="none" w:sz="0" w:space="0" w:color="auto"/>
        <w:right w:val="none" w:sz="0" w:space="0" w:color="auto"/>
      </w:divBdr>
    </w:div>
    <w:div w:id="24669022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74560969">
      <w:bodyDiv w:val="1"/>
      <w:marLeft w:val="0"/>
      <w:marRight w:val="0"/>
      <w:marTop w:val="0"/>
      <w:marBottom w:val="0"/>
      <w:divBdr>
        <w:top w:val="none" w:sz="0" w:space="0" w:color="auto"/>
        <w:left w:val="none" w:sz="0" w:space="0" w:color="auto"/>
        <w:bottom w:val="none" w:sz="0" w:space="0" w:color="auto"/>
        <w:right w:val="none" w:sz="0" w:space="0" w:color="auto"/>
      </w:divBdr>
    </w:div>
    <w:div w:id="280650660">
      <w:bodyDiv w:val="1"/>
      <w:marLeft w:val="0"/>
      <w:marRight w:val="0"/>
      <w:marTop w:val="0"/>
      <w:marBottom w:val="0"/>
      <w:divBdr>
        <w:top w:val="none" w:sz="0" w:space="0" w:color="auto"/>
        <w:left w:val="none" w:sz="0" w:space="0" w:color="auto"/>
        <w:bottom w:val="none" w:sz="0" w:space="0" w:color="auto"/>
        <w:right w:val="none" w:sz="0" w:space="0" w:color="auto"/>
      </w:divBdr>
    </w:div>
    <w:div w:id="378482435">
      <w:bodyDiv w:val="1"/>
      <w:marLeft w:val="0"/>
      <w:marRight w:val="0"/>
      <w:marTop w:val="0"/>
      <w:marBottom w:val="0"/>
      <w:divBdr>
        <w:top w:val="none" w:sz="0" w:space="0" w:color="auto"/>
        <w:left w:val="none" w:sz="0" w:space="0" w:color="auto"/>
        <w:bottom w:val="none" w:sz="0" w:space="0" w:color="auto"/>
        <w:right w:val="none" w:sz="0" w:space="0" w:color="auto"/>
      </w:divBdr>
    </w:div>
    <w:div w:id="407076080">
      <w:bodyDiv w:val="1"/>
      <w:marLeft w:val="0"/>
      <w:marRight w:val="0"/>
      <w:marTop w:val="0"/>
      <w:marBottom w:val="0"/>
      <w:divBdr>
        <w:top w:val="none" w:sz="0" w:space="0" w:color="auto"/>
        <w:left w:val="none" w:sz="0" w:space="0" w:color="auto"/>
        <w:bottom w:val="none" w:sz="0" w:space="0" w:color="auto"/>
        <w:right w:val="none" w:sz="0" w:space="0" w:color="auto"/>
      </w:divBdr>
    </w:div>
    <w:div w:id="462189095">
      <w:bodyDiv w:val="1"/>
      <w:marLeft w:val="0"/>
      <w:marRight w:val="0"/>
      <w:marTop w:val="0"/>
      <w:marBottom w:val="0"/>
      <w:divBdr>
        <w:top w:val="none" w:sz="0" w:space="0" w:color="auto"/>
        <w:left w:val="none" w:sz="0" w:space="0" w:color="auto"/>
        <w:bottom w:val="none" w:sz="0" w:space="0" w:color="auto"/>
        <w:right w:val="none" w:sz="0" w:space="0" w:color="auto"/>
      </w:divBdr>
    </w:div>
    <w:div w:id="47522675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2550645">
      <w:bodyDiv w:val="1"/>
      <w:marLeft w:val="0"/>
      <w:marRight w:val="0"/>
      <w:marTop w:val="0"/>
      <w:marBottom w:val="0"/>
      <w:divBdr>
        <w:top w:val="none" w:sz="0" w:space="0" w:color="auto"/>
        <w:left w:val="none" w:sz="0" w:space="0" w:color="auto"/>
        <w:bottom w:val="none" w:sz="0" w:space="0" w:color="auto"/>
        <w:right w:val="none" w:sz="0" w:space="0" w:color="auto"/>
      </w:divBdr>
    </w:div>
    <w:div w:id="520247844">
      <w:bodyDiv w:val="1"/>
      <w:marLeft w:val="0"/>
      <w:marRight w:val="0"/>
      <w:marTop w:val="0"/>
      <w:marBottom w:val="0"/>
      <w:divBdr>
        <w:top w:val="none" w:sz="0" w:space="0" w:color="auto"/>
        <w:left w:val="none" w:sz="0" w:space="0" w:color="auto"/>
        <w:bottom w:val="none" w:sz="0" w:space="0" w:color="auto"/>
        <w:right w:val="none" w:sz="0" w:space="0" w:color="auto"/>
      </w:divBdr>
    </w:div>
    <w:div w:id="524758478">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68420448">
      <w:bodyDiv w:val="1"/>
      <w:marLeft w:val="0"/>
      <w:marRight w:val="0"/>
      <w:marTop w:val="0"/>
      <w:marBottom w:val="0"/>
      <w:divBdr>
        <w:top w:val="none" w:sz="0" w:space="0" w:color="auto"/>
        <w:left w:val="none" w:sz="0" w:space="0" w:color="auto"/>
        <w:bottom w:val="none" w:sz="0" w:space="0" w:color="auto"/>
        <w:right w:val="none" w:sz="0" w:space="0" w:color="auto"/>
      </w:divBdr>
    </w:div>
    <w:div w:id="575867436">
      <w:bodyDiv w:val="1"/>
      <w:marLeft w:val="0"/>
      <w:marRight w:val="0"/>
      <w:marTop w:val="0"/>
      <w:marBottom w:val="0"/>
      <w:divBdr>
        <w:top w:val="none" w:sz="0" w:space="0" w:color="auto"/>
        <w:left w:val="none" w:sz="0" w:space="0" w:color="auto"/>
        <w:bottom w:val="none" w:sz="0" w:space="0" w:color="auto"/>
        <w:right w:val="none" w:sz="0" w:space="0" w:color="auto"/>
      </w:divBdr>
    </w:div>
    <w:div w:id="587349536">
      <w:bodyDiv w:val="1"/>
      <w:marLeft w:val="0"/>
      <w:marRight w:val="0"/>
      <w:marTop w:val="0"/>
      <w:marBottom w:val="0"/>
      <w:divBdr>
        <w:top w:val="none" w:sz="0" w:space="0" w:color="auto"/>
        <w:left w:val="none" w:sz="0" w:space="0" w:color="auto"/>
        <w:bottom w:val="none" w:sz="0" w:space="0" w:color="auto"/>
        <w:right w:val="none" w:sz="0" w:space="0" w:color="auto"/>
      </w:divBdr>
    </w:div>
    <w:div w:id="671494091">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9990965">
      <w:bodyDiv w:val="1"/>
      <w:marLeft w:val="0"/>
      <w:marRight w:val="0"/>
      <w:marTop w:val="0"/>
      <w:marBottom w:val="0"/>
      <w:divBdr>
        <w:top w:val="none" w:sz="0" w:space="0" w:color="auto"/>
        <w:left w:val="none" w:sz="0" w:space="0" w:color="auto"/>
        <w:bottom w:val="none" w:sz="0" w:space="0" w:color="auto"/>
        <w:right w:val="none" w:sz="0" w:space="0" w:color="auto"/>
      </w:divBdr>
    </w:div>
    <w:div w:id="701054643">
      <w:bodyDiv w:val="1"/>
      <w:marLeft w:val="0"/>
      <w:marRight w:val="0"/>
      <w:marTop w:val="0"/>
      <w:marBottom w:val="0"/>
      <w:divBdr>
        <w:top w:val="none" w:sz="0" w:space="0" w:color="auto"/>
        <w:left w:val="none" w:sz="0" w:space="0" w:color="auto"/>
        <w:bottom w:val="none" w:sz="0" w:space="0" w:color="auto"/>
        <w:right w:val="none" w:sz="0" w:space="0" w:color="auto"/>
      </w:divBdr>
    </w:div>
    <w:div w:id="743138574">
      <w:bodyDiv w:val="1"/>
      <w:marLeft w:val="0"/>
      <w:marRight w:val="0"/>
      <w:marTop w:val="0"/>
      <w:marBottom w:val="0"/>
      <w:divBdr>
        <w:top w:val="none" w:sz="0" w:space="0" w:color="auto"/>
        <w:left w:val="none" w:sz="0" w:space="0" w:color="auto"/>
        <w:bottom w:val="none" w:sz="0" w:space="0" w:color="auto"/>
        <w:right w:val="none" w:sz="0" w:space="0" w:color="auto"/>
      </w:divBdr>
    </w:div>
    <w:div w:id="783234867">
      <w:bodyDiv w:val="1"/>
      <w:marLeft w:val="0"/>
      <w:marRight w:val="0"/>
      <w:marTop w:val="0"/>
      <w:marBottom w:val="0"/>
      <w:divBdr>
        <w:top w:val="none" w:sz="0" w:space="0" w:color="auto"/>
        <w:left w:val="none" w:sz="0" w:space="0" w:color="auto"/>
        <w:bottom w:val="none" w:sz="0" w:space="0" w:color="auto"/>
        <w:right w:val="none" w:sz="0" w:space="0" w:color="auto"/>
      </w:divBdr>
    </w:div>
    <w:div w:id="810706970">
      <w:bodyDiv w:val="1"/>
      <w:marLeft w:val="0"/>
      <w:marRight w:val="0"/>
      <w:marTop w:val="0"/>
      <w:marBottom w:val="0"/>
      <w:divBdr>
        <w:top w:val="none" w:sz="0" w:space="0" w:color="auto"/>
        <w:left w:val="none" w:sz="0" w:space="0" w:color="auto"/>
        <w:bottom w:val="none" w:sz="0" w:space="0" w:color="auto"/>
        <w:right w:val="none" w:sz="0" w:space="0" w:color="auto"/>
      </w:divBdr>
    </w:div>
    <w:div w:id="814641207">
      <w:bodyDiv w:val="1"/>
      <w:marLeft w:val="0"/>
      <w:marRight w:val="0"/>
      <w:marTop w:val="0"/>
      <w:marBottom w:val="0"/>
      <w:divBdr>
        <w:top w:val="none" w:sz="0" w:space="0" w:color="auto"/>
        <w:left w:val="none" w:sz="0" w:space="0" w:color="auto"/>
        <w:bottom w:val="none" w:sz="0" w:space="0" w:color="auto"/>
        <w:right w:val="none" w:sz="0" w:space="0" w:color="auto"/>
      </w:divBdr>
    </w:div>
    <w:div w:id="827021627">
      <w:bodyDiv w:val="1"/>
      <w:marLeft w:val="0"/>
      <w:marRight w:val="0"/>
      <w:marTop w:val="0"/>
      <w:marBottom w:val="0"/>
      <w:divBdr>
        <w:top w:val="none" w:sz="0" w:space="0" w:color="auto"/>
        <w:left w:val="none" w:sz="0" w:space="0" w:color="auto"/>
        <w:bottom w:val="none" w:sz="0" w:space="0" w:color="auto"/>
        <w:right w:val="none" w:sz="0" w:space="0" w:color="auto"/>
      </w:divBdr>
    </w:div>
    <w:div w:id="830487326">
      <w:bodyDiv w:val="1"/>
      <w:marLeft w:val="0"/>
      <w:marRight w:val="0"/>
      <w:marTop w:val="0"/>
      <w:marBottom w:val="0"/>
      <w:divBdr>
        <w:top w:val="none" w:sz="0" w:space="0" w:color="auto"/>
        <w:left w:val="none" w:sz="0" w:space="0" w:color="auto"/>
        <w:bottom w:val="none" w:sz="0" w:space="0" w:color="auto"/>
        <w:right w:val="none" w:sz="0" w:space="0" w:color="auto"/>
      </w:divBdr>
    </w:div>
    <w:div w:id="896670769">
      <w:bodyDiv w:val="1"/>
      <w:marLeft w:val="0"/>
      <w:marRight w:val="0"/>
      <w:marTop w:val="0"/>
      <w:marBottom w:val="0"/>
      <w:divBdr>
        <w:top w:val="none" w:sz="0" w:space="0" w:color="auto"/>
        <w:left w:val="none" w:sz="0" w:space="0" w:color="auto"/>
        <w:bottom w:val="none" w:sz="0" w:space="0" w:color="auto"/>
        <w:right w:val="none" w:sz="0" w:space="0" w:color="auto"/>
      </w:divBdr>
    </w:div>
    <w:div w:id="910893256">
      <w:bodyDiv w:val="1"/>
      <w:marLeft w:val="0"/>
      <w:marRight w:val="0"/>
      <w:marTop w:val="0"/>
      <w:marBottom w:val="0"/>
      <w:divBdr>
        <w:top w:val="none" w:sz="0" w:space="0" w:color="auto"/>
        <w:left w:val="none" w:sz="0" w:space="0" w:color="auto"/>
        <w:bottom w:val="none" w:sz="0" w:space="0" w:color="auto"/>
        <w:right w:val="none" w:sz="0" w:space="0" w:color="auto"/>
      </w:divBdr>
    </w:div>
    <w:div w:id="927616399">
      <w:bodyDiv w:val="1"/>
      <w:marLeft w:val="0"/>
      <w:marRight w:val="0"/>
      <w:marTop w:val="0"/>
      <w:marBottom w:val="0"/>
      <w:divBdr>
        <w:top w:val="none" w:sz="0" w:space="0" w:color="auto"/>
        <w:left w:val="none" w:sz="0" w:space="0" w:color="auto"/>
        <w:bottom w:val="none" w:sz="0" w:space="0" w:color="auto"/>
        <w:right w:val="none" w:sz="0" w:space="0" w:color="auto"/>
      </w:divBdr>
    </w:div>
    <w:div w:id="940726837">
      <w:bodyDiv w:val="1"/>
      <w:marLeft w:val="0"/>
      <w:marRight w:val="0"/>
      <w:marTop w:val="0"/>
      <w:marBottom w:val="0"/>
      <w:divBdr>
        <w:top w:val="none" w:sz="0" w:space="0" w:color="auto"/>
        <w:left w:val="none" w:sz="0" w:space="0" w:color="auto"/>
        <w:bottom w:val="none" w:sz="0" w:space="0" w:color="auto"/>
        <w:right w:val="none" w:sz="0" w:space="0" w:color="auto"/>
      </w:divBdr>
    </w:div>
    <w:div w:id="968781011">
      <w:bodyDiv w:val="1"/>
      <w:marLeft w:val="0"/>
      <w:marRight w:val="0"/>
      <w:marTop w:val="0"/>
      <w:marBottom w:val="0"/>
      <w:divBdr>
        <w:top w:val="none" w:sz="0" w:space="0" w:color="auto"/>
        <w:left w:val="none" w:sz="0" w:space="0" w:color="auto"/>
        <w:bottom w:val="none" w:sz="0" w:space="0" w:color="auto"/>
        <w:right w:val="none" w:sz="0" w:space="0" w:color="auto"/>
      </w:divBdr>
    </w:div>
    <w:div w:id="972441337">
      <w:bodyDiv w:val="1"/>
      <w:marLeft w:val="0"/>
      <w:marRight w:val="0"/>
      <w:marTop w:val="0"/>
      <w:marBottom w:val="0"/>
      <w:divBdr>
        <w:top w:val="none" w:sz="0" w:space="0" w:color="auto"/>
        <w:left w:val="none" w:sz="0" w:space="0" w:color="auto"/>
        <w:bottom w:val="none" w:sz="0" w:space="0" w:color="auto"/>
        <w:right w:val="none" w:sz="0" w:space="0" w:color="auto"/>
      </w:divBdr>
    </w:div>
    <w:div w:id="976955867">
      <w:bodyDiv w:val="1"/>
      <w:marLeft w:val="0"/>
      <w:marRight w:val="0"/>
      <w:marTop w:val="0"/>
      <w:marBottom w:val="0"/>
      <w:divBdr>
        <w:top w:val="none" w:sz="0" w:space="0" w:color="auto"/>
        <w:left w:val="none" w:sz="0" w:space="0" w:color="auto"/>
        <w:bottom w:val="none" w:sz="0" w:space="0" w:color="auto"/>
        <w:right w:val="none" w:sz="0" w:space="0" w:color="auto"/>
      </w:divBdr>
    </w:div>
    <w:div w:id="987175210">
      <w:bodyDiv w:val="1"/>
      <w:marLeft w:val="0"/>
      <w:marRight w:val="0"/>
      <w:marTop w:val="0"/>
      <w:marBottom w:val="0"/>
      <w:divBdr>
        <w:top w:val="none" w:sz="0" w:space="0" w:color="auto"/>
        <w:left w:val="none" w:sz="0" w:space="0" w:color="auto"/>
        <w:bottom w:val="none" w:sz="0" w:space="0" w:color="auto"/>
        <w:right w:val="none" w:sz="0" w:space="0" w:color="auto"/>
      </w:divBdr>
    </w:div>
    <w:div w:id="991788972">
      <w:bodyDiv w:val="1"/>
      <w:marLeft w:val="0"/>
      <w:marRight w:val="0"/>
      <w:marTop w:val="0"/>
      <w:marBottom w:val="0"/>
      <w:divBdr>
        <w:top w:val="none" w:sz="0" w:space="0" w:color="auto"/>
        <w:left w:val="none" w:sz="0" w:space="0" w:color="auto"/>
        <w:bottom w:val="none" w:sz="0" w:space="0" w:color="auto"/>
        <w:right w:val="none" w:sz="0" w:space="0" w:color="auto"/>
      </w:divBdr>
    </w:div>
    <w:div w:id="1007100748">
      <w:bodyDiv w:val="1"/>
      <w:marLeft w:val="0"/>
      <w:marRight w:val="0"/>
      <w:marTop w:val="0"/>
      <w:marBottom w:val="0"/>
      <w:divBdr>
        <w:top w:val="none" w:sz="0" w:space="0" w:color="auto"/>
        <w:left w:val="none" w:sz="0" w:space="0" w:color="auto"/>
        <w:bottom w:val="none" w:sz="0" w:space="0" w:color="auto"/>
        <w:right w:val="none" w:sz="0" w:space="0" w:color="auto"/>
      </w:divBdr>
    </w:div>
    <w:div w:id="1020620941">
      <w:bodyDiv w:val="1"/>
      <w:marLeft w:val="0"/>
      <w:marRight w:val="0"/>
      <w:marTop w:val="0"/>
      <w:marBottom w:val="0"/>
      <w:divBdr>
        <w:top w:val="none" w:sz="0" w:space="0" w:color="auto"/>
        <w:left w:val="none" w:sz="0" w:space="0" w:color="auto"/>
        <w:bottom w:val="none" w:sz="0" w:space="0" w:color="auto"/>
        <w:right w:val="none" w:sz="0" w:space="0" w:color="auto"/>
      </w:divBdr>
    </w:div>
    <w:div w:id="1039546547">
      <w:bodyDiv w:val="1"/>
      <w:marLeft w:val="0"/>
      <w:marRight w:val="0"/>
      <w:marTop w:val="0"/>
      <w:marBottom w:val="0"/>
      <w:divBdr>
        <w:top w:val="none" w:sz="0" w:space="0" w:color="auto"/>
        <w:left w:val="none" w:sz="0" w:space="0" w:color="auto"/>
        <w:bottom w:val="none" w:sz="0" w:space="0" w:color="auto"/>
        <w:right w:val="none" w:sz="0" w:space="0" w:color="auto"/>
      </w:divBdr>
    </w:div>
    <w:div w:id="1046836058">
      <w:bodyDiv w:val="1"/>
      <w:marLeft w:val="0"/>
      <w:marRight w:val="0"/>
      <w:marTop w:val="0"/>
      <w:marBottom w:val="0"/>
      <w:divBdr>
        <w:top w:val="none" w:sz="0" w:space="0" w:color="auto"/>
        <w:left w:val="none" w:sz="0" w:space="0" w:color="auto"/>
        <w:bottom w:val="none" w:sz="0" w:space="0" w:color="auto"/>
        <w:right w:val="none" w:sz="0" w:space="0" w:color="auto"/>
      </w:divBdr>
    </w:div>
    <w:div w:id="1141263042">
      <w:bodyDiv w:val="1"/>
      <w:marLeft w:val="0"/>
      <w:marRight w:val="0"/>
      <w:marTop w:val="0"/>
      <w:marBottom w:val="0"/>
      <w:divBdr>
        <w:top w:val="none" w:sz="0" w:space="0" w:color="auto"/>
        <w:left w:val="none" w:sz="0" w:space="0" w:color="auto"/>
        <w:bottom w:val="none" w:sz="0" w:space="0" w:color="auto"/>
        <w:right w:val="none" w:sz="0" w:space="0" w:color="auto"/>
      </w:divBdr>
    </w:div>
    <w:div w:id="1143698592">
      <w:bodyDiv w:val="1"/>
      <w:marLeft w:val="0"/>
      <w:marRight w:val="0"/>
      <w:marTop w:val="0"/>
      <w:marBottom w:val="0"/>
      <w:divBdr>
        <w:top w:val="none" w:sz="0" w:space="0" w:color="auto"/>
        <w:left w:val="none" w:sz="0" w:space="0" w:color="auto"/>
        <w:bottom w:val="none" w:sz="0" w:space="0" w:color="auto"/>
        <w:right w:val="none" w:sz="0" w:space="0" w:color="auto"/>
      </w:divBdr>
    </w:div>
    <w:div w:id="1148136480">
      <w:bodyDiv w:val="1"/>
      <w:marLeft w:val="0"/>
      <w:marRight w:val="0"/>
      <w:marTop w:val="0"/>
      <w:marBottom w:val="0"/>
      <w:divBdr>
        <w:top w:val="none" w:sz="0" w:space="0" w:color="auto"/>
        <w:left w:val="none" w:sz="0" w:space="0" w:color="auto"/>
        <w:bottom w:val="none" w:sz="0" w:space="0" w:color="auto"/>
        <w:right w:val="none" w:sz="0" w:space="0" w:color="auto"/>
      </w:divBdr>
    </w:div>
    <w:div w:id="11995140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46960224">
      <w:bodyDiv w:val="1"/>
      <w:marLeft w:val="0"/>
      <w:marRight w:val="0"/>
      <w:marTop w:val="0"/>
      <w:marBottom w:val="0"/>
      <w:divBdr>
        <w:top w:val="none" w:sz="0" w:space="0" w:color="auto"/>
        <w:left w:val="none" w:sz="0" w:space="0" w:color="auto"/>
        <w:bottom w:val="none" w:sz="0" w:space="0" w:color="auto"/>
        <w:right w:val="none" w:sz="0" w:space="0" w:color="auto"/>
      </w:divBdr>
    </w:div>
    <w:div w:id="1256475227">
      <w:bodyDiv w:val="1"/>
      <w:marLeft w:val="0"/>
      <w:marRight w:val="0"/>
      <w:marTop w:val="0"/>
      <w:marBottom w:val="0"/>
      <w:divBdr>
        <w:top w:val="none" w:sz="0" w:space="0" w:color="auto"/>
        <w:left w:val="none" w:sz="0" w:space="0" w:color="auto"/>
        <w:bottom w:val="none" w:sz="0" w:space="0" w:color="auto"/>
        <w:right w:val="none" w:sz="0" w:space="0" w:color="auto"/>
      </w:divBdr>
    </w:div>
    <w:div w:id="1260791988">
      <w:bodyDiv w:val="1"/>
      <w:marLeft w:val="0"/>
      <w:marRight w:val="0"/>
      <w:marTop w:val="0"/>
      <w:marBottom w:val="0"/>
      <w:divBdr>
        <w:top w:val="none" w:sz="0" w:space="0" w:color="auto"/>
        <w:left w:val="none" w:sz="0" w:space="0" w:color="auto"/>
        <w:bottom w:val="none" w:sz="0" w:space="0" w:color="auto"/>
        <w:right w:val="none" w:sz="0" w:space="0" w:color="auto"/>
      </w:divBdr>
    </w:div>
    <w:div w:id="1296793054">
      <w:bodyDiv w:val="1"/>
      <w:marLeft w:val="0"/>
      <w:marRight w:val="0"/>
      <w:marTop w:val="0"/>
      <w:marBottom w:val="0"/>
      <w:divBdr>
        <w:top w:val="none" w:sz="0" w:space="0" w:color="auto"/>
        <w:left w:val="none" w:sz="0" w:space="0" w:color="auto"/>
        <w:bottom w:val="none" w:sz="0" w:space="0" w:color="auto"/>
        <w:right w:val="none" w:sz="0" w:space="0" w:color="auto"/>
      </w:divBdr>
    </w:div>
    <w:div w:id="140240688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9423034">
      <w:bodyDiv w:val="1"/>
      <w:marLeft w:val="0"/>
      <w:marRight w:val="0"/>
      <w:marTop w:val="0"/>
      <w:marBottom w:val="0"/>
      <w:divBdr>
        <w:top w:val="none" w:sz="0" w:space="0" w:color="auto"/>
        <w:left w:val="none" w:sz="0" w:space="0" w:color="auto"/>
        <w:bottom w:val="none" w:sz="0" w:space="0" w:color="auto"/>
        <w:right w:val="none" w:sz="0" w:space="0" w:color="auto"/>
      </w:divBdr>
    </w:div>
    <w:div w:id="1465123600">
      <w:bodyDiv w:val="1"/>
      <w:marLeft w:val="0"/>
      <w:marRight w:val="0"/>
      <w:marTop w:val="0"/>
      <w:marBottom w:val="0"/>
      <w:divBdr>
        <w:top w:val="none" w:sz="0" w:space="0" w:color="auto"/>
        <w:left w:val="none" w:sz="0" w:space="0" w:color="auto"/>
        <w:bottom w:val="none" w:sz="0" w:space="0" w:color="auto"/>
        <w:right w:val="none" w:sz="0" w:space="0" w:color="auto"/>
      </w:divBdr>
    </w:div>
    <w:div w:id="1473717673">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3661814">
      <w:bodyDiv w:val="1"/>
      <w:marLeft w:val="0"/>
      <w:marRight w:val="0"/>
      <w:marTop w:val="0"/>
      <w:marBottom w:val="0"/>
      <w:divBdr>
        <w:top w:val="none" w:sz="0" w:space="0" w:color="auto"/>
        <w:left w:val="none" w:sz="0" w:space="0" w:color="auto"/>
        <w:bottom w:val="none" w:sz="0" w:space="0" w:color="auto"/>
        <w:right w:val="none" w:sz="0" w:space="0" w:color="auto"/>
      </w:divBdr>
    </w:div>
    <w:div w:id="1542933029">
      <w:bodyDiv w:val="1"/>
      <w:marLeft w:val="0"/>
      <w:marRight w:val="0"/>
      <w:marTop w:val="0"/>
      <w:marBottom w:val="0"/>
      <w:divBdr>
        <w:top w:val="none" w:sz="0" w:space="0" w:color="auto"/>
        <w:left w:val="none" w:sz="0" w:space="0" w:color="auto"/>
        <w:bottom w:val="none" w:sz="0" w:space="0" w:color="auto"/>
        <w:right w:val="none" w:sz="0" w:space="0" w:color="auto"/>
      </w:divBdr>
    </w:div>
    <w:div w:id="1558322327">
      <w:bodyDiv w:val="1"/>
      <w:marLeft w:val="0"/>
      <w:marRight w:val="0"/>
      <w:marTop w:val="0"/>
      <w:marBottom w:val="0"/>
      <w:divBdr>
        <w:top w:val="none" w:sz="0" w:space="0" w:color="auto"/>
        <w:left w:val="none" w:sz="0" w:space="0" w:color="auto"/>
        <w:bottom w:val="none" w:sz="0" w:space="0" w:color="auto"/>
        <w:right w:val="none" w:sz="0" w:space="0" w:color="auto"/>
      </w:divBdr>
    </w:div>
    <w:div w:id="1568570653">
      <w:bodyDiv w:val="1"/>
      <w:marLeft w:val="0"/>
      <w:marRight w:val="0"/>
      <w:marTop w:val="0"/>
      <w:marBottom w:val="0"/>
      <w:divBdr>
        <w:top w:val="none" w:sz="0" w:space="0" w:color="auto"/>
        <w:left w:val="none" w:sz="0" w:space="0" w:color="auto"/>
        <w:bottom w:val="none" w:sz="0" w:space="0" w:color="auto"/>
        <w:right w:val="none" w:sz="0" w:space="0" w:color="auto"/>
      </w:divBdr>
    </w:div>
    <w:div w:id="1574387069">
      <w:bodyDiv w:val="1"/>
      <w:marLeft w:val="0"/>
      <w:marRight w:val="0"/>
      <w:marTop w:val="0"/>
      <w:marBottom w:val="0"/>
      <w:divBdr>
        <w:top w:val="none" w:sz="0" w:space="0" w:color="auto"/>
        <w:left w:val="none" w:sz="0" w:space="0" w:color="auto"/>
        <w:bottom w:val="none" w:sz="0" w:space="0" w:color="auto"/>
        <w:right w:val="none" w:sz="0" w:space="0" w:color="auto"/>
      </w:divBdr>
    </w:div>
    <w:div w:id="1602954356">
      <w:bodyDiv w:val="1"/>
      <w:marLeft w:val="0"/>
      <w:marRight w:val="0"/>
      <w:marTop w:val="0"/>
      <w:marBottom w:val="0"/>
      <w:divBdr>
        <w:top w:val="none" w:sz="0" w:space="0" w:color="auto"/>
        <w:left w:val="none" w:sz="0" w:space="0" w:color="auto"/>
        <w:bottom w:val="none" w:sz="0" w:space="0" w:color="auto"/>
        <w:right w:val="none" w:sz="0" w:space="0" w:color="auto"/>
      </w:divBdr>
    </w:div>
    <w:div w:id="1668053408">
      <w:bodyDiv w:val="1"/>
      <w:marLeft w:val="0"/>
      <w:marRight w:val="0"/>
      <w:marTop w:val="0"/>
      <w:marBottom w:val="0"/>
      <w:divBdr>
        <w:top w:val="none" w:sz="0" w:space="0" w:color="auto"/>
        <w:left w:val="none" w:sz="0" w:space="0" w:color="auto"/>
        <w:bottom w:val="none" w:sz="0" w:space="0" w:color="auto"/>
        <w:right w:val="none" w:sz="0" w:space="0" w:color="auto"/>
      </w:divBdr>
    </w:div>
    <w:div w:id="1676373860">
      <w:bodyDiv w:val="1"/>
      <w:marLeft w:val="0"/>
      <w:marRight w:val="0"/>
      <w:marTop w:val="0"/>
      <w:marBottom w:val="0"/>
      <w:divBdr>
        <w:top w:val="none" w:sz="0" w:space="0" w:color="auto"/>
        <w:left w:val="none" w:sz="0" w:space="0" w:color="auto"/>
        <w:bottom w:val="none" w:sz="0" w:space="0" w:color="auto"/>
        <w:right w:val="none" w:sz="0" w:space="0" w:color="auto"/>
      </w:divBdr>
    </w:div>
    <w:div w:id="1731152999">
      <w:bodyDiv w:val="1"/>
      <w:marLeft w:val="0"/>
      <w:marRight w:val="0"/>
      <w:marTop w:val="0"/>
      <w:marBottom w:val="0"/>
      <w:divBdr>
        <w:top w:val="none" w:sz="0" w:space="0" w:color="auto"/>
        <w:left w:val="none" w:sz="0" w:space="0" w:color="auto"/>
        <w:bottom w:val="none" w:sz="0" w:space="0" w:color="auto"/>
        <w:right w:val="none" w:sz="0" w:space="0" w:color="auto"/>
      </w:divBdr>
    </w:div>
    <w:div w:id="1747337191">
      <w:bodyDiv w:val="1"/>
      <w:marLeft w:val="0"/>
      <w:marRight w:val="0"/>
      <w:marTop w:val="0"/>
      <w:marBottom w:val="0"/>
      <w:divBdr>
        <w:top w:val="none" w:sz="0" w:space="0" w:color="auto"/>
        <w:left w:val="none" w:sz="0" w:space="0" w:color="auto"/>
        <w:bottom w:val="none" w:sz="0" w:space="0" w:color="auto"/>
        <w:right w:val="none" w:sz="0" w:space="0" w:color="auto"/>
      </w:divBdr>
    </w:div>
    <w:div w:id="1749225493">
      <w:bodyDiv w:val="1"/>
      <w:marLeft w:val="0"/>
      <w:marRight w:val="0"/>
      <w:marTop w:val="0"/>
      <w:marBottom w:val="0"/>
      <w:divBdr>
        <w:top w:val="none" w:sz="0" w:space="0" w:color="auto"/>
        <w:left w:val="none" w:sz="0" w:space="0" w:color="auto"/>
        <w:bottom w:val="none" w:sz="0" w:space="0" w:color="auto"/>
        <w:right w:val="none" w:sz="0" w:space="0" w:color="auto"/>
      </w:divBdr>
    </w:div>
    <w:div w:id="1791781732">
      <w:bodyDiv w:val="1"/>
      <w:marLeft w:val="0"/>
      <w:marRight w:val="0"/>
      <w:marTop w:val="0"/>
      <w:marBottom w:val="0"/>
      <w:divBdr>
        <w:top w:val="none" w:sz="0" w:space="0" w:color="auto"/>
        <w:left w:val="none" w:sz="0" w:space="0" w:color="auto"/>
        <w:bottom w:val="none" w:sz="0" w:space="0" w:color="auto"/>
        <w:right w:val="none" w:sz="0" w:space="0" w:color="auto"/>
      </w:divBdr>
    </w:div>
    <w:div w:id="1797987749">
      <w:bodyDiv w:val="1"/>
      <w:marLeft w:val="0"/>
      <w:marRight w:val="0"/>
      <w:marTop w:val="0"/>
      <w:marBottom w:val="0"/>
      <w:divBdr>
        <w:top w:val="none" w:sz="0" w:space="0" w:color="auto"/>
        <w:left w:val="none" w:sz="0" w:space="0" w:color="auto"/>
        <w:bottom w:val="none" w:sz="0" w:space="0" w:color="auto"/>
        <w:right w:val="none" w:sz="0" w:space="0" w:color="auto"/>
      </w:divBdr>
    </w:div>
    <w:div w:id="185788643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02595171">
      <w:bodyDiv w:val="1"/>
      <w:marLeft w:val="0"/>
      <w:marRight w:val="0"/>
      <w:marTop w:val="0"/>
      <w:marBottom w:val="0"/>
      <w:divBdr>
        <w:top w:val="none" w:sz="0" w:space="0" w:color="auto"/>
        <w:left w:val="none" w:sz="0" w:space="0" w:color="auto"/>
        <w:bottom w:val="none" w:sz="0" w:space="0" w:color="auto"/>
        <w:right w:val="none" w:sz="0" w:space="0" w:color="auto"/>
      </w:divBdr>
    </w:div>
    <w:div w:id="1909227118">
      <w:bodyDiv w:val="1"/>
      <w:marLeft w:val="0"/>
      <w:marRight w:val="0"/>
      <w:marTop w:val="0"/>
      <w:marBottom w:val="0"/>
      <w:divBdr>
        <w:top w:val="none" w:sz="0" w:space="0" w:color="auto"/>
        <w:left w:val="none" w:sz="0" w:space="0" w:color="auto"/>
        <w:bottom w:val="none" w:sz="0" w:space="0" w:color="auto"/>
        <w:right w:val="none" w:sz="0" w:space="0" w:color="auto"/>
      </w:divBdr>
    </w:div>
    <w:div w:id="1917014031">
      <w:bodyDiv w:val="1"/>
      <w:marLeft w:val="0"/>
      <w:marRight w:val="0"/>
      <w:marTop w:val="0"/>
      <w:marBottom w:val="0"/>
      <w:divBdr>
        <w:top w:val="none" w:sz="0" w:space="0" w:color="auto"/>
        <w:left w:val="none" w:sz="0" w:space="0" w:color="auto"/>
        <w:bottom w:val="none" w:sz="0" w:space="0" w:color="auto"/>
        <w:right w:val="none" w:sz="0" w:space="0" w:color="auto"/>
      </w:divBdr>
    </w:div>
    <w:div w:id="1942715294">
      <w:bodyDiv w:val="1"/>
      <w:marLeft w:val="0"/>
      <w:marRight w:val="0"/>
      <w:marTop w:val="0"/>
      <w:marBottom w:val="0"/>
      <w:divBdr>
        <w:top w:val="none" w:sz="0" w:space="0" w:color="auto"/>
        <w:left w:val="none" w:sz="0" w:space="0" w:color="auto"/>
        <w:bottom w:val="none" w:sz="0" w:space="0" w:color="auto"/>
        <w:right w:val="none" w:sz="0" w:space="0" w:color="auto"/>
      </w:divBdr>
    </w:div>
    <w:div w:id="1985888262">
      <w:bodyDiv w:val="1"/>
      <w:marLeft w:val="0"/>
      <w:marRight w:val="0"/>
      <w:marTop w:val="0"/>
      <w:marBottom w:val="0"/>
      <w:divBdr>
        <w:top w:val="none" w:sz="0" w:space="0" w:color="auto"/>
        <w:left w:val="none" w:sz="0" w:space="0" w:color="auto"/>
        <w:bottom w:val="none" w:sz="0" w:space="0" w:color="auto"/>
        <w:right w:val="none" w:sz="0" w:space="0" w:color="auto"/>
      </w:divBdr>
    </w:div>
    <w:div w:id="1990085189">
      <w:bodyDiv w:val="1"/>
      <w:marLeft w:val="0"/>
      <w:marRight w:val="0"/>
      <w:marTop w:val="0"/>
      <w:marBottom w:val="0"/>
      <w:divBdr>
        <w:top w:val="none" w:sz="0" w:space="0" w:color="auto"/>
        <w:left w:val="none" w:sz="0" w:space="0" w:color="auto"/>
        <w:bottom w:val="none" w:sz="0" w:space="0" w:color="auto"/>
        <w:right w:val="none" w:sz="0" w:space="0" w:color="auto"/>
      </w:divBdr>
    </w:div>
    <w:div w:id="1995180885">
      <w:bodyDiv w:val="1"/>
      <w:marLeft w:val="0"/>
      <w:marRight w:val="0"/>
      <w:marTop w:val="0"/>
      <w:marBottom w:val="0"/>
      <w:divBdr>
        <w:top w:val="none" w:sz="0" w:space="0" w:color="auto"/>
        <w:left w:val="none" w:sz="0" w:space="0" w:color="auto"/>
        <w:bottom w:val="none" w:sz="0" w:space="0" w:color="auto"/>
        <w:right w:val="none" w:sz="0" w:space="0" w:color="auto"/>
      </w:divBdr>
    </w:div>
    <w:div w:id="1998681140">
      <w:bodyDiv w:val="1"/>
      <w:marLeft w:val="0"/>
      <w:marRight w:val="0"/>
      <w:marTop w:val="0"/>
      <w:marBottom w:val="0"/>
      <w:divBdr>
        <w:top w:val="none" w:sz="0" w:space="0" w:color="auto"/>
        <w:left w:val="none" w:sz="0" w:space="0" w:color="auto"/>
        <w:bottom w:val="none" w:sz="0" w:space="0" w:color="auto"/>
        <w:right w:val="none" w:sz="0" w:space="0" w:color="auto"/>
      </w:divBdr>
    </w:div>
    <w:div w:id="2048605474">
      <w:bodyDiv w:val="1"/>
      <w:marLeft w:val="0"/>
      <w:marRight w:val="0"/>
      <w:marTop w:val="0"/>
      <w:marBottom w:val="0"/>
      <w:divBdr>
        <w:top w:val="none" w:sz="0" w:space="0" w:color="auto"/>
        <w:left w:val="none" w:sz="0" w:space="0" w:color="auto"/>
        <w:bottom w:val="none" w:sz="0" w:space="0" w:color="auto"/>
        <w:right w:val="none" w:sz="0" w:space="0" w:color="auto"/>
      </w:divBdr>
    </w:div>
    <w:div w:id="2051804209">
      <w:bodyDiv w:val="1"/>
      <w:marLeft w:val="0"/>
      <w:marRight w:val="0"/>
      <w:marTop w:val="0"/>
      <w:marBottom w:val="0"/>
      <w:divBdr>
        <w:top w:val="none" w:sz="0" w:space="0" w:color="auto"/>
        <w:left w:val="none" w:sz="0" w:space="0" w:color="auto"/>
        <w:bottom w:val="none" w:sz="0" w:space="0" w:color="auto"/>
        <w:right w:val="none" w:sz="0" w:space="0" w:color="auto"/>
      </w:divBdr>
    </w:div>
    <w:div w:id="2054233652">
      <w:bodyDiv w:val="1"/>
      <w:marLeft w:val="0"/>
      <w:marRight w:val="0"/>
      <w:marTop w:val="0"/>
      <w:marBottom w:val="0"/>
      <w:divBdr>
        <w:top w:val="none" w:sz="0" w:space="0" w:color="auto"/>
        <w:left w:val="none" w:sz="0" w:space="0" w:color="auto"/>
        <w:bottom w:val="none" w:sz="0" w:space="0" w:color="auto"/>
        <w:right w:val="none" w:sz="0" w:space="0" w:color="auto"/>
      </w:divBdr>
    </w:div>
    <w:div w:id="207626956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08232729">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0272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header" Target="header2.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15.xml"/><Relationship Id="rId11" Type="http://schemas.openxmlformats.org/officeDocument/2006/relationships/chart" Target="charts/chart3.xml"/><Relationship Id="rId24" Type="http://schemas.openxmlformats.org/officeDocument/2006/relationships/header" Target="header3.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2.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17.xml"/><Relationship Id="rId44" Type="http://schemas.openxmlformats.org/officeDocument/2006/relationships/chart" Target="charts/chart3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3.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0" Type="http://schemas.openxmlformats.org/officeDocument/2006/relationships/header" Target="header1.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domacnosti_a_jednotlivc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veda%20IT_2017-08-14.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ABFS2\DATA\DATA\ZPRAC\TECHNOL\oddeleni_6302\2_Informa&#269;n&#237;%20spole&#269;nost\IS%20v%20&#269;&#237;slech\IS_2018\grafy\IS2018_Grafy_Shrnut&#237;_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C1 Jednotlivci v Česku používající </a:t>
            </a:r>
          </a:p>
          <a:p>
            <a:pPr>
              <a:defRPr sz="800" b="1"/>
            </a:pPr>
            <a:r>
              <a:rPr lang="cs-CZ" sz="800" b="1"/>
              <a:t>notebook nebo tablet (%)*</a:t>
            </a:r>
            <a:endParaRPr lang="en-US" sz="800" b="1"/>
          </a:p>
        </c:rich>
      </c:tx>
      <c:layout>
        <c:manualLayout>
          <c:xMode val="edge"/>
          <c:yMode val="edge"/>
          <c:x val="0.22276532567049825"/>
          <c:y val="2.3031028417024861E-2"/>
        </c:manualLayout>
      </c:layout>
      <c:overlay val="1"/>
    </c:title>
    <c:autoTitleDeleted val="0"/>
    <c:plotArea>
      <c:layout>
        <c:manualLayout>
          <c:layoutTarget val="inner"/>
          <c:xMode val="edge"/>
          <c:yMode val="edge"/>
          <c:x val="0.16302083333333334"/>
          <c:y val="0.11672027777777783"/>
          <c:w val="0.79678839940588342"/>
          <c:h val="0.70811083333333402"/>
        </c:manualLayout>
      </c:layout>
      <c:barChart>
        <c:barDir val="bar"/>
        <c:grouping val="clustered"/>
        <c:varyColors val="0"/>
        <c:ser>
          <c:idx val="0"/>
          <c:order val="0"/>
          <c:tx>
            <c:strRef>
              <c:f>C_CZ!$B$2</c:f>
              <c:strCache>
                <c:ptCount val="1"/>
                <c:pt idx="0">
                  <c:v> 2007</c:v>
                </c:pt>
              </c:strCache>
            </c:strRef>
          </c:tx>
          <c:spPr>
            <a:solidFill>
              <a:srgbClr val="47E5FF"/>
            </a:solidFill>
          </c:spPr>
          <c:invertIfNegative val="0"/>
          <c:dLbls>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showLeaderLines val="0"/>
          </c:dLbls>
          <c:cat>
            <c:strRef>
              <c:f>C_CZ!$A$3:$A$13</c:f>
              <c:strCache>
                <c:ptCount val="11"/>
                <c:pt idx="0">
                  <c:v>  65+</c:v>
                </c:pt>
                <c:pt idx="1">
                  <c:v>  55–64</c:v>
                </c:pt>
                <c:pt idx="2">
                  <c:v>  45–54</c:v>
                </c:pt>
                <c:pt idx="3">
                  <c:v>  35–44</c:v>
                </c:pt>
                <c:pt idx="4">
                  <c:v>  25–34</c:v>
                </c:pt>
                <c:pt idx="5">
                  <c:v>  16–24</c:v>
                </c:pt>
                <c:pt idx="7">
                  <c:v>ženy</c:v>
                </c:pt>
                <c:pt idx="8">
                  <c:v>muži</c:v>
                </c:pt>
                <c:pt idx="10">
                  <c:v>Celkem</c:v>
                </c:pt>
              </c:strCache>
            </c:strRef>
          </c:cat>
          <c:val>
            <c:numRef>
              <c:f>C_CZ!$B$3:$B$13</c:f>
              <c:numCache>
                <c:formatCode>0%</c:formatCode>
                <c:ptCount val="11"/>
                <c:pt idx="0">
                  <c:v>5.764625098393877E-3</c:v>
                </c:pt>
                <c:pt idx="1">
                  <c:v>3.9034372510918826E-2</c:v>
                </c:pt>
                <c:pt idx="2">
                  <c:v>8.3309347302797529E-2</c:v>
                </c:pt>
                <c:pt idx="3">
                  <c:v>9.7656775575189481E-2</c:v>
                </c:pt>
                <c:pt idx="4">
                  <c:v>0.12470936486814638</c:v>
                </c:pt>
                <c:pt idx="5">
                  <c:v>0.13480085116253437</c:v>
                </c:pt>
                <c:pt idx="7">
                  <c:v>5.7519630000000002E-2</c:v>
                </c:pt>
                <c:pt idx="8">
                  <c:v>0.10500086</c:v>
                </c:pt>
                <c:pt idx="10">
                  <c:v>8.0510011668737697E-2</c:v>
                </c:pt>
              </c:numCache>
            </c:numRef>
          </c:val>
        </c:ser>
        <c:ser>
          <c:idx val="1"/>
          <c:order val="1"/>
          <c:tx>
            <c:strRef>
              <c:f>C_CZ!$C$2</c:f>
              <c:strCache>
                <c:ptCount val="1"/>
                <c:pt idx="0">
                  <c:v> 2017</c:v>
                </c:pt>
              </c:strCache>
            </c:strRef>
          </c:tx>
          <c:spPr>
            <a:solidFill>
              <a:srgbClr val="009BB4"/>
            </a:solidFill>
          </c:spPr>
          <c:invertIfNegative val="0"/>
          <c:dLbls>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C_CZ!$A$3:$A$13</c:f>
              <c:strCache>
                <c:ptCount val="11"/>
                <c:pt idx="0">
                  <c:v>  65+</c:v>
                </c:pt>
                <c:pt idx="1">
                  <c:v>  55–64</c:v>
                </c:pt>
                <c:pt idx="2">
                  <c:v>  45–54</c:v>
                </c:pt>
                <c:pt idx="3">
                  <c:v>  35–44</c:v>
                </c:pt>
                <c:pt idx="4">
                  <c:v>  25–34</c:v>
                </c:pt>
                <c:pt idx="5">
                  <c:v>  16–24</c:v>
                </c:pt>
                <c:pt idx="7">
                  <c:v>ženy</c:v>
                </c:pt>
                <c:pt idx="8">
                  <c:v>muži</c:v>
                </c:pt>
                <c:pt idx="10">
                  <c:v>Celkem</c:v>
                </c:pt>
              </c:strCache>
            </c:strRef>
          </c:cat>
          <c:val>
            <c:numRef>
              <c:f>C_CZ!$C$3:$C$13</c:f>
              <c:numCache>
                <c:formatCode>0%</c:formatCode>
                <c:ptCount val="11"/>
                <c:pt idx="0">
                  <c:v>0.18795795829464459</c:v>
                </c:pt>
                <c:pt idx="1">
                  <c:v>0.50184025807267396</c:v>
                </c:pt>
                <c:pt idx="2">
                  <c:v>0.69113739856156653</c:v>
                </c:pt>
                <c:pt idx="3">
                  <c:v>0.78532601541798541</c:v>
                </c:pt>
                <c:pt idx="4">
                  <c:v>0.85089998755085194</c:v>
                </c:pt>
                <c:pt idx="5">
                  <c:v>0.87568880254327097</c:v>
                </c:pt>
                <c:pt idx="7">
                  <c:v>0.58814796577664696</c:v>
                </c:pt>
                <c:pt idx="8">
                  <c:v>0.63906112472637699</c:v>
                </c:pt>
                <c:pt idx="10">
                  <c:v>0.61303079330934451</c:v>
                </c:pt>
              </c:numCache>
            </c:numRef>
          </c:val>
        </c:ser>
        <c:dLbls>
          <c:showLegendKey val="0"/>
          <c:showVal val="0"/>
          <c:showCatName val="0"/>
          <c:showSerName val="0"/>
          <c:showPercent val="0"/>
          <c:showBubbleSize val="0"/>
        </c:dLbls>
        <c:gapWidth val="30"/>
        <c:axId val="183736320"/>
        <c:axId val="41172992"/>
      </c:barChart>
      <c:catAx>
        <c:axId val="183736320"/>
        <c:scaling>
          <c:orientation val="minMax"/>
        </c:scaling>
        <c:delete val="0"/>
        <c:axPos val="l"/>
        <c:numFmt formatCode="General" sourceLinked="1"/>
        <c:majorTickMark val="out"/>
        <c:minorTickMark val="none"/>
        <c:tickLblPos val="nextTo"/>
        <c:spPr>
          <a:ln>
            <a:solidFill>
              <a:schemeClr val="tx1"/>
            </a:solidFill>
          </a:ln>
        </c:spPr>
        <c:crossAx val="41172992"/>
        <c:crosses val="autoZero"/>
        <c:auto val="1"/>
        <c:lblAlgn val="ctr"/>
        <c:lblOffset val="100"/>
        <c:noMultiLvlLbl val="0"/>
      </c:catAx>
      <c:valAx>
        <c:axId val="41172992"/>
        <c:scaling>
          <c:orientation val="minMax"/>
          <c:max val="1"/>
        </c:scaling>
        <c:delete val="0"/>
        <c:axPos val="b"/>
        <c:numFmt formatCode="0%" sourceLinked="1"/>
        <c:majorTickMark val="none"/>
        <c:minorTickMark val="none"/>
        <c:tickLblPos val="none"/>
        <c:crossAx val="183736320"/>
        <c:crosses val="autoZero"/>
        <c:crossBetween val="between"/>
        <c:majorUnit val="0.1"/>
        <c:minorUnit val="5.0000000000000024E-2"/>
      </c:valAx>
      <c:spPr>
        <a:ln w="12700">
          <a:solidFill>
            <a:schemeClr val="bg1">
              <a:lumMod val="65000"/>
            </a:schemeClr>
          </a:solidFill>
        </a:ln>
      </c:spPr>
    </c:plotArea>
    <c:legend>
      <c:legendPos val="r"/>
      <c:layout>
        <c:manualLayout>
          <c:xMode val="edge"/>
          <c:yMode val="edge"/>
          <c:x val="0.75800099206349303"/>
          <c:y val="0.15085740740740758"/>
          <c:w val="0.18194827586206927"/>
          <c:h val="0.15159603213463196"/>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C10 Jednotlivci v Česku používající internet na mobilním</a:t>
            </a:r>
            <a:r>
              <a:rPr lang="cs-CZ" sz="800" b="1" baseline="0"/>
              <a:t> telefonu </a:t>
            </a:r>
            <a:r>
              <a:rPr lang="cs-CZ" sz="800" b="1"/>
              <a:t>v roce 2017 (%)</a:t>
            </a:r>
            <a:endParaRPr lang="en-US" sz="800" b="1"/>
          </a:p>
        </c:rich>
      </c:tx>
      <c:layout>
        <c:manualLayout>
          <c:xMode val="edge"/>
          <c:yMode val="edge"/>
          <c:x val="0.14716997354497369"/>
          <c:y val="1.1271913580246899E-2"/>
        </c:manualLayout>
      </c:layout>
      <c:overlay val="1"/>
    </c:title>
    <c:autoTitleDeleted val="0"/>
    <c:plotArea>
      <c:layout>
        <c:manualLayout>
          <c:layoutTarget val="inner"/>
          <c:xMode val="edge"/>
          <c:yMode val="edge"/>
          <c:x val="0.16302083333333334"/>
          <c:y val="0.11672027777777783"/>
          <c:w val="0.79678839940588342"/>
          <c:h val="0.7669070987654325"/>
        </c:manualLayout>
      </c:layout>
      <c:barChart>
        <c:barDir val="bar"/>
        <c:grouping val="clustered"/>
        <c:varyColors val="0"/>
        <c:ser>
          <c:idx val="0"/>
          <c:order val="0"/>
          <c:tx>
            <c:strRef>
              <c:f>C_CZ!$B$189</c:f>
              <c:strCache>
                <c:ptCount val="1"/>
                <c:pt idx="0">
                  <c:v> % uživatelů internetu</c:v>
                </c:pt>
              </c:strCache>
            </c:strRef>
          </c:tx>
          <c:spPr>
            <a:solidFill>
              <a:srgbClr val="47E5FF"/>
            </a:solidFill>
          </c:spPr>
          <c:invertIfNegative val="0"/>
          <c:dLbls>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dLbls>
          <c:cat>
            <c:strRef>
              <c:f>C_CZ!$A$190:$A$200</c:f>
              <c:strCache>
                <c:ptCount val="11"/>
                <c:pt idx="0">
                  <c:v>  65+</c:v>
                </c:pt>
                <c:pt idx="1">
                  <c:v>  55–64</c:v>
                </c:pt>
                <c:pt idx="2">
                  <c:v>  45–54</c:v>
                </c:pt>
                <c:pt idx="3">
                  <c:v>  35–44</c:v>
                </c:pt>
                <c:pt idx="4">
                  <c:v>  25–34</c:v>
                </c:pt>
                <c:pt idx="5">
                  <c:v>  16–24</c:v>
                </c:pt>
                <c:pt idx="7">
                  <c:v>ženy</c:v>
                </c:pt>
                <c:pt idx="8">
                  <c:v>muži</c:v>
                </c:pt>
                <c:pt idx="10">
                  <c:v>Celkem</c:v>
                </c:pt>
              </c:strCache>
            </c:strRef>
          </c:cat>
          <c:val>
            <c:numRef>
              <c:f>C_CZ!$B$190:$B$200</c:f>
              <c:numCache>
                <c:formatCode>0%</c:formatCode>
                <c:ptCount val="11"/>
                <c:pt idx="0">
                  <c:v>0.17144597038800977</c:v>
                </c:pt>
                <c:pt idx="1">
                  <c:v>0.37968238743936739</c:v>
                </c:pt>
                <c:pt idx="2">
                  <c:v>0.58043408465849966</c:v>
                </c:pt>
                <c:pt idx="3">
                  <c:v>0.73671328093067867</c:v>
                </c:pt>
                <c:pt idx="4">
                  <c:v>0.84377338373486022</c:v>
                </c:pt>
                <c:pt idx="5">
                  <c:v>0.87598595474306096</c:v>
                </c:pt>
                <c:pt idx="7">
                  <c:v>0.60731050360998695</c:v>
                </c:pt>
                <c:pt idx="8">
                  <c:v>0.67252580472809209</c:v>
                </c:pt>
                <c:pt idx="10">
                  <c:v>0.63988756448894246</c:v>
                </c:pt>
              </c:numCache>
            </c:numRef>
          </c:val>
        </c:ser>
        <c:ser>
          <c:idx val="1"/>
          <c:order val="1"/>
          <c:tx>
            <c:strRef>
              <c:f>C_CZ!$C$189</c:f>
              <c:strCache>
                <c:ptCount val="1"/>
                <c:pt idx="0">
                  <c:v> % jednotlivců celkem</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C_CZ!$A$190:$A$200</c:f>
              <c:strCache>
                <c:ptCount val="11"/>
                <c:pt idx="0">
                  <c:v>  65+</c:v>
                </c:pt>
                <c:pt idx="1">
                  <c:v>  55–64</c:v>
                </c:pt>
                <c:pt idx="2">
                  <c:v>  45–54</c:v>
                </c:pt>
                <c:pt idx="3">
                  <c:v>  35–44</c:v>
                </c:pt>
                <c:pt idx="4">
                  <c:v>  25–34</c:v>
                </c:pt>
                <c:pt idx="5">
                  <c:v>  16–24</c:v>
                </c:pt>
                <c:pt idx="7">
                  <c:v>ženy</c:v>
                </c:pt>
                <c:pt idx="8">
                  <c:v>muži</c:v>
                </c:pt>
                <c:pt idx="10">
                  <c:v>Celkem</c:v>
                </c:pt>
              </c:strCache>
            </c:strRef>
          </c:cat>
          <c:val>
            <c:numRef>
              <c:f>C_CZ!$C$190:$C$200</c:f>
              <c:numCache>
                <c:formatCode>0%</c:formatCode>
                <c:ptCount val="11"/>
                <c:pt idx="0">
                  <c:v>5.7677901094768134E-2</c:v>
                </c:pt>
                <c:pt idx="1">
                  <c:v>0.28603104880409569</c:v>
                </c:pt>
                <c:pt idx="2">
                  <c:v>0.53127396504634927</c:v>
                </c:pt>
                <c:pt idx="3">
                  <c:v>0.71383326370249123</c:v>
                </c:pt>
                <c:pt idx="4">
                  <c:v>0.81316031927809396</c:v>
                </c:pt>
                <c:pt idx="5">
                  <c:v>0.86745739138113753</c:v>
                </c:pt>
                <c:pt idx="7">
                  <c:v>0.46143530426582224</c:v>
                </c:pt>
                <c:pt idx="8">
                  <c:v>0.54852919573827463</c:v>
                </c:pt>
                <c:pt idx="10">
                  <c:v>0.50371415082770532</c:v>
                </c:pt>
              </c:numCache>
            </c:numRef>
          </c:val>
        </c:ser>
        <c:dLbls>
          <c:showLegendKey val="0"/>
          <c:showVal val="0"/>
          <c:showCatName val="0"/>
          <c:showSerName val="0"/>
          <c:showPercent val="0"/>
          <c:showBubbleSize val="0"/>
        </c:dLbls>
        <c:gapWidth val="30"/>
        <c:axId val="192579584"/>
        <c:axId val="187988736"/>
      </c:barChart>
      <c:catAx>
        <c:axId val="192579584"/>
        <c:scaling>
          <c:orientation val="minMax"/>
        </c:scaling>
        <c:delete val="0"/>
        <c:axPos val="l"/>
        <c:numFmt formatCode="General" sourceLinked="1"/>
        <c:majorTickMark val="out"/>
        <c:minorTickMark val="none"/>
        <c:tickLblPos val="nextTo"/>
        <c:spPr>
          <a:ln>
            <a:solidFill>
              <a:schemeClr val="tx1"/>
            </a:solidFill>
          </a:ln>
        </c:spPr>
        <c:crossAx val="187988736"/>
        <c:crosses val="autoZero"/>
        <c:auto val="1"/>
        <c:lblAlgn val="ctr"/>
        <c:lblOffset val="100"/>
        <c:noMultiLvlLbl val="0"/>
      </c:catAx>
      <c:valAx>
        <c:axId val="187988736"/>
        <c:scaling>
          <c:orientation val="minMax"/>
          <c:max val="1"/>
        </c:scaling>
        <c:delete val="0"/>
        <c:axPos val="b"/>
        <c:numFmt formatCode="0%" sourceLinked="1"/>
        <c:majorTickMark val="none"/>
        <c:minorTickMark val="none"/>
        <c:tickLblPos val="none"/>
        <c:crossAx val="192579584"/>
        <c:crosses val="autoZero"/>
        <c:crossBetween val="between"/>
        <c:majorUnit val="0.1"/>
        <c:minorUnit val="5.0000000000000024E-2"/>
      </c:valAx>
      <c:spPr>
        <a:ln w="12700">
          <a:solidFill>
            <a:schemeClr val="bg1">
              <a:lumMod val="65000"/>
            </a:schemeClr>
          </a:solidFill>
        </a:ln>
      </c:spPr>
    </c:plotArea>
    <c:legend>
      <c:legendPos val="r"/>
      <c:layout>
        <c:manualLayout>
          <c:xMode val="edge"/>
          <c:yMode val="edge"/>
          <c:x val="0.67400628306878385"/>
          <c:y val="0.71138209876543168"/>
          <c:w val="0.26594312169312145"/>
          <c:h val="0.15551574074074093"/>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C_CZ!$B$205</c:f>
              <c:strCache>
                <c:ptCount val="1"/>
                <c:pt idx="0">
                  <c:v> 2017</c:v>
                </c:pt>
              </c:strCache>
            </c:strRef>
          </c:tx>
          <c:spPr>
            <a:solidFill>
              <a:srgbClr val="009BB4"/>
            </a:solidFill>
            <a:ln>
              <a:noFill/>
            </a:ln>
          </c:spPr>
          <c:invertIfNegative val="0"/>
          <c:dPt>
            <c:idx val="8"/>
            <c:invertIfNegative val="0"/>
            <c:bubble3D val="0"/>
            <c:spPr>
              <a:solidFill>
                <a:srgbClr val="009BB4"/>
              </a:solidFill>
              <a:ln w="19050">
                <a:noFill/>
              </a:ln>
            </c:spPr>
          </c:dPt>
          <c:dPt>
            <c:idx val="13"/>
            <c:invertIfNegative val="0"/>
            <c:bubble3D val="0"/>
            <c:spPr>
              <a:solidFill>
                <a:srgbClr val="009BB4"/>
              </a:solidFill>
              <a:ln w="19050">
                <a:noFill/>
              </a:ln>
            </c:spPr>
          </c:dPt>
          <c:dPt>
            <c:idx val="15"/>
            <c:invertIfNegative val="0"/>
            <c:bubble3D val="0"/>
            <c:spPr>
              <a:solidFill>
                <a:srgbClr val="009BB4"/>
              </a:solidFill>
              <a:ln>
                <a:solidFill>
                  <a:srgbClr val="FF0000"/>
                </a:solidFill>
              </a:ln>
            </c:spPr>
          </c:dPt>
          <c:dPt>
            <c:idx val="20"/>
            <c:invertIfNegative val="0"/>
            <c:bubble3D val="0"/>
            <c:spPr>
              <a:solidFill>
                <a:srgbClr val="009BB4"/>
              </a:solidFill>
              <a:ln>
                <a:solidFill>
                  <a:srgbClr val="FF0000"/>
                </a:solidFill>
              </a:ln>
            </c:spPr>
          </c:dPt>
          <c:dLbls>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C_CZ!$A$206:$A$234</c:f>
              <c:strCache>
                <c:ptCount val="29"/>
                <c:pt idx="0">
                  <c:v>Švédsko</c:v>
                </c:pt>
                <c:pt idx="1">
                  <c:v>Nizozemsko</c:v>
                </c:pt>
                <c:pt idx="2">
                  <c:v>Dánsko</c:v>
                </c:pt>
                <c:pt idx="3">
                  <c:v>Velká Británie</c:v>
                </c:pt>
                <c:pt idx="4">
                  <c:v>Lucembursko</c:v>
                </c:pt>
                <c:pt idx="5">
                  <c:v>Španělsko</c:v>
                </c:pt>
                <c:pt idx="6">
                  <c:v>Finsko</c:v>
                </c:pt>
                <c:pt idx="7">
                  <c:v>Německo</c:v>
                </c:pt>
                <c:pt idx="8">
                  <c:v>Rakousko</c:v>
                </c:pt>
                <c:pt idx="9">
                  <c:v>Irsko</c:v>
                </c:pt>
                <c:pt idx="10">
                  <c:v>Belgie</c:v>
                </c:pt>
                <c:pt idx="11">
                  <c:v>Kypr</c:v>
                </c:pt>
                <c:pt idx="12">
                  <c:v>Malta</c:v>
                </c:pt>
                <c:pt idx="13">
                  <c:v>Francie</c:v>
                </c:pt>
                <c:pt idx="14">
                  <c:v>Estonsko</c:v>
                </c:pt>
                <c:pt idx="15">
                  <c:v>EU28</c:v>
                </c:pt>
                <c:pt idx="16">
                  <c:v>Slovinsko</c:v>
                </c:pt>
                <c:pt idx="17">
                  <c:v>Slovensko</c:v>
                </c:pt>
                <c:pt idx="18">
                  <c:v>Maďarsko</c:v>
                </c:pt>
                <c:pt idx="19">
                  <c:v>Portugalsko</c:v>
                </c:pt>
                <c:pt idx="20">
                  <c:v>Česko</c:v>
                </c:pt>
                <c:pt idx="21">
                  <c:v>Bulharsko</c:v>
                </c:pt>
                <c:pt idx="22">
                  <c:v>Litva</c:v>
                </c:pt>
                <c:pt idx="23">
                  <c:v>Lotyšsko</c:v>
                </c:pt>
                <c:pt idx="24">
                  <c:v>Chorvatsko</c:v>
                </c:pt>
                <c:pt idx="25">
                  <c:v>Rumunsko</c:v>
                </c:pt>
                <c:pt idx="26">
                  <c:v>Řecko</c:v>
                </c:pt>
                <c:pt idx="27">
                  <c:v>Polsko</c:v>
                </c:pt>
                <c:pt idx="28">
                  <c:v>Itálie</c:v>
                </c:pt>
              </c:strCache>
            </c:strRef>
          </c:cat>
          <c:val>
            <c:numRef>
              <c:f>C_CZ!$B$206:$B$234</c:f>
              <c:numCache>
                <c:formatCode>0%</c:formatCode>
                <c:ptCount val="29"/>
                <c:pt idx="0">
                  <c:v>0.84114500000000003</c:v>
                </c:pt>
                <c:pt idx="1">
                  <c:v>0.84108700000000003</c:v>
                </c:pt>
                <c:pt idx="2">
                  <c:v>0.80496999999999996</c:v>
                </c:pt>
                <c:pt idx="3">
                  <c:v>0.79202399999999995</c:v>
                </c:pt>
                <c:pt idx="4">
                  <c:v>0.76775899999999997</c:v>
                </c:pt>
                <c:pt idx="5">
                  <c:v>0.76448300000000002</c:v>
                </c:pt>
                <c:pt idx="6">
                  <c:v>0.745587</c:v>
                </c:pt>
                <c:pt idx="7">
                  <c:v>0.72914800000000002</c:v>
                </c:pt>
                <c:pt idx="8">
                  <c:v>0.72400200000000003</c:v>
                </c:pt>
                <c:pt idx="9">
                  <c:v>0.70516800000000002</c:v>
                </c:pt>
                <c:pt idx="10">
                  <c:v>0.68329099999999998</c:v>
                </c:pt>
                <c:pt idx="11">
                  <c:v>0.68273099999999998</c:v>
                </c:pt>
                <c:pt idx="12">
                  <c:v>0.66797200000000001</c:v>
                </c:pt>
                <c:pt idx="13">
                  <c:v>0.64188900000000004</c:v>
                </c:pt>
                <c:pt idx="14">
                  <c:v>0.64160499999999998</c:v>
                </c:pt>
                <c:pt idx="15">
                  <c:v>0.62598399999999998</c:v>
                </c:pt>
                <c:pt idx="16">
                  <c:v>0.60544900000000001</c:v>
                </c:pt>
                <c:pt idx="17">
                  <c:v>0.59754099999999999</c:v>
                </c:pt>
                <c:pt idx="18">
                  <c:v>0.58371700000000004</c:v>
                </c:pt>
                <c:pt idx="19">
                  <c:v>0.56312099999999998</c:v>
                </c:pt>
                <c:pt idx="20">
                  <c:v>0.54949000000000003</c:v>
                </c:pt>
                <c:pt idx="21">
                  <c:v>0.53420900000000004</c:v>
                </c:pt>
                <c:pt idx="22">
                  <c:v>0.53250600000000003</c:v>
                </c:pt>
                <c:pt idx="23">
                  <c:v>0.52208500000000002</c:v>
                </c:pt>
                <c:pt idx="24">
                  <c:v>0.508301</c:v>
                </c:pt>
                <c:pt idx="25">
                  <c:v>0.49792400000000003</c:v>
                </c:pt>
                <c:pt idx="26">
                  <c:v>0.48322400000000004</c:v>
                </c:pt>
                <c:pt idx="27">
                  <c:v>0.38681399999999999</c:v>
                </c:pt>
                <c:pt idx="28">
                  <c:v>0.31303300000000001</c:v>
                </c:pt>
              </c:numCache>
            </c:numRef>
          </c:val>
        </c:ser>
        <c:dLbls>
          <c:showLegendKey val="0"/>
          <c:showVal val="0"/>
          <c:showCatName val="0"/>
          <c:showSerName val="0"/>
          <c:showPercent val="0"/>
          <c:showBubbleSize val="0"/>
        </c:dLbls>
        <c:gapWidth val="50"/>
        <c:axId val="192580096"/>
        <c:axId val="192741952"/>
      </c:barChart>
      <c:barChart>
        <c:barDir val="col"/>
        <c:grouping val="clustered"/>
        <c:varyColors val="0"/>
        <c:ser>
          <c:idx val="1"/>
          <c:order val="1"/>
          <c:tx>
            <c:strRef>
              <c:f>C_CZ!$C$205</c:f>
              <c:strCache>
                <c:ptCount val="1"/>
                <c:pt idx="0">
                  <c:v> 2012</c:v>
                </c:pt>
              </c:strCache>
            </c:strRef>
          </c:tx>
          <c:spPr>
            <a:solidFill>
              <a:srgbClr val="47E5FF"/>
            </a:solidFill>
          </c:spPr>
          <c:invertIfNegative val="0"/>
          <c:dLbls>
            <c:txPr>
              <a:bodyPr rot="-5400000" vert="horz"/>
              <a:lstStyle/>
              <a:p>
                <a:pPr>
                  <a:defRPr b="1"/>
                </a:pPr>
                <a:endParaRPr lang="cs-CZ"/>
              </a:p>
            </c:txPr>
            <c:dLblPos val="inBase"/>
            <c:showLegendKey val="0"/>
            <c:showVal val="1"/>
            <c:showCatName val="0"/>
            <c:showSerName val="0"/>
            <c:showPercent val="0"/>
            <c:showBubbleSize val="0"/>
            <c:showLeaderLines val="0"/>
          </c:dLbls>
          <c:cat>
            <c:strRef>
              <c:f>C_CZ!$A$206:$A$234</c:f>
              <c:strCache>
                <c:ptCount val="29"/>
                <c:pt idx="0">
                  <c:v>Švédsko</c:v>
                </c:pt>
                <c:pt idx="1">
                  <c:v>Nizozemsko</c:v>
                </c:pt>
                <c:pt idx="2">
                  <c:v>Dánsko</c:v>
                </c:pt>
                <c:pt idx="3">
                  <c:v>Velká Británie</c:v>
                </c:pt>
                <c:pt idx="4">
                  <c:v>Lucembursko</c:v>
                </c:pt>
                <c:pt idx="5">
                  <c:v>Španělsko</c:v>
                </c:pt>
                <c:pt idx="6">
                  <c:v>Finsko</c:v>
                </c:pt>
                <c:pt idx="7">
                  <c:v>Německo</c:v>
                </c:pt>
                <c:pt idx="8">
                  <c:v>Rakousko</c:v>
                </c:pt>
                <c:pt idx="9">
                  <c:v>Irsko</c:v>
                </c:pt>
                <c:pt idx="10">
                  <c:v>Belgie</c:v>
                </c:pt>
                <c:pt idx="11">
                  <c:v>Kypr</c:v>
                </c:pt>
                <c:pt idx="12">
                  <c:v>Malta</c:v>
                </c:pt>
                <c:pt idx="13">
                  <c:v>Francie</c:v>
                </c:pt>
                <c:pt idx="14">
                  <c:v>Estonsko</c:v>
                </c:pt>
                <c:pt idx="15">
                  <c:v>EU28</c:v>
                </c:pt>
                <c:pt idx="16">
                  <c:v>Slovinsko</c:v>
                </c:pt>
                <c:pt idx="17">
                  <c:v>Slovensko</c:v>
                </c:pt>
                <c:pt idx="18">
                  <c:v>Maďarsko</c:v>
                </c:pt>
                <c:pt idx="19">
                  <c:v>Portugalsko</c:v>
                </c:pt>
                <c:pt idx="20">
                  <c:v>Česko</c:v>
                </c:pt>
                <c:pt idx="21">
                  <c:v>Bulharsko</c:v>
                </c:pt>
                <c:pt idx="22">
                  <c:v>Litva</c:v>
                </c:pt>
                <c:pt idx="23">
                  <c:v>Lotyšsko</c:v>
                </c:pt>
                <c:pt idx="24">
                  <c:v>Chorvatsko</c:v>
                </c:pt>
                <c:pt idx="25">
                  <c:v>Rumunsko</c:v>
                </c:pt>
                <c:pt idx="26">
                  <c:v>Řecko</c:v>
                </c:pt>
                <c:pt idx="27">
                  <c:v>Polsko</c:v>
                </c:pt>
                <c:pt idx="28">
                  <c:v>Itálie</c:v>
                </c:pt>
              </c:strCache>
            </c:strRef>
          </c:cat>
          <c:val>
            <c:numRef>
              <c:f>C_CZ!$C$206:$C$234</c:f>
              <c:numCache>
                <c:formatCode>0%</c:formatCode>
                <c:ptCount val="29"/>
                <c:pt idx="0">
                  <c:v>0.59160500000000005</c:v>
                </c:pt>
                <c:pt idx="1">
                  <c:v>0.42926500000000006</c:v>
                </c:pt>
                <c:pt idx="2">
                  <c:v>0.50289300000000003</c:v>
                </c:pt>
                <c:pt idx="3">
                  <c:v>0.560141</c:v>
                </c:pt>
                <c:pt idx="4">
                  <c:v>0.461648</c:v>
                </c:pt>
                <c:pt idx="5">
                  <c:v>0.29937900000000001</c:v>
                </c:pt>
                <c:pt idx="6">
                  <c:v>0.44508399999999992</c:v>
                </c:pt>
                <c:pt idx="7">
                  <c:v>0.232908</c:v>
                </c:pt>
                <c:pt idx="8">
                  <c:v>0.35342499999999999</c:v>
                </c:pt>
                <c:pt idx="9">
                  <c:v>0.28673599999999999</c:v>
                </c:pt>
                <c:pt idx="10">
                  <c:v>0.27657500000000002</c:v>
                </c:pt>
                <c:pt idx="11">
                  <c:v>0.17149700000000004</c:v>
                </c:pt>
                <c:pt idx="12">
                  <c:v>0.28433000000000003</c:v>
                </c:pt>
                <c:pt idx="13">
                  <c:v>0.32913700000000001</c:v>
                </c:pt>
                <c:pt idx="14">
                  <c:v>0.17835599999999999</c:v>
                </c:pt>
                <c:pt idx="15">
                  <c:v>0.27407799999999999</c:v>
                </c:pt>
                <c:pt idx="16">
                  <c:v>0.19928899999999999</c:v>
                </c:pt>
                <c:pt idx="17">
                  <c:v>0.258405</c:v>
                </c:pt>
                <c:pt idx="18">
                  <c:v>0.10467500000000002</c:v>
                </c:pt>
                <c:pt idx="19">
                  <c:v>0.12468799999999999</c:v>
                </c:pt>
                <c:pt idx="20">
                  <c:v>0.129</c:v>
                </c:pt>
                <c:pt idx="21">
                  <c:v>6.8612999999999993E-2</c:v>
                </c:pt>
                <c:pt idx="22">
                  <c:v>0.131103</c:v>
                </c:pt>
                <c:pt idx="23">
                  <c:v>0.16353100000000001</c:v>
                </c:pt>
                <c:pt idx="24">
                  <c:v>0.28816900000000001</c:v>
                </c:pt>
                <c:pt idx="25">
                  <c:v>5.0665000000000002E-2</c:v>
                </c:pt>
                <c:pt idx="26">
                  <c:v>0.15135599999999999</c:v>
                </c:pt>
                <c:pt idx="27">
                  <c:v>0.147698</c:v>
                </c:pt>
                <c:pt idx="28">
                  <c:v>0.11361</c:v>
                </c:pt>
              </c:numCache>
            </c:numRef>
          </c:val>
        </c:ser>
        <c:dLbls>
          <c:showLegendKey val="0"/>
          <c:showVal val="0"/>
          <c:showCatName val="0"/>
          <c:showSerName val="0"/>
          <c:showPercent val="0"/>
          <c:showBubbleSize val="0"/>
        </c:dLbls>
        <c:gapWidth val="200"/>
        <c:axId val="194405376"/>
        <c:axId val="192742528"/>
      </c:barChart>
      <c:catAx>
        <c:axId val="192580096"/>
        <c:scaling>
          <c:orientation val="minMax"/>
        </c:scaling>
        <c:delete val="0"/>
        <c:axPos val="b"/>
        <c:majorTickMark val="out"/>
        <c:minorTickMark val="none"/>
        <c:tickLblPos val="nextTo"/>
        <c:spPr>
          <a:ln>
            <a:solidFill>
              <a:schemeClr val="tx1"/>
            </a:solidFill>
          </a:ln>
        </c:spPr>
        <c:crossAx val="192741952"/>
        <c:crosses val="autoZero"/>
        <c:auto val="1"/>
        <c:lblAlgn val="ctr"/>
        <c:lblOffset val="100"/>
        <c:noMultiLvlLbl val="0"/>
      </c:catAx>
      <c:valAx>
        <c:axId val="192741952"/>
        <c:scaling>
          <c:orientation val="minMax"/>
          <c:max val="1"/>
          <c:min val="0"/>
        </c:scaling>
        <c:delete val="1"/>
        <c:axPos val="l"/>
        <c:numFmt formatCode="0%" sourceLinked="1"/>
        <c:majorTickMark val="out"/>
        <c:minorTickMark val="none"/>
        <c:tickLblPos val="nextTo"/>
        <c:crossAx val="192580096"/>
        <c:crosses val="autoZero"/>
        <c:crossBetween val="between"/>
        <c:majorUnit val="0.1"/>
        <c:minorUnit val="5.0000000000000024E-2"/>
      </c:valAx>
      <c:valAx>
        <c:axId val="192742528"/>
        <c:scaling>
          <c:orientation val="minMax"/>
          <c:max val="1"/>
        </c:scaling>
        <c:delete val="0"/>
        <c:axPos val="r"/>
        <c:numFmt formatCode="0%" sourceLinked="1"/>
        <c:majorTickMark val="none"/>
        <c:minorTickMark val="none"/>
        <c:tickLblPos val="none"/>
        <c:crossAx val="194405376"/>
        <c:crosses val="max"/>
        <c:crossBetween val="between"/>
      </c:valAx>
      <c:catAx>
        <c:axId val="194405376"/>
        <c:scaling>
          <c:orientation val="minMax"/>
        </c:scaling>
        <c:delete val="1"/>
        <c:axPos val="b"/>
        <c:majorTickMark val="out"/>
        <c:minorTickMark val="none"/>
        <c:tickLblPos val="none"/>
        <c:crossAx val="192742528"/>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7321849340957158"/>
          <c:y val="0.14037006172839508"/>
          <c:w val="6.9586721030664239E-2"/>
          <c:h val="0.1163820987654321"/>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C12 Jednotlivci v Česku ve věku 16 let</a:t>
            </a:r>
          </a:p>
          <a:p>
            <a:pPr>
              <a:defRPr sz="800" b="1"/>
            </a:pPr>
            <a:r>
              <a:rPr lang="cs-CZ" sz="800" b="1"/>
              <a:t>a starší používající mobilní sítě (datový tarif) </a:t>
            </a:r>
          </a:p>
          <a:p>
            <a:pPr>
              <a:defRPr sz="800" b="1"/>
            </a:pPr>
            <a:r>
              <a:rPr lang="cs-CZ" sz="800" b="1"/>
              <a:t>pro přístup k internetu na mobilu</a:t>
            </a:r>
            <a:endParaRPr lang="en-US" sz="800" b="1"/>
          </a:p>
        </c:rich>
      </c:tx>
      <c:layout>
        <c:manualLayout>
          <c:xMode val="edge"/>
          <c:yMode val="edge"/>
          <c:x val="0.141276400852578"/>
          <c:y val="3.2457654504898588E-3"/>
        </c:manualLayout>
      </c:layout>
      <c:overlay val="1"/>
    </c:title>
    <c:autoTitleDeleted val="0"/>
    <c:plotArea>
      <c:layout>
        <c:manualLayout>
          <c:layoutTarget val="inner"/>
          <c:xMode val="edge"/>
          <c:yMode val="edge"/>
          <c:x val="1.3813516798106587E-2"/>
          <c:y val="0.20743641975308641"/>
          <c:w val="0.96948369216085761"/>
          <c:h val="0.62563086419753133"/>
        </c:manualLayout>
      </c:layout>
      <c:barChart>
        <c:barDir val="col"/>
        <c:grouping val="clustered"/>
        <c:varyColors val="0"/>
        <c:ser>
          <c:idx val="2"/>
          <c:order val="0"/>
          <c:tx>
            <c:strRef>
              <c:f>C_CZ!$A$239</c:f>
              <c:strCache>
                <c:ptCount val="1"/>
                <c:pt idx="0">
                  <c:v> miliony jednotlivců</c:v>
                </c:pt>
              </c:strCache>
            </c:strRef>
          </c:tx>
          <c:spPr>
            <a:solidFill>
              <a:srgbClr val="009BB4"/>
            </a:solidFill>
            <a:ln w="25400">
              <a:noFill/>
            </a:ln>
          </c:spPr>
          <c:invertIfNegative val="0"/>
          <c:dLbls>
            <c:numFmt formatCode="#,##0.0" sourceLinked="0"/>
            <c:txPr>
              <a:bodyPr/>
              <a:lstStyle/>
              <a:p>
                <a:pPr>
                  <a:defRPr b="1">
                    <a:solidFill>
                      <a:schemeClr val="bg1"/>
                    </a:solidFill>
                  </a:defRPr>
                </a:pPr>
                <a:endParaRPr lang="cs-CZ"/>
              </a:p>
            </c:txPr>
            <c:dLblPos val="inEnd"/>
            <c:showLegendKey val="0"/>
            <c:showVal val="1"/>
            <c:showCatName val="0"/>
            <c:showSerName val="0"/>
            <c:showPercent val="0"/>
            <c:showBubbleSize val="0"/>
            <c:showLeaderLines val="0"/>
          </c:dLbls>
          <c:cat>
            <c:numRef>
              <c:f>C_CZ!$B$238:$G$238</c:f>
              <c:numCache>
                <c:formatCode>0</c:formatCode>
                <c:ptCount val="6"/>
                <c:pt idx="0">
                  <c:v>2012</c:v>
                </c:pt>
                <c:pt idx="1">
                  <c:v>2013</c:v>
                </c:pt>
                <c:pt idx="2">
                  <c:v>2014</c:v>
                </c:pt>
                <c:pt idx="3">
                  <c:v>2015</c:v>
                </c:pt>
                <c:pt idx="4">
                  <c:v>2016</c:v>
                </c:pt>
                <c:pt idx="5">
                  <c:v>2017</c:v>
                </c:pt>
              </c:numCache>
            </c:numRef>
          </c:cat>
          <c:val>
            <c:numRef>
              <c:f>C_CZ!$B$239:$G$239</c:f>
              <c:numCache>
                <c:formatCode>#,##0.0</c:formatCode>
                <c:ptCount val="6"/>
                <c:pt idx="0">
                  <c:v>0.72679506939896099</c:v>
                </c:pt>
                <c:pt idx="1">
                  <c:v>1.1550149529656701</c:v>
                </c:pt>
                <c:pt idx="2">
                  <c:v>1.7383043107665801</c:v>
                </c:pt>
                <c:pt idx="3">
                  <c:v>2.3632372222744</c:v>
                </c:pt>
                <c:pt idx="4">
                  <c:v>2.6829986226281002</c:v>
                </c:pt>
                <c:pt idx="5" formatCode="0.0">
                  <c:v>3.1553958302195899</c:v>
                </c:pt>
              </c:numCache>
            </c:numRef>
          </c:val>
        </c:ser>
        <c:dLbls>
          <c:showLegendKey val="0"/>
          <c:showVal val="0"/>
          <c:showCatName val="0"/>
          <c:showSerName val="0"/>
          <c:showPercent val="0"/>
          <c:showBubbleSize val="0"/>
        </c:dLbls>
        <c:gapWidth val="50"/>
        <c:axId val="194556928"/>
        <c:axId val="192745408"/>
      </c:barChart>
      <c:lineChart>
        <c:grouping val="standard"/>
        <c:varyColors val="0"/>
        <c:ser>
          <c:idx val="0"/>
          <c:order val="1"/>
          <c:tx>
            <c:strRef>
              <c:f>C_CZ!$A$240</c:f>
              <c:strCache>
                <c:ptCount val="1"/>
                <c:pt idx="0">
                  <c:v> % jednotlivců celkem</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5.6513347763347772E-2"/>
                  <c:y val="-5.9531652639917193E-2"/>
                </c:manualLayout>
              </c:layout>
              <c:dLblPos val="r"/>
              <c:showLegendKey val="0"/>
              <c:showVal val="1"/>
              <c:showCatName val="0"/>
              <c:showSerName val="0"/>
              <c:showPercent val="0"/>
              <c:showBubbleSize val="0"/>
            </c:dLbl>
            <c:dLbl>
              <c:idx val="5"/>
              <c:layout>
                <c:manualLayout>
                  <c:x val="-4.9552469135802468E-2"/>
                  <c:y val="-3.1740123456790156E-2"/>
                </c:manualLayout>
              </c:layout>
              <c:dLblPos val="r"/>
              <c:showLegendKey val="0"/>
              <c:showVal val="1"/>
              <c:showCatName val="0"/>
              <c:showSerName val="0"/>
              <c:showPercent val="0"/>
              <c:showBubbleSize val="0"/>
            </c:dLbl>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C_CZ!$B$238:$G$238</c:f>
              <c:numCache>
                <c:formatCode>0</c:formatCode>
                <c:ptCount val="6"/>
                <c:pt idx="0">
                  <c:v>2012</c:v>
                </c:pt>
                <c:pt idx="1">
                  <c:v>2013</c:v>
                </c:pt>
                <c:pt idx="2">
                  <c:v>2014</c:v>
                </c:pt>
                <c:pt idx="3">
                  <c:v>2015</c:v>
                </c:pt>
                <c:pt idx="4">
                  <c:v>2016</c:v>
                </c:pt>
                <c:pt idx="5">
                  <c:v>2017</c:v>
                </c:pt>
              </c:numCache>
            </c:numRef>
          </c:cat>
          <c:val>
            <c:numRef>
              <c:f>C_CZ!$B$240:$G$240</c:f>
              <c:numCache>
                <c:formatCode>0.0%</c:formatCode>
                <c:ptCount val="6"/>
                <c:pt idx="0">
                  <c:v>8.2739571492968803E-2</c:v>
                </c:pt>
                <c:pt idx="1">
                  <c:v>0.13137235276491699</c:v>
                </c:pt>
                <c:pt idx="2">
                  <c:v>0.19849423271608199</c:v>
                </c:pt>
                <c:pt idx="3">
                  <c:v>0.26937485913090797</c:v>
                </c:pt>
                <c:pt idx="4">
                  <c:v>0.30604783268458502</c:v>
                </c:pt>
                <c:pt idx="5">
                  <c:v>0.36102458288820899</c:v>
                </c:pt>
              </c:numCache>
            </c:numRef>
          </c:val>
          <c:smooth val="0"/>
        </c:ser>
        <c:dLbls>
          <c:showLegendKey val="0"/>
          <c:showVal val="0"/>
          <c:showCatName val="0"/>
          <c:showSerName val="0"/>
          <c:showPercent val="0"/>
          <c:showBubbleSize val="0"/>
        </c:dLbls>
        <c:marker val="1"/>
        <c:smooth val="0"/>
        <c:axId val="194555904"/>
        <c:axId val="192745984"/>
      </c:lineChart>
      <c:catAx>
        <c:axId val="194556928"/>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cs-CZ"/>
          </a:p>
        </c:txPr>
        <c:crossAx val="192745408"/>
        <c:crosses val="autoZero"/>
        <c:auto val="1"/>
        <c:lblAlgn val="ctr"/>
        <c:lblOffset val="140"/>
        <c:tickLblSkip val="1"/>
        <c:tickMarkSkip val="1"/>
        <c:noMultiLvlLbl val="0"/>
      </c:catAx>
      <c:valAx>
        <c:axId val="192745408"/>
        <c:scaling>
          <c:orientation val="minMax"/>
          <c:max val="4"/>
          <c:min val="0"/>
        </c:scaling>
        <c:delete val="0"/>
        <c:axPos val="l"/>
        <c:majorGridlines>
          <c:spPr>
            <a:ln w="12700">
              <a:noFill/>
              <a:prstDash val="dash"/>
            </a:ln>
          </c:spPr>
        </c:majorGridlines>
        <c:numFmt formatCode="#,##0.0" sourceLinked="1"/>
        <c:majorTickMark val="none"/>
        <c:minorTickMark val="none"/>
        <c:tickLblPos val="none"/>
        <c:spPr>
          <a:ln w="9525">
            <a:noFill/>
          </a:ln>
        </c:spPr>
        <c:crossAx val="194556928"/>
        <c:crosses val="autoZero"/>
        <c:crossBetween val="between"/>
        <c:majorUnit val="1"/>
        <c:minorUnit val="2.0000000000000011E-2"/>
      </c:valAx>
      <c:catAx>
        <c:axId val="194555904"/>
        <c:scaling>
          <c:orientation val="minMax"/>
        </c:scaling>
        <c:delete val="1"/>
        <c:axPos val="b"/>
        <c:numFmt formatCode="0" sourceLinked="1"/>
        <c:majorTickMark val="out"/>
        <c:minorTickMark val="none"/>
        <c:tickLblPos val="none"/>
        <c:crossAx val="192745984"/>
        <c:crosses val="autoZero"/>
        <c:auto val="1"/>
        <c:lblAlgn val="ctr"/>
        <c:lblOffset val="100"/>
        <c:noMultiLvlLbl val="0"/>
      </c:catAx>
      <c:valAx>
        <c:axId val="192745984"/>
        <c:scaling>
          <c:orientation val="minMax"/>
          <c:max val="0.4"/>
          <c:min val="0"/>
        </c:scaling>
        <c:delete val="0"/>
        <c:axPos val="r"/>
        <c:numFmt formatCode="0.0%" sourceLinked="1"/>
        <c:majorTickMark val="none"/>
        <c:minorTickMark val="none"/>
        <c:tickLblPos val="none"/>
        <c:spPr>
          <a:ln>
            <a:solidFill>
              <a:schemeClr val="bg1">
                <a:lumMod val="65000"/>
              </a:schemeClr>
            </a:solidFill>
          </a:ln>
        </c:spPr>
        <c:crossAx val="194555904"/>
        <c:crosses val="max"/>
        <c:crossBetween val="between"/>
        <c:majorUnit val="5.0000000000000024E-2"/>
        <c:minorUnit val="1.0000000000000005E-2"/>
      </c:valAx>
      <c:spPr>
        <a:noFill/>
        <a:ln w="12700">
          <a:solidFill>
            <a:srgbClr val="A6A6A6"/>
          </a:solidFill>
          <a:prstDash val="solid"/>
        </a:ln>
      </c:spPr>
    </c:plotArea>
    <c:legend>
      <c:legendPos val="l"/>
      <c:legendEntry>
        <c:idx val="1"/>
        <c:txPr>
          <a:bodyPr/>
          <a:lstStyle/>
          <a:p>
            <a:pPr>
              <a:defRPr i="0"/>
            </a:pPr>
            <a:endParaRPr lang="cs-CZ"/>
          </a:p>
        </c:txPr>
      </c:legendEntry>
      <c:layout>
        <c:manualLayout>
          <c:xMode val="edge"/>
          <c:yMode val="edge"/>
          <c:x val="3.4720915032679767E-2"/>
          <c:y val="0.23311234567901234"/>
          <c:w val="0.46959259259259262"/>
          <c:h val="0.11461944444444444"/>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02083333333334"/>
          <c:y val="0.11672027777777783"/>
          <c:w val="0.79678839940588342"/>
          <c:h val="0.7669070987654325"/>
        </c:manualLayout>
      </c:layout>
      <c:barChart>
        <c:barDir val="bar"/>
        <c:grouping val="clustered"/>
        <c:varyColors val="0"/>
        <c:ser>
          <c:idx val="0"/>
          <c:order val="0"/>
          <c:tx>
            <c:strRef>
              <c:f>C_CZ!$B$244</c:f>
              <c:strCache>
                <c:ptCount val="1"/>
                <c:pt idx="0">
                  <c:v> % jednotlivců používajících internet na mobilu</c:v>
                </c:pt>
              </c:strCache>
            </c:strRef>
          </c:tx>
          <c:spPr>
            <a:solidFill>
              <a:srgbClr val="47E5FF"/>
            </a:solidFill>
          </c:spPr>
          <c:invertIfNegative val="0"/>
          <c:dLbls>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dLbls>
          <c:cat>
            <c:strRef>
              <c:f>C_CZ!$A$245:$A$255</c:f>
              <c:strCache>
                <c:ptCount val="11"/>
                <c:pt idx="0">
                  <c:v>  65+</c:v>
                </c:pt>
                <c:pt idx="1">
                  <c:v>  55–64</c:v>
                </c:pt>
                <c:pt idx="2">
                  <c:v>  45–54</c:v>
                </c:pt>
                <c:pt idx="3">
                  <c:v>  35–44</c:v>
                </c:pt>
                <c:pt idx="4">
                  <c:v>  25–34</c:v>
                </c:pt>
                <c:pt idx="5">
                  <c:v>  16–24</c:v>
                </c:pt>
                <c:pt idx="7">
                  <c:v>ženy</c:v>
                </c:pt>
                <c:pt idx="8">
                  <c:v>muži</c:v>
                </c:pt>
                <c:pt idx="10">
                  <c:v>Celkem</c:v>
                </c:pt>
              </c:strCache>
            </c:strRef>
          </c:cat>
          <c:val>
            <c:numRef>
              <c:f>C_CZ!$B$245:$B$255</c:f>
              <c:numCache>
                <c:formatCode>0%</c:formatCode>
                <c:ptCount val="11"/>
                <c:pt idx="0">
                  <c:v>0.30649348813373628</c:v>
                </c:pt>
                <c:pt idx="1">
                  <c:v>0.29727908616778848</c:v>
                </c:pt>
                <c:pt idx="2">
                  <c:v>0.34120618922204221</c:v>
                </c:pt>
                <c:pt idx="3">
                  <c:v>0.26453413325551112</c:v>
                </c:pt>
                <c:pt idx="4">
                  <c:v>0.24615111501725997</c:v>
                </c:pt>
                <c:pt idx="5">
                  <c:v>0.30025381531010498</c:v>
                </c:pt>
                <c:pt idx="7">
                  <c:v>0.30434451583470667</c:v>
                </c:pt>
                <c:pt idx="8">
                  <c:v>0.26530802164943001</c:v>
                </c:pt>
                <c:pt idx="10">
                  <c:v>0.28332368783604112</c:v>
                </c:pt>
              </c:numCache>
            </c:numRef>
          </c:val>
        </c:ser>
        <c:ser>
          <c:idx val="1"/>
          <c:order val="1"/>
          <c:tx>
            <c:strRef>
              <c:f>C_CZ!$C$244</c:f>
              <c:strCache>
                <c:ptCount val="1"/>
                <c:pt idx="0">
                  <c:v> % jednotlivců celkem</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C_CZ!$A$245:$A$255</c:f>
              <c:strCache>
                <c:ptCount val="11"/>
                <c:pt idx="0">
                  <c:v>  65+</c:v>
                </c:pt>
                <c:pt idx="1">
                  <c:v>  55–64</c:v>
                </c:pt>
                <c:pt idx="2">
                  <c:v>  45–54</c:v>
                </c:pt>
                <c:pt idx="3">
                  <c:v>  35–44</c:v>
                </c:pt>
                <c:pt idx="4">
                  <c:v>  25–34</c:v>
                </c:pt>
                <c:pt idx="5">
                  <c:v>  16–24</c:v>
                </c:pt>
                <c:pt idx="7">
                  <c:v>ženy</c:v>
                </c:pt>
                <c:pt idx="8">
                  <c:v>muži</c:v>
                </c:pt>
                <c:pt idx="10">
                  <c:v>Celkem</c:v>
                </c:pt>
              </c:strCache>
            </c:strRef>
          </c:cat>
          <c:val>
            <c:numRef>
              <c:f>C_CZ!$C$245:$C$255</c:f>
              <c:numCache>
                <c:formatCode>0%</c:formatCode>
                <c:ptCount val="11"/>
                <c:pt idx="0">
                  <c:v>1.767790109476813E-2</c:v>
                </c:pt>
                <c:pt idx="1">
                  <c:v>8.5031048804095663E-2</c:v>
                </c:pt>
                <c:pt idx="2">
                  <c:v>0.18127396504634929</c:v>
                </c:pt>
                <c:pt idx="3">
                  <c:v>0.18883326370249123</c:v>
                </c:pt>
                <c:pt idx="4">
                  <c:v>0.20016031927809394</c:v>
                </c:pt>
                <c:pt idx="5">
                  <c:v>0.26045739138113755</c:v>
                </c:pt>
                <c:pt idx="7">
                  <c:v>0.14043530426582224</c:v>
                </c:pt>
                <c:pt idx="8">
                  <c:v>0.14552919573827461</c:v>
                </c:pt>
                <c:pt idx="10">
                  <c:v>0.14271415082770531</c:v>
                </c:pt>
              </c:numCache>
            </c:numRef>
          </c:val>
        </c:ser>
        <c:dLbls>
          <c:showLegendKey val="0"/>
          <c:showVal val="0"/>
          <c:showCatName val="0"/>
          <c:showSerName val="0"/>
          <c:showPercent val="0"/>
          <c:showBubbleSize val="0"/>
        </c:dLbls>
        <c:gapWidth val="30"/>
        <c:axId val="194556416"/>
        <c:axId val="192747136"/>
      </c:barChart>
      <c:catAx>
        <c:axId val="194556416"/>
        <c:scaling>
          <c:orientation val="minMax"/>
        </c:scaling>
        <c:delete val="0"/>
        <c:axPos val="l"/>
        <c:numFmt formatCode="General" sourceLinked="1"/>
        <c:majorTickMark val="out"/>
        <c:minorTickMark val="none"/>
        <c:tickLblPos val="nextTo"/>
        <c:spPr>
          <a:ln>
            <a:solidFill>
              <a:schemeClr val="tx1"/>
            </a:solidFill>
          </a:ln>
        </c:spPr>
        <c:crossAx val="192747136"/>
        <c:crosses val="autoZero"/>
        <c:auto val="1"/>
        <c:lblAlgn val="ctr"/>
        <c:lblOffset val="100"/>
        <c:noMultiLvlLbl val="0"/>
      </c:catAx>
      <c:valAx>
        <c:axId val="192747136"/>
        <c:scaling>
          <c:orientation val="minMax"/>
          <c:max val="0.5"/>
        </c:scaling>
        <c:delete val="0"/>
        <c:axPos val="b"/>
        <c:numFmt formatCode="0%" sourceLinked="1"/>
        <c:majorTickMark val="none"/>
        <c:minorTickMark val="none"/>
        <c:tickLblPos val="none"/>
        <c:crossAx val="194556416"/>
        <c:crosses val="autoZero"/>
        <c:crossBetween val="between"/>
        <c:majorUnit val="5.0000000000000024E-2"/>
        <c:minorUnit val="1.0000000000000005E-2"/>
      </c:valAx>
      <c:spPr>
        <a:ln w="12700">
          <a:solidFill>
            <a:schemeClr val="bg1">
              <a:lumMod val="65000"/>
            </a:schemeClr>
          </a:solidFill>
        </a:ln>
      </c:spPr>
    </c:plotArea>
    <c:legend>
      <c:legendPos val="r"/>
      <c:layout>
        <c:manualLayout>
          <c:xMode val="edge"/>
          <c:yMode val="edge"/>
          <c:x val="0.65440740740740788"/>
          <c:y val="0.1312586419753087"/>
          <c:w val="0.28946172839506201"/>
          <c:h val="0.22607129629629641"/>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i="0" baseline="0">
                <a:effectLst/>
              </a:rPr>
              <a:t>Graf C14 Jednotlivci  </a:t>
            </a:r>
            <a:r>
              <a:rPr lang="cs-CZ" sz="800" b="1" i="0" u="none" strike="noStrike" baseline="0">
                <a:effectLst/>
              </a:rPr>
              <a:t>v  Česku </a:t>
            </a:r>
            <a:r>
              <a:rPr lang="cs-CZ" sz="800" b="1" i="0" baseline="0">
                <a:effectLst/>
              </a:rPr>
              <a:t> ve věku 16 let </a:t>
            </a: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i="0" baseline="0">
                <a:effectLst/>
              </a:rPr>
              <a:t>a starší  používající internet na notebooku či tabletu mimo domov či práci</a:t>
            </a:r>
            <a:endParaRPr lang="en-US" sz="800" b="1"/>
          </a:p>
        </c:rich>
      </c:tx>
      <c:layout>
        <c:manualLayout>
          <c:xMode val="edge"/>
          <c:yMode val="edge"/>
          <c:x val="0.13270239607145881"/>
          <c:y val="3.115961935569499E-3"/>
        </c:manualLayout>
      </c:layout>
      <c:overlay val="1"/>
    </c:title>
    <c:autoTitleDeleted val="0"/>
    <c:plotArea>
      <c:layout>
        <c:manualLayout>
          <c:layoutTarget val="inner"/>
          <c:xMode val="edge"/>
          <c:yMode val="edge"/>
          <c:x val="1.3813516798106587E-2"/>
          <c:y val="0.15647962962962964"/>
          <c:w val="0.96948369216085761"/>
          <c:h val="0.67658765432098766"/>
        </c:manualLayout>
      </c:layout>
      <c:barChart>
        <c:barDir val="col"/>
        <c:grouping val="clustered"/>
        <c:varyColors val="0"/>
        <c:ser>
          <c:idx val="2"/>
          <c:order val="0"/>
          <c:tx>
            <c:strRef>
              <c:f>C_CZ!$A$261</c:f>
              <c:strCache>
                <c:ptCount val="1"/>
                <c:pt idx="0">
                  <c:v> miliony jednotlivců</c:v>
                </c:pt>
              </c:strCache>
            </c:strRef>
          </c:tx>
          <c:spPr>
            <a:solidFill>
              <a:srgbClr val="009BB4"/>
            </a:solidFill>
            <a:ln w="25400">
              <a:noFill/>
            </a:ln>
          </c:spPr>
          <c:invertIfNegative val="0"/>
          <c:dLbls>
            <c:dLbl>
              <c:idx val="0"/>
              <c:layout>
                <c:manualLayout>
                  <c:x val="0"/>
                  <c:y val="5.827254428341385E-2"/>
                </c:manualLayout>
              </c:layout>
              <c:dLblPos val="outEnd"/>
              <c:showLegendKey val="0"/>
              <c:showVal val="1"/>
              <c:showCatName val="0"/>
              <c:showSerName val="0"/>
              <c:showPercent val="0"/>
              <c:showBubbleSize val="0"/>
            </c:dLbl>
            <c:numFmt formatCode="#,##0.0" sourceLinked="0"/>
            <c:txPr>
              <a:bodyPr/>
              <a:lstStyle/>
              <a:p>
                <a:pPr>
                  <a:defRPr b="1">
                    <a:solidFill>
                      <a:schemeClr val="bg1"/>
                    </a:solidFill>
                  </a:defRPr>
                </a:pPr>
                <a:endParaRPr lang="cs-CZ"/>
              </a:p>
            </c:txPr>
            <c:dLblPos val="inEnd"/>
            <c:showLegendKey val="0"/>
            <c:showVal val="1"/>
            <c:showCatName val="0"/>
            <c:showSerName val="0"/>
            <c:showPercent val="0"/>
            <c:showBubbleSize val="0"/>
            <c:showLeaderLines val="0"/>
          </c:dLbls>
          <c:cat>
            <c:numRef>
              <c:f>C_CZ!$B$260:$G$260</c:f>
              <c:numCache>
                <c:formatCode>0</c:formatCode>
                <c:ptCount val="6"/>
                <c:pt idx="0">
                  <c:v>2012</c:v>
                </c:pt>
                <c:pt idx="1">
                  <c:v>2013</c:v>
                </c:pt>
                <c:pt idx="2">
                  <c:v>2014</c:v>
                </c:pt>
                <c:pt idx="3">
                  <c:v>2015</c:v>
                </c:pt>
                <c:pt idx="4">
                  <c:v>2016</c:v>
                </c:pt>
                <c:pt idx="5">
                  <c:v>2017</c:v>
                </c:pt>
              </c:numCache>
            </c:numRef>
          </c:cat>
          <c:val>
            <c:numRef>
              <c:f>C_CZ!$B$261:$G$261</c:f>
              <c:numCache>
                <c:formatCode>#,##0.0</c:formatCode>
                <c:ptCount val="6"/>
                <c:pt idx="0">
                  <c:v>1.0601252940929999</c:v>
                </c:pt>
                <c:pt idx="1">
                  <c:v>1.4320278236299999</c:v>
                </c:pt>
                <c:pt idx="2">
                  <c:v>1.737573272308</c:v>
                </c:pt>
                <c:pt idx="3">
                  <c:v>1.9252118269130001</c:v>
                </c:pt>
                <c:pt idx="4">
                  <c:v>2.08969867322</c:v>
                </c:pt>
                <c:pt idx="5" formatCode="0.0">
                  <c:v>2.5786955316590001</c:v>
                </c:pt>
              </c:numCache>
            </c:numRef>
          </c:val>
        </c:ser>
        <c:dLbls>
          <c:showLegendKey val="0"/>
          <c:showVal val="0"/>
          <c:showCatName val="0"/>
          <c:showSerName val="0"/>
          <c:showPercent val="0"/>
          <c:showBubbleSize val="0"/>
        </c:dLbls>
        <c:gapWidth val="50"/>
        <c:axId val="194646528"/>
        <c:axId val="194248704"/>
      </c:barChart>
      <c:lineChart>
        <c:grouping val="standard"/>
        <c:varyColors val="0"/>
        <c:ser>
          <c:idx val="0"/>
          <c:order val="1"/>
          <c:tx>
            <c:strRef>
              <c:f>C_CZ!$A$262</c:f>
              <c:strCache>
                <c:ptCount val="1"/>
                <c:pt idx="0">
                  <c:v>  % uživatelů internetu</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5.6513347763347765E-2"/>
                  <c:y val="-5.9531652639917186E-2"/>
                </c:manualLayout>
              </c:layout>
              <c:dLblPos val="r"/>
              <c:showLegendKey val="0"/>
              <c:showVal val="1"/>
              <c:showCatName val="0"/>
              <c:showSerName val="0"/>
              <c:showPercent val="0"/>
              <c:showBubbleSize val="0"/>
            </c:dLbl>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C_CZ!$B$260:$G$260</c:f>
              <c:numCache>
                <c:formatCode>0</c:formatCode>
                <c:ptCount val="6"/>
                <c:pt idx="0">
                  <c:v>2012</c:v>
                </c:pt>
                <c:pt idx="1">
                  <c:v>2013</c:v>
                </c:pt>
                <c:pt idx="2">
                  <c:v>2014</c:v>
                </c:pt>
                <c:pt idx="3">
                  <c:v>2015</c:v>
                </c:pt>
                <c:pt idx="4">
                  <c:v>2016</c:v>
                </c:pt>
                <c:pt idx="5">
                  <c:v>2017</c:v>
                </c:pt>
              </c:numCache>
            </c:numRef>
          </c:cat>
          <c:val>
            <c:numRef>
              <c:f>C_CZ!$B$262:$G$262</c:f>
              <c:numCache>
                <c:formatCode>0.0%</c:formatCode>
                <c:ptCount val="6"/>
                <c:pt idx="0">
                  <c:v>0.17188111029616548</c:v>
                </c:pt>
                <c:pt idx="1">
                  <c:v>0.23679593617035077</c:v>
                </c:pt>
                <c:pt idx="2">
                  <c:v>0.26728573929702276</c:v>
                </c:pt>
                <c:pt idx="3">
                  <c:v>0.29000888864748409</c:v>
                </c:pt>
                <c:pt idx="4">
                  <c:v>0.31167203693175038</c:v>
                </c:pt>
                <c:pt idx="5">
                  <c:v>0.37417797363077521</c:v>
                </c:pt>
              </c:numCache>
            </c:numRef>
          </c:val>
          <c:smooth val="0"/>
        </c:ser>
        <c:ser>
          <c:idx val="1"/>
          <c:order val="2"/>
          <c:tx>
            <c:strRef>
              <c:f>C_CZ!$A$263</c:f>
              <c:strCache>
                <c:ptCount val="1"/>
                <c:pt idx="0">
                  <c:v>  % jednotlivců celkem</c:v>
                </c:pt>
              </c:strCache>
            </c:strRef>
          </c:tx>
          <c:spPr>
            <a:ln w="19050">
              <a:solidFill>
                <a:srgbClr val="007D92"/>
              </a:solidFill>
            </a:ln>
          </c:spPr>
          <c:marker>
            <c:symbol val="circle"/>
            <c:size val="4"/>
            <c:spPr>
              <a:solidFill>
                <a:srgbClr val="47E5FF"/>
              </a:solidFill>
              <a:ln>
                <a:solidFill>
                  <a:srgbClr val="007D92"/>
                </a:solidFill>
              </a:ln>
            </c:spPr>
          </c:marker>
          <c:dLbls>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C_CZ!$B$260:$G$260</c:f>
              <c:numCache>
                <c:formatCode>0</c:formatCode>
                <c:ptCount val="6"/>
                <c:pt idx="0">
                  <c:v>2012</c:v>
                </c:pt>
                <c:pt idx="1">
                  <c:v>2013</c:v>
                </c:pt>
                <c:pt idx="2">
                  <c:v>2014</c:v>
                </c:pt>
                <c:pt idx="3">
                  <c:v>2015</c:v>
                </c:pt>
                <c:pt idx="4">
                  <c:v>2016</c:v>
                </c:pt>
                <c:pt idx="5">
                  <c:v>2017</c:v>
                </c:pt>
              </c:numCache>
            </c:numRef>
          </c:cat>
          <c:val>
            <c:numRef>
              <c:f>C_CZ!$B$263:$G$263</c:f>
              <c:numCache>
                <c:formatCode>0.0%</c:formatCode>
                <c:ptCount val="6"/>
                <c:pt idx="0">
                  <c:v>0.12068644000000001</c:v>
                </c:pt>
                <c:pt idx="1">
                  <c:v>0.16288003000000001</c:v>
                </c:pt>
                <c:pt idx="2">
                  <c:v>0.19841076000000002</c:v>
                </c:pt>
                <c:pt idx="3">
                  <c:v>0.21944630000000001</c:v>
                </c:pt>
                <c:pt idx="4">
                  <c:v>0.23837050999999998</c:v>
                </c:pt>
                <c:pt idx="5">
                  <c:v>0.29454977999999998</c:v>
                </c:pt>
              </c:numCache>
            </c:numRef>
          </c:val>
          <c:smooth val="0"/>
        </c:ser>
        <c:dLbls>
          <c:showLegendKey val="0"/>
          <c:showVal val="0"/>
          <c:showCatName val="0"/>
          <c:showSerName val="0"/>
          <c:showPercent val="0"/>
          <c:showBubbleSize val="0"/>
        </c:dLbls>
        <c:marker val="1"/>
        <c:smooth val="0"/>
        <c:axId val="194647040"/>
        <c:axId val="194249280"/>
      </c:lineChart>
      <c:catAx>
        <c:axId val="194646528"/>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cs-CZ"/>
          </a:p>
        </c:txPr>
        <c:crossAx val="194248704"/>
        <c:crosses val="autoZero"/>
        <c:auto val="1"/>
        <c:lblAlgn val="ctr"/>
        <c:lblOffset val="140"/>
        <c:tickLblSkip val="1"/>
        <c:tickMarkSkip val="1"/>
        <c:noMultiLvlLbl val="0"/>
      </c:catAx>
      <c:valAx>
        <c:axId val="194248704"/>
        <c:scaling>
          <c:orientation val="minMax"/>
          <c:max val="5"/>
          <c:min val="0"/>
        </c:scaling>
        <c:delete val="0"/>
        <c:axPos val="l"/>
        <c:majorGridlines>
          <c:spPr>
            <a:ln w="12700">
              <a:noFill/>
              <a:prstDash val="dash"/>
            </a:ln>
          </c:spPr>
        </c:majorGridlines>
        <c:numFmt formatCode="#,##0.0" sourceLinked="1"/>
        <c:majorTickMark val="none"/>
        <c:minorTickMark val="none"/>
        <c:tickLblPos val="none"/>
        <c:spPr>
          <a:ln w="9525">
            <a:noFill/>
          </a:ln>
        </c:spPr>
        <c:crossAx val="194646528"/>
        <c:crosses val="autoZero"/>
        <c:crossBetween val="between"/>
        <c:majorUnit val="1"/>
        <c:minorUnit val="2.0000000000000011E-2"/>
      </c:valAx>
      <c:catAx>
        <c:axId val="194647040"/>
        <c:scaling>
          <c:orientation val="minMax"/>
        </c:scaling>
        <c:delete val="1"/>
        <c:axPos val="b"/>
        <c:numFmt formatCode="0" sourceLinked="1"/>
        <c:majorTickMark val="out"/>
        <c:minorTickMark val="none"/>
        <c:tickLblPos val="none"/>
        <c:crossAx val="194249280"/>
        <c:crosses val="autoZero"/>
        <c:auto val="1"/>
        <c:lblAlgn val="ctr"/>
        <c:lblOffset val="100"/>
        <c:noMultiLvlLbl val="0"/>
      </c:catAx>
      <c:valAx>
        <c:axId val="194249280"/>
        <c:scaling>
          <c:orientation val="minMax"/>
          <c:max val="0.5"/>
          <c:min val="0"/>
        </c:scaling>
        <c:delete val="0"/>
        <c:axPos val="r"/>
        <c:numFmt formatCode="0.0%" sourceLinked="1"/>
        <c:majorTickMark val="none"/>
        <c:minorTickMark val="none"/>
        <c:tickLblPos val="none"/>
        <c:spPr>
          <a:ln>
            <a:solidFill>
              <a:schemeClr val="bg1">
                <a:lumMod val="65000"/>
              </a:schemeClr>
            </a:solidFill>
          </a:ln>
        </c:spPr>
        <c:crossAx val="194647040"/>
        <c:crosses val="max"/>
        <c:crossBetween val="between"/>
        <c:majorUnit val="5.0000000000000024E-2"/>
        <c:minorUnit val="1.0000000000000005E-2"/>
      </c:valAx>
      <c:spPr>
        <a:noFill/>
        <a:ln w="12700">
          <a:solidFill>
            <a:srgbClr val="A6A6A6"/>
          </a:solidFill>
          <a:prstDash val="solid"/>
        </a:ln>
      </c:spPr>
    </c:plotArea>
    <c:legend>
      <c:legendPos val="l"/>
      <c:legendEntry>
        <c:idx val="1"/>
        <c:txPr>
          <a:bodyPr/>
          <a:lstStyle/>
          <a:p>
            <a:pPr>
              <a:defRPr i="0"/>
            </a:pPr>
            <a:endParaRPr lang="cs-CZ"/>
          </a:p>
        </c:txPr>
      </c:legendEntry>
      <c:legendEntry>
        <c:idx val="2"/>
        <c:txPr>
          <a:bodyPr/>
          <a:lstStyle/>
          <a:p>
            <a:pPr>
              <a:defRPr i="0"/>
            </a:pPr>
            <a:endParaRPr lang="cs-CZ"/>
          </a:p>
        </c:txPr>
      </c:legendEntry>
      <c:layout>
        <c:manualLayout>
          <c:xMode val="edge"/>
          <c:yMode val="edge"/>
          <c:x val="4.0764033528067053E-2"/>
          <c:y val="0.16955493754186254"/>
          <c:w val="0.55177309287951914"/>
          <c:h val="0.17655152979066022"/>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C15 Jednotlivci v Česku používající internet na tabletu v roce 2017 (%)</a:t>
            </a:r>
            <a:endParaRPr lang="en-US" sz="800" b="1"/>
          </a:p>
        </c:rich>
      </c:tx>
      <c:layout>
        <c:manualLayout>
          <c:xMode val="edge"/>
          <c:yMode val="edge"/>
          <c:x val="0.13886264216972879"/>
          <c:y val="3.4274037971831327E-3"/>
        </c:manualLayout>
      </c:layout>
      <c:overlay val="1"/>
    </c:title>
    <c:autoTitleDeleted val="0"/>
    <c:plotArea>
      <c:layout>
        <c:manualLayout>
          <c:layoutTarget val="inner"/>
          <c:xMode val="edge"/>
          <c:yMode val="edge"/>
          <c:x val="0.16302083333333334"/>
          <c:y val="0.11672027777777776"/>
          <c:w val="0.79678839940588297"/>
          <c:h val="0.76690709876543206"/>
        </c:manualLayout>
      </c:layout>
      <c:barChart>
        <c:barDir val="bar"/>
        <c:grouping val="clustered"/>
        <c:varyColors val="0"/>
        <c:ser>
          <c:idx val="0"/>
          <c:order val="0"/>
          <c:tx>
            <c:strRef>
              <c:f>C_CZ!$B$266</c:f>
              <c:strCache>
                <c:ptCount val="1"/>
                <c:pt idx="0">
                  <c:v> % uživatelů internetu</c:v>
                </c:pt>
              </c:strCache>
            </c:strRef>
          </c:tx>
          <c:spPr>
            <a:solidFill>
              <a:srgbClr val="47E5FF"/>
            </a:solidFill>
          </c:spPr>
          <c:invertIfNegative val="0"/>
          <c:dLbls>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dLbls>
          <c:cat>
            <c:strRef>
              <c:f>C_CZ!$A$267:$A$277</c:f>
              <c:strCache>
                <c:ptCount val="11"/>
                <c:pt idx="0">
                  <c:v>  65+</c:v>
                </c:pt>
                <c:pt idx="1">
                  <c:v>  55–64</c:v>
                </c:pt>
                <c:pt idx="2">
                  <c:v>  45–54</c:v>
                </c:pt>
                <c:pt idx="3">
                  <c:v>  35–44</c:v>
                </c:pt>
                <c:pt idx="4">
                  <c:v>  25–34</c:v>
                </c:pt>
                <c:pt idx="5">
                  <c:v>  16–24</c:v>
                </c:pt>
                <c:pt idx="7">
                  <c:v>ženy</c:v>
                </c:pt>
                <c:pt idx="8">
                  <c:v>muži</c:v>
                </c:pt>
                <c:pt idx="10">
                  <c:v>Celkem</c:v>
                </c:pt>
              </c:strCache>
            </c:strRef>
          </c:cat>
          <c:val>
            <c:numRef>
              <c:f>C_CZ!$B$267:$B$277</c:f>
              <c:numCache>
                <c:formatCode>0%</c:formatCode>
                <c:ptCount val="11"/>
                <c:pt idx="0">
                  <c:v>8.0831461252857353E-2</c:v>
                </c:pt>
                <c:pt idx="1">
                  <c:v>0.12953377193639756</c:v>
                </c:pt>
                <c:pt idx="2">
                  <c:v>0.18378788804291601</c:v>
                </c:pt>
                <c:pt idx="3">
                  <c:v>0.24183148693067602</c:v>
                </c:pt>
                <c:pt idx="4">
                  <c:v>0.25675454580356694</c:v>
                </c:pt>
                <c:pt idx="5">
                  <c:v>0.34067105116486457</c:v>
                </c:pt>
                <c:pt idx="7">
                  <c:v>0.21991091248548286</c:v>
                </c:pt>
                <c:pt idx="8">
                  <c:v>0.21167473337462664</c:v>
                </c:pt>
                <c:pt idx="10">
                  <c:v>0.215739470051586</c:v>
                </c:pt>
              </c:numCache>
            </c:numRef>
          </c:val>
        </c:ser>
        <c:ser>
          <c:idx val="1"/>
          <c:order val="1"/>
          <c:tx>
            <c:strRef>
              <c:f>C_CZ!$C$266</c:f>
              <c:strCache>
                <c:ptCount val="1"/>
                <c:pt idx="0">
                  <c:v> % jednotlivců celkem</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1"/>
              <c:layout>
                <c:manualLayout>
                  <c:x val="-9.50255780996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C_CZ!$A$267:$A$277</c:f>
              <c:strCache>
                <c:ptCount val="11"/>
                <c:pt idx="0">
                  <c:v>  65+</c:v>
                </c:pt>
                <c:pt idx="1">
                  <c:v>  55–64</c:v>
                </c:pt>
                <c:pt idx="2">
                  <c:v>  45–54</c:v>
                </c:pt>
                <c:pt idx="3">
                  <c:v>  35–44</c:v>
                </c:pt>
                <c:pt idx="4">
                  <c:v>  25–34</c:v>
                </c:pt>
                <c:pt idx="5">
                  <c:v>  16–24</c:v>
                </c:pt>
                <c:pt idx="7">
                  <c:v>ženy</c:v>
                </c:pt>
                <c:pt idx="8">
                  <c:v>muži</c:v>
                </c:pt>
                <c:pt idx="10">
                  <c:v>Celkem</c:v>
                </c:pt>
              </c:strCache>
            </c:strRef>
          </c:cat>
          <c:val>
            <c:numRef>
              <c:f>C_CZ!$C$267:$C$277</c:f>
              <c:numCache>
                <c:formatCode>0%</c:formatCode>
                <c:ptCount val="11"/>
                <c:pt idx="0">
                  <c:v>2.7193383894545117E-2</c:v>
                </c:pt>
                <c:pt idx="1">
                  <c:v>9.7583353529757985E-2</c:v>
                </c:pt>
                <c:pt idx="2">
                  <c:v>0.16822973618557249</c:v>
                </c:pt>
                <c:pt idx="3">
                  <c:v>0.23308311022647429</c:v>
                </c:pt>
                <c:pt idx="4">
                  <c:v>0.24878055480678596</c:v>
                </c:pt>
                <c:pt idx="5">
                  <c:v>0.33735391938149134</c:v>
                </c:pt>
                <c:pt idx="7">
                  <c:v>0.16710206217282506</c:v>
                </c:pt>
                <c:pt idx="8">
                  <c:v>0.17268026178081441</c:v>
                </c:pt>
                <c:pt idx="10">
                  <c:v>0.16982831045301799</c:v>
                </c:pt>
              </c:numCache>
            </c:numRef>
          </c:val>
        </c:ser>
        <c:dLbls>
          <c:showLegendKey val="0"/>
          <c:showVal val="0"/>
          <c:showCatName val="0"/>
          <c:showSerName val="0"/>
          <c:showPercent val="0"/>
          <c:showBubbleSize val="0"/>
        </c:dLbls>
        <c:gapWidth val="30"/>
        <c:axId val="194647552"/>
        <c:axId val="194250432"/>
      </c:barChart>
      <c:catAx>
        <c:axId val="194647552"/>
        <c:scaling>
          <c:orientation val="minMax"/>
        </c:scaling>
        <c:delete val="0"/>
        <c:axPos val="l"/>
        <c:numFmt formatCode="General" sourceLinked="1"/>
        <c:majorTickMark val="out"/>
        <c:minorTickMark val="none"/>
        <c:tickLblPos val="nextTo"/>
        <c:spPr>
          <a:ln>
            <a:solidFill>
              <a:schemeClr val="tx1"/>
            </a:solidFill>
          </a:ln>
        </c:spPr>
        <c:crossAx val="194250432"/>
        <c:crosses val="autoZero"/>
        <c:auto val="1"/>
        <c:lblAlgn val="ctr"/>
        <c:lblOffset val="100"/>
        <c:noMultiLvlLbl val="0"/>
      </c:catAx>
      <c:valAx>
        <c:axId val="194250432"/>
        <c:scaling>
          <c:orientation val="minMax"/>
          <c:max val="0.5"/>
        </c:scaling>
        <c:delete val="0"/>
        <c:axPos val="b"/>
        <c:numFmt formatCode="0%" sourceLinked="1"/>
        <c:majorTickMark val="none"/>
        <c:minorTickMark val="none"/>
        <c:tickLblPos val="none"/>
        <c:crossAx val="194647552"/>
        <c:crosses val="autoZero"/>
        <c:crossBetween val="between"/>
        <c:majorUnit val="5.000000000000001E-2"/>
        <c:minorUnit val="1.0000000000000002E-2"/>
      </c:valAx>
      <c:spPr>
        <a:ln w="12700">
          <a:solidFill>
            <a:schemeClr val="bg1">
              <a:lumMod val="65000"/>
            </a:schemeClr>
          </a:solidFill>
        </a:ln>
      </c:spPr>
    </c:plotArea>
    <c:legend>
      <c:legendPos val="r"/>
      <c:layout>
        <c:manualLayout>
          <c:xMode val="edge"/>
          <c:yMode val="edge"/>
          <c:x val="0.55775995290308333"/>
          <c:y val="0.21318828188420783"/>
          <c:w val="0.3778236468884727"/>
          <c:h val="0.11631442972803625"/>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C1</a:t>
            </a:r>
            <a:r>
              <a:rPr lang="cs-CZ" sz="800"/>
              <a:t>6</a:t>
            </a:r>
            <a:r>
              <a:rPr lang="en-US" sz="800"/>
              <a:t> </a:t>
            </a:r>
            <a:r>
              <a:rPr lang="cs-CZ" sz="800"/>
              <a:t>Uživatelé internetu v Česku</a:t>
            </a:r>
            <a:r>
              <a:rPr lang="cs-CZ" sz="800" baseline="0"/>
              <a:t> </a:t>
            </a:r>
          </a:p>
          <a:p>
            <a:pPr>
              <a:defRPr sz="800"/>
            </a:pPr>
            <a:r>
              <a:rPr lang="en-US" sz="800"/>
              <a:t>ve věku 55 až 74 let </a:t>
            </a:r>
            <a:r>
              <a:rPr lang="cs-CZ" sz="800"/>
              <a:t>podle pohlaví (%)</a:t>
            </a:r>
            <a:endParaRPr lang="en-US" sz="800"/>
          </a:p>
        </c:rich>
      </c:tx>
      <c:layout/>
      <c:overlay val="1"/>
    </c:title>
    <c:autoTitleDeleted val="0"/>
    <c:plotArea>
      <c:layout>
        <c:manualLayout>
          <c:layoutTarget val="inner"/>
          <c:xMode val="edge"/>
          <c:yMode val="edge"/>
          <c:x val="1.8855220854765063E-2"/>
          <c:y val="0.16405256651429889"/>
          <c:w val="0.96228955829046992"/>
          <c:h val="0.64991984126984181"/>
        </c:manualLayout>
      </c:layout>
      <c:barChart>
        <c:barDir val="col"/>
        <c:grouping val="clustered"/>
        <c:varyColors val="0"/>
        <c:ser>
          <c:idx val="0"/>
          <c:order val="0"/>
          <c:tx>
            <c:strRef>
              <c:f>C_CZ!$A$283</c:f>
              <c:strCache>
                <c:ptCount val="1"/>
                <c:pt idx="0">
                  <c:v> Celkem</c:v>
                </c:pt>
              </c:strCache>
            </c:strRef>
          </c:tx>
          <c:spPr>
            <a:solidFill>
              <a:srgbClr val="009BB4"/>
            </a:solidFill>
          </c:spPr>
          <c:invertIfNegative val="0"/>
          <c:dLbls>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dLbls>
          <c:cat>
            <c:numRef>
              <c:f>C_CZ!$B$282:$H$282</c:f>
              <c:numCache>
                <c:formatCode>General</c:formatCode>
                <c:ptCount val="7"/>
                <c:pt idx="0">
                  <c:v>2005</c:v>
                </c:pt>
                <c:pt idx="1">
                  <c:v>2007</c:v>
                </c:pt>
                <c:pt idx="2">
                  <c:v>2009</c:v>
                </c:pt>
                <c:pt idx="3">
                  <c:v>2011</c:v>
                </c:pt>
                <c:pt idx="4">
                  <c:v>2013</c:v>
                </c:pt>
                <c:pt idx="5">
                  <c:v>2015</c:v>
                </c:pt>
                <c:pt idx="6">
                  <c:v>2017</c:v>
                </c:pt>
              </c:numCache>
            </c:numRef>
          </c:cat>
          <c:val>
            <c:numRef>
              <c:f>C_CZ!$B$283:$H$283</c:f>
              <c:numCache>
                <c:formatCode>0%</c:formatCode>
                <c:ptCount val="7"/>
                <c:pt idx="0">
                  <c:v>8.5299999999999987E-2</c:v>
                </c:pt>
                <c:pt idx="1">
                  <c:v>0.18350000000000002</c:v>
                </c:pt>
                <c:pt idx="2">
                  <c:v>0.26989999999999997</c:v>
                </c:pt>
                <c:pt idx="3">
                  <c:v>0.38009999999999999</c:v>
                </c:pt>
                <c:pt idx="4">
                  <c:v>0.44131399999999998</c:v>
                </c:pt>
                <c:pt idx="5">
                  <c:v>0.55458020202275005</c:v>
                </c:pt>
                <c:pt idx="6">
                  <c:v>0.60746465802846228</c:v>
                </c:pt>
              </c:numCache>
            </c:numRef>
          </c:val>
        </c:ser>
        <c:ser>
          <c:idx val="1"/>
          <c:order val="1"/>
          <c:tx>
            <c:strRef>
              <c:f>C_CZ!$A$284</c:f>
              <c:strCache>
                <c:ptCount val="1"/>
                <c:pt idx="0">
                  <c:v> muži</c:v>
                </c:pt>
              </c:strCache>
            </c:strRef>
          </c:tx>
          <c:spPr>
            <a:solidFill>
              <a:srgbClr val="47E5FF"/>
            </a:solidFill>
          </c:spPr>
          <c:invertIfNegative val="0"/>
          <c:dLbls>
            <c:txPr>
              <a:bodyPr rot="-5400000" vert="horz"/>
              <a:lstStyle/>
              <a:p>
                <a:pPr>
                  <a:defRPr b="1"/>
                </a:pPr>
                <a:endParaRPr lang="cs-CZ"/>
              </a:p>
            </c:txPr>
            <c:dLblPos val="inEnd"/>
            <c:showLegendKey val="0"/>
            <c:showVal val="1"/>
            <c:showCatName val="0"/>
            <c:showSerName val="0"/>
            <c:showPercent val="0"/>
            <c:showBubbleSize val="0"/>
            <c:showLeaderLines val="0"/>
          </c:dLbls>
          <c:cat>
            <c:numRef>
              <c:f>C_CZ!$B$282:$H$282</c:f>
              <c:numCache>
                <c:formatCode>General</c:formatCode>
                <c:ptCount val="7"/>
                <c:pt idx="0">
                  <c:v>2005</c:v>
                </c:pt>
                <c:pt idx="1">
                  <c:v>2007</c:v>
                </c:pt>
                <c:pt idx="2">
                  <c:v>2009</c:v>
                </c:pt>
                <c:pt idx="3">
                  <c:v>2011</c:v>
                </c:pt>
                <c:pt idx="4">
                  <c:v>2013</c:v>
                </c:pt>
                <c:pt idx="5">
                  <c:v>2015</c:v>
                </c:pt>
                <c:pt idx="6">
                  <c:v>2017</c:v>
                </c:pt>
              </c:numCache>
            </c:numRef>
          </c:cat>
          <c:val>
            <c:numRef>
              <c:f>C_CZ!$B$284:$H$284</c:f>
              <c:numCache>
                <c:formatCode>0%</c:formatCode>
                <c:ptCount val="7"/>
                <c:pt idx="0">
                  <c:v>0.117064</c:v>
                </c:pt>
                <c:pt idx="1">
                  <c:v>0.23394699999999999</c:v>
                </c:pt>
                <c:pt idx="2">
                  <c:v>0.31697399999999998</c:v>
                </c:pt>
                <c:pt idx="3">
                  <c:v>0.438278</c:v>
                </c:pt>
                <c:pt idx="4">
                  <c:v>0.471493</c:v>
                </c:pt>
                <c:pt idx="5">
                  <c:v>0.59127764674469296</c:v>
                </c:pt>
                <c:pt idx="6">
                  <c:v>0.64603025520143698</c:v>
                </c:pt>
              </c:numCache>
            </c:numRef>
          </c:val>
        </c:ser>
        <c:ser>
          <c:idx val="2"/>
          <c:order val="2"/>
          <c:tx>
            <c:strRef>
              <c:f>C_CZ!$A$285</c:f>
              <c:strCache>
                <c:ptCount val="1"/>
                <c:pt idx="0">
                  <c:v> ženy</c:v>
                </c:pt>
              </c:strCache>
            </c:strRef>
          </c:tx>
          <c:spPr>
            <a:solidFill>
              <a:srgbClr val="ABF3FF"/>
            </a:solidFill>
          </c:spPr>
          <c:invertIfNegative val="0"/>
          <c:dLbls>
            <c:txPr>
              <a:bodyPr rot="-5400000" vert="horz"/>
              <a:lstStyle/>
              <a:p>
                <a:pPr>
                  <a:defRPr b="1"/>
                </a:pPr>
                <a:endParaRPr lang="cs-CZ"/>
              </a:p>
            </c:txPr>
            <c:dLblPos val="inEnd"/>
            <c:showLegendKey val="0"/>
            <c:showVal val="1"/>
            <c:showCatName val="0"/>
            <c:showSerName val="0"/>
            <c:showPercent val="0"/>
            <c:showBubbleSize val="0"/>
            <c:showLeaderLines val="0"/>
          </c:dLbls>
          <c:cat>
            <c:numRef>
              <c:f>C_CZ!$B$282:$H$282</c:f>
              <c:numCache>
                <c:formatCode>General</c:formatCode>
                <c:ptCount val="7"/>
                <c:pt idx="0">
                  <c:v>2005</c:v>
                </c:pt>
                <c:pt idx="1">
                  <c:v>2007</c:v>
                </c:pt>
                <c:pt idx="2">
                  <c:v>2009</c:v>
                </c:pt>
                <c:pt idx="3">
                  <c:v>2011</c:v>
                </c:pt>
                <c:pt idx="4">
                  <c:v>2013</c:v>
                </c:pt>
                <c:pt idx="5">
                  <c:v>2015</c:v>
                </c:pt>
                <c:pt idx="6">
                  <c:v>2017</c:v>
                </c:pt>
              </c:numCache>
            </c:numRef>
          </c:cat>
          <c:val>
            <c:numRef>
              <c:f>C_CZ!$B$285:$H$285</c:f>
              <c:numCache>
                <c:formatCode>0%</c:formatCode>
                <c:ptCount val="7"/>
                <c:pt idx="0">
                  <c:v>6.1152999999999999E-2</c:v>
                </c:pt>
                <c:pt idx="1">
                  <c:v>0.140095</c:v>
                </c:pt>
                <c:pt idx="2">
                  <c:v>0.22713800000000001</c:v>
                </c:pt>
                <c:pt idx="3">
                  <c:v>0.32753500000000002</c:v>
                </c:pt>
                <c:pt idx="4">
                  <c:v>0.414578</c:v>
                </c:pt>
                <c:pt idx="5">
                  <c:v>0.51971455389244303</c:v>
                </c:pt>
                <c:pt idx="6">
                  <c:v>0.57287838999999996</c:v>
                </c:pt>
              </c:numCache>
            </c:numRef>
          </c:val>
        </c:ser>
        <c:dLbls>
          <c:showLegendKey val="0"/>
          <c:showVal val="0"/>
          <c:showCatName val="0"/>
          <c:showSerName val="0"/>
          <c:showPercent val="0"/>
          <c:showBubbleSize val="0"/>
        </c:dLbls>
        <c:gapWidth val="30"/>
        <c:axId val="194649088"/>
        <c:axId val="194252736"/>
      </c:barChart>
      <c:catAx>
        <c:axId val="194649088"/>
        <c:scaling>
          <c:orientation val="minMax"/>
        </c:scaling>
        <c:delete val="0"/>
        <c:axPos val="b"/>
        <c:numFmt formatCode="General" sourceLinked="1"/>
        <c:majorTickMark val="out"/>
        <c:minorTickMark val="none"/>
        <c:tickLblPos val="nextTo"/>
        <c:spPr>
          <a:ln>
            <a:solidFill>
              <a:schemeClr val="tx1"/>
            </a:solidFill>
          </a:ln>
        </c:spPr>
        <c:crossAx val="194252736"/>
        <c:crosses val="autoZero"/>
        <c:auto val="1"/>
        <c:lblAlgn val="ctr"/>
        <c:lblOffset val="100"/>
        <c:noMultiLvlLbl val="0"/>
      </c:catAx>
      <c:valAx>
        <c:axId val="194252736"/>
        <c:scaling>
          <c:orientation val="minMax"/>
          <c:max val="0.70000000000000051"/>
          <c:min val="0"/>
        </c:scaling>
        <c:delete val="0"/>
        <c:axPos val="l"/>
        <c:numFmt formatCode="0%" sourceLinked="1"/>
        <c:majorTickMark val="none"/>
        <c:minorTickMark val="none"/>
        <c:tickLblPos val="none"/>
        <c:crossAx val="194649088"/>
        <c:crosses val="autoZero"/>
        <c:crossBetween val="between"/>
        <c:majorUnit val="0.1"/>
      </c:valAx>
      <c:spPr>
        <a:ln w="12700">
          <a:solidFill>
            <a:srgbClr val="A6A6A6"/>
          </a:solidFill>
        </a:ln>
      </c:spPr>
    </c:plotArea>
    <c:legend>
      <c:legendPos val="t"/>
      <c:legendEntry>
        <c:idx val="0"/>
        <c:txPr>
          <a:bodyPr/>
          <a:lstStyle/>
          <a:p>
            <a:pPr>
              <a:defRPr b="0"/>
            </a:pPr>
            <a:endParaRPr lang="cs-CZ"/>
          </a:p>
        </c:txPr>
      </c:legendEntry>
      <c:layout>
        <c:manualLayout>
          <c:xMode val="edge"/>
          <c:yMode val="edge"/>
          <c:x val="6.2418650793650804E-2"/>
          <c:y val="0.18526428571428588"/>
          <c:w val="0.50001587301587358"/>
          <c:h val="8.7610714285714139E-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zero"/>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C17 Jednotlivci v Česku  ve věku 55</a:t>
            </a:r>
            <a:r>
              <a:rPr lang="cs-CZ" sz="800" b="1" baseline="0"/>
              <a:t> až </a:t>
            </a:r>
            <a:r>
              <a:rPr lang="cs-CZ" sz="800" b="1"/>
              <a:t>74 let používající internet na mobilu v roce 2017 (%)</a:t>
            </a:r>
            <a:endParaRPr lang="en-US" sz="800" b="1"/>
          </a:p>
        </c:rich>
      </c:tx>
      <c:layout>
        <c:manualLayout>
          <c:xMode val="edge"/>
          <c:yMode val="edge"/>
          <c:x val="0.14716997354497369"/>
          <c:y val="1.1271913580246899E-2"/>
        </c:manualLayout>
      </c:layout>
      <c:overlay val="1"/>
    </c:title>
    <c:autoTitleDeleted val="0"/>
    <c:plotArea>
      <c:layout>
        <c:manualLayout>
          <c:layoutTarget val="inner"/>
          <c:xMode val="edge"/>
          <c:yMode val="edge"/>
          <c:x val="0.25538250319284872"/>
          <c:y val="0.11672027777777783"/>
          <c:w val="0.70836358446130732"/>
          <c:h val="0.7669070987654325"/>
        </c:manualLayout>
      </c:layout>
      <c:barChart>
        <c:barDir val="bar"/>
        <c:grouping val="clustered"/>
        <c:varyColors val="0"/>
        <c:ser>
          <c:idx val="0"/>
          <c:order val="0"/>
          <c:tx>
            <c:strRef>
              <c:f>C_CZ!$B$288</c:f>
              <c:strCache>
                <c:ptCount val="1"/>
                <c:pt idx="0">
                  <c:v> % uživatelů internetu</c:v>
                </c:pt>
              </c:strCache>
            </c:strRef>
          </c:tx>
          <c:spPr>
            <a:solidFill>
              <a:srgbClr val="47E5FF"/>
            </a:solidFill>
          </c:spPr>
          <c:invertIfNegative val="0"/>
          <c:dLbls>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dLbls>
          <c:cat>
            <c:strRef>
              <c:f>C_CZ!$A$289:$A$299</c:f>
              <c:strCache>
                <c:ptCount val="11"/>
                <c:pt idx="0">
                  <c:v>základní 
vzdělání</c:v>
                </c:pt>
                <c:pt idx="1">
                  <c:v>středoškolské 
vzdělání</c:v>
                </c:pt>
                <c:pt idx="2">
                  <c:v>vysokoškolské 
vzdělání</c:v>
                </c:pt>
                <c:pt idx="4">
                  <c:v>  65–74 let</c:v>
                </c:pt>
                <c:pt idx="5">
                  <c:v>  55–64 let</c:v>
                </c:pt>
                <c:pt idx="7">
                  <c:v>ženy</c:v>
                </c:pt>
                <c:pt idx="8">
                  <c:v>muži</c:v>
                </c:pt>
                <c:pt idx="10">
                  <c:v>Celkem</c:v>
                </c:pt>
              </c:strCache>
            </c:strRef>
          </c:cat>
          <c:val>
            <c:numRef>
              <c:f>C_CZ!$B$289:$B$299</c:f>
              <c:numCache>
                <c:formatCode>0%</c:formatCode>
                <c:ptCount val="11"/>
                <c:pt idx="0">
                  <c:v>0.18798385112940802</c:v>
                </c:pt>
                <c:pt idx="1">
                  <c:v>0.26565021999999999</c:v>
                </c:pt>
                <c:pt idx="2">
                  <c:v>0.48444935731190569</c:v>
                </c:pt>
                <c:pt idx="4">
                  <c:v>0.1885417255212159</c:v>
                </c:pt>
                <c:pt idx="5">
                  <c:v>0.37968238743936739</c:v>
                </c:pt>
                <c:pt idx="7">
                  <c:v>0.26419840580669529</c:v>
                </c:pt>
                <c:pt idx="8">
                  <c:v>0.35927392857876256</c:v>
                </c:pt>
                <c:pt idx="10">
                  <c:v>0.31200381203002697</c:v>
                </c:pt>
              </c:numCache>
            </c:numRef>
          </c:val>
        </c:ser>
        <c:ser>
          <c:idx val="1"/>
          <c:order val="1"/>
          <c:tx>
            <c:strRef>
              <c:f>C_CZ!$C$288</c:f>
              <c:strCache>
                <c:ptCount val="1"/>
                <c:pt idx="0">
                  <c:v> % jednotlivců celkem</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C_CZ!$A$289:$A$299</c:f>
              <c:strCache>
                <c:ptCount val="11"/>
                <c:pt idx="0">
                  <c:v>základní 
vzdělání</c:v>
                </c:pt>
                <c:pt idx="1">
                  <c:v>středoškolské 
vzdělání</c:v>
                </c:pt>
                <c:pt idx="2">
                  <c:v>vysokoškolské 
vzdělání</c:v>
                </c:pt>
                <c:pt idx="4">
                  <c:v>  65–74 let</c:v>
                </c:pt>
                <c:pt idx="5">
                  <c:v>  55–64 let</c:v>
                </c:pt>
                <c:pt idx="7">
                  <c:v>ženy</c:v>
                </c:pt>
                <c:pt idx="8">
                  <c:v>muži</c:v>
                </c:pt>
                <c:pt idx="10">
                  <c:v>Celkem</c:v>
                </c:pt>
              </c:strCache>
            </c:strRef>
          </c:cat>
          <c:val>
            <c:numRef>
              <c:f>C_CZ!$C$289:$C$299</c:f>
              <c:numCache>
                <c:formatCode>0%</c:formatCode>
                <c:ptCount val="11"/>
                <c:pt idx="0">
                  <c:v>4.4469927771882384E-2</c:v>
                </c:pt>
                <c:pt idx="1">
                  <c:v>0.15959555</c:v>
                </c:pt>
                <c:pt idx="2">
                  <c:v>0.44772315300872811</c:v>
                </c:pt>
                <c:pt idx="4">
                  <c:v>8.4635215324940741E-2</c:v>
                </c:pt>
                <c:pt idx="5">
                  <c:v>0.28603104880409569</c:v>
                </c:pt>
                <c:pt idx="7">
                  <c:v>0.15135340928863661</c:v>
                </c:pt>
                <c:pt idx="8">
                  <c:v>0.23210185886120191</c:v>
                </c:pt>
                <c:pt idx="10">
                  <c:v>0.18953128897839699</c:v>
                </c:pt>
              </c:numCache>
            </c:numRef>
          </c:val>
        </c:ser>
        <c:dLbls>
          <c:showLegendKey val="0"/>
          <c:showVal val="0"/>
          <c:showCatName val="0"/>
          <c:showSerName val="0"/>
          <c:showPercent val="0"/>
          <c:showBubbleSize val="0"/>
        </c:dLbls>
        <c:gapWidth val="30"/>
        <c:axId val="194646016"/>
        <c:axId val="194253888"/>
      </c:barChart>
      <c:catAx>
        <c:axId val="194646016"/>
        <c:scaling>
          <c:orientation val="minMax"/>
        </c:scaling>
        <c:delete val="0"/>
        <c:axPos val="l"/>
        <c:numFmt formatCode="General" sourceLinked="1"/>
        <c:majorTickMark val="out"/>
        <c:minorTickMark val="none"/>
        <c:tickLblPos val="nextTo"/>
        <c:spPr>
          <a:ln>
            <a:solidFill>
              <a:schemeClr val="tx1"/>
            </a:solidFill>
          </a:ln>
        </c:spPr>
        <c:crossAx val="194253888"/>
        <c:crosses val="autoZero"/>
        <c:auto val="1"/>
        <c:lblAlgn val="ctr"/>
        <c:lblOffset val="100"/>
        <c:noMultiLvlLbl val="0"/>
      </c:catAx>
      <c:valAx>
        <c:axId val="194253888"/>
        <c:scaling>
          <c:orientation val="minMax"/>
          <c:max val="0.60000000000000053"/>
        </c:scaling>
        <c:delete val="0"/>
        <c:axPos val="b"/>
        <c:numFmt formatCode="0%" sourceLinked="1"/>
        <c:majorTickMark val="none"/>
        <c:minorTickMark val="none"/>
        <c:tickLblPos val="none"/>
        <c:crossAx val="194646016"/>
        <c:crosses val="autoZero"/>
        <c:crossBetween val="between"/>
        <c:majorUnit val="5.0000000000000024E-2"/>
        <c:minorUnit val="1.0000000000000005E-2"/>
      </c:valAx>
      <c:spPr>
        <a:ln w="12700">
          <a:solidFill>
            <a:schemeClr val="bg1">
              <a:lumMod val="65000"/>
            </a:schemeClr>
          </a:solidFill>
        </a:ln>
      </c:spPr>
    </c:plotArea>
    <c:legend>
      <c:legendPos val="r"/>
      <c:layout>
        <c:manualLayout>
          <c:xMode val="edge"/>
          <c:yMode val="edge"/>
          <c:x val="0.64130196078431367"/>
          <c:y val="0.1269295138888889"/>
          <c:w val="0.29914575163398693"/>
          <c:h val="0.15918930663468389"/>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C_CZ!$B$310</c:f>
              <c:strCache>
                <c:ptCount val="1"/>
                <c:pt idx="0">
                  <c:v>2017</c:v>
                </c:pt>
              </c:strCache>
            </c:strRef>
          </c:tx>
          <c:spPr>
            <a:solidFill>
              <a:srgbClr val="009BB4"/>
            </a:solidFill>
            <a:ln>
              <a:noFill/>
            </a:ln>
          </c:spPr>
          <c:invertIfNegative val="0"/>
          <c:dPt>
            <c:idx val="8"/>
            <c:invertIfNegative val="0"/>
            <c:bubble3D val="0"/>
            <c:spPr>
              <a:solidFill>
                <a:srgbClr val="009BB4"/>
              </a:solidFill>
              <a:ln w="19050">
                <a:noFill/>
              </a:ln>
            </c:spPr>
          </c:dPt>
          <c:dPt>
            <c:idx val="12"/>
            <c:invertIfNegative val="0"/>
            <c:bubble3D val="0"/>
            <c:spPr>
              <a:solidFill>
                <a:srgbClr val="009BB4"/>
              </a:solidFill>
              <a:ln>
                <a:solidFill>
                  <a:srgbClr val="FF0000"/>
                </a:solidFill>
              </a:ln>
            </c:spPr>
          </c:dPt>
          <c:dPt>
            <c:idx val="13"/>
            <c:invertIfNegative val="0"/>
            <c:bubble3D val="0"/>
            <c:spPr>
              <a:solidFill>
                <a:srgbClr val="009BB4"/>
              </a:solidFill>
              <a:ln w="19050">
                <a:noFill/>
              </a:ln>
            </c:spPr>
          </c:dPt>
          <c:dPt>
            <c:idx val="16"/>
            <c:invertIfNegative val="0"/>
            <c:bubble3D val="0"/>
            <c:spPr>
              <a:solidFill>
                <a:srgbClr val="009BB4"/>
              </a:solidFill>
              <a:ln w="19050">
                <a:noFill/>
              </a:ln>
            </c:spPr>
          </c:dPt>
          <c:dPt>
            <c:idx val="20"/>
            <c:invertIfNegative val="0"/>
            <c:bubble3D val="0"/>
            <c:spPr>
              <a:solidFill>
                <a:srgbClr val="009BB4"/>
              </a:solidFill>
              <a:ln>
                <a:solidFill>
                  <a:srgbClr val="FF0000"/>
                </a:solidFill>
              </a:ln>
            </c:spPr>
          </c:dPt>
          <c:dLbls>
            <c:dLbl>
              <c:idx val="20"/>
              <c:layout>
                <c:manualLayout>
                  <c:x val="0"/>
                  <c:y val="-3.8611111111111112E-3"/>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21"/>
              <c:layout>
                <c:manualLayout>
                  <c:x val="-1.4979413650759223E-16"/>
                  <c:y val="3.978395061728395E-3"/>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22"/>
              <c:layout>
                <c:manualLayout>
                  <c:x val="0"/>
                  <c:y val="5.8641975308641977E-5"/>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23"/>
              <c:layout>
                <c:manualLayout>
                  <c:x val="0"/>
                  <c:y val="3.978395061728395E-3"/>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24"/>
              <c:layout>
                <c:manualLayout>
                  <c:x val="0"/>
                  <c:y val="3.978395061728467E-3"/>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25"/>
              <c:layout>
                <c:manualLayout>
                  <c:x val="0"/>
                  <c:y val="5.8641975308641977E-5"/>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26"/>
              <c:layout>
                <c:manualLayout>
                  <c:x val="0"/>
                  <c:y val="-2.6657407407408126E-3"/>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27"/>
              <c:layout>
                <c:manualLayout>
                  <c:x val="0"/>
                  <c:y val="-4.1882716049382714E-4"/>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28"/>
              <c:layout>
                <c:manualLayout>
                  <c:x val="0"/>
                  <c:y val="-9.3580246913580248E-4"/>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C_CZ!$A$311:$A$339</c:f>
              <c:strCache>
                <c:ptCount val="29"/>
                <c:pt idx="0">
                  <c:v>Švédsko</c:v>
                </c:pt>
                <c:pt idx="1">
                  <c:v>Nizozemsko</c:v>
                </c:pt>
                <c:pt idx="2">
                  <c:v>Lucembursko</c:v>
                </c:pt>
                <c:pt idx="3">
                  <c:v>Dánsko</c:v>
                </c:pt>
                <c:pt idx="4">
                  <c:v>Velká Británie</c:v>
                </c:pt>
                <c:pt idx="5">
                  <c:v>Finsko</c:v>
                </c:pt>
                <c:pt idx="6">
                  <c:v>Španělsko</c:v>
                </c:pt>
                <c:pt idx="7">
                  <c:v>Německo</c:v>
                </c:pt>
                <c:pt idx="8">
                  <c:v>Irsko</c:v>
                </c:pt>
                <c:pt idx="9">
                  <c:v>Belgie</c:v>
                </c:pt>
                <c:pt idx="10">
                  <c:v>Rakousko</c:v>
                </c:pt>
                <c:pt idx="11">
                  <c:v>Francie</c:v>
                </c:pt>
                <c:pt idx="12">
                  <c:v>EU28</c:v>
                </c:pt>
                <c:pt idx="13">
                  <c:v>Kypr</c:v>
                </c:pt>
                <c:pt idx="14">
                  <c:v>Malta</c:v>
                </c:pt>
                <c:pt idx="15">
                  <c:v>Estonsko</c:v>
                </c:pt>
                <c:pt idx="16">
                  <c:v>Slovinsko</c:v>
                </c:pt>
                <c:pt idx="17">
                  <c:v>Portugalsko</c:v>
                </c:pt>
                <c:pt idx="18">
                  <c:v>Maďarsko</c:v>
                </c:pt>
                <c:pt idx="19">
                  <c:v>Slovensko</c:v>
                </c:pt>
                <c:pt idx="20">
                  <c:v>Česko</c:v>
                </c:pt>
                <c:pt idx="21">
                  <c:v>Chorvatsko</c:v>
                </c:pt>
                <c:pt idx="22">
                  <c:v>Bulharsko</c:v>
                </c:pt>
                <c:pt idx="23">
                  <c:v>Rumunsko</c:v>
                </c:pt>
                <c:pt idx="24">
                  <c:v>Lotyšsko</c:v>
                </c:pt>
                <c:pt idx="25">
                  <c:v>Litva</c:v>
                </c:pt>
                <c:pt idx="26">
                  <c:v>Řecko</c:v>
                </c:pt>
                <c:pt idx="27">
                  <c:v>Itálie</c:v>
                </c:pt>
                <c:pt idx="28">
                  <c:v>Polsko</c:v>
                </c:pt>
              </c:strCache>
            </c:strRef>
          </c:cat>
          <c:val>
            <c:numRef>
              <c:f>C_CZ!$B$311:$B$339</c:f>
              <c:numCache>
                <c:formatCode>0%</c:formatCode>
                <c:ptCount val="29"/>
                <c:pt idx="0">
                  <c:v>0.67392600000000003</c:v>
                </c:pt>
                <c:pt idx="1">
                  <c:v>0.65753799999999996</c:v>
                </c:pt>
                <c:pt idx="2">
                  <c:v>0.59138599999999997</c:v>
                </c:pt>
                <c:pt idx="3">
                  <c:v>0.58766099999999999</c:v>
                </c:pt>
                <c:pt idx="4">
                  <c:v>0.51002700000000001</c:v>
                </c:pt>
                <c:pt idx="5">
                  <c:v>0.47147699999999998</c:v>
                </c:pt>
                <c:pt idx="6">
                  <c:v>0.46903699999999998</c:v>
                </c:pt>
                <c:pt idx="7">
                  <c:v>0.44426900000000002</c:v>
                </c:pt>
                <c:pt idx="8">
                  <c:v>0.41690399999999994</c:v>
                </c:pt>
                <c:pt idx="9">
                  <c:v>0.406364</c:v>
                </c:pt>
                <c:pt idx="10">
                  <c:v>0.40046199999999998</c:v>
                </c:pt>
                <c:pt idx="11">
                  <c:v>0.34991</c:v>
                </c:pt>
                <c:pt idx="12">
                  <c:v>0.34129100000000001</c:v>
                </c:pt>
                <c:pt idx="13">
                  <c:v>0.29999900000000002</c:v>
                </c:pt>
                <c:pt idx="14">
                  <c:v>0.28077400000000002</c:v>
                </c:pt>
                <c:pt idx="15">
                  <c:v>0.255722</c:v>
                </c:pt>
                <c:pt idx="16">
                  <c:v>0.23436499999999999</c:v>
                </c:pt>
                <c:pt idx="17">
                  <c:v>0.21996399999999997</c:v>
                </c:pt>
                <c:pt idx="18">
                  <c:v>0.217612</c:v>
                </c:pt>
                <c:pt idx="19">
                  <c:v>0.21441399999999999</c:v>
                </c:pt>
                <c:pt idx="20">
                  <c:v>0.18953100000000001</c:v>
                </c:pt>
                <c:pt idx="21">
                  <c:v>0.18450500000000003</c:v>
                </c:pt>
                <c:pt idx="22">
                  <c:v>0.17663799999999999</c:v>
                </c:pt>
                <c:pt idx="23">
                  <c:v>0.16742899999999999</c:v>
                </c:pt>
                <c:pt idx="24">
                  <c:v>0.16256899999999999</c:v>
                </c:pt>
                <c:pt idx="25">
                  <c:v>0.15603400000000001</c:v>
                </c:pt>
                <c:pt idx="26">
                  <c:v>0.13658699999999999</c:v>
                </c:pt>
                <c:pt idx="27">
                  <c:v>0.10842499999999999</c:v>
                </c:pt>
                <c:pt idx="28">
                  <c:v>9.2172000000000004E-2</c:v>
                </c:pt>
              </c:numCache>
            </c:numRef>
          </c:val>
        </c:ser>
        <c:dLbls>
          <c:showLegendKey val="0"/>
          <c:showVal val="0"/>
          <c:showCatName val="0"/>
          <c:showSerName val="0"/>
          <c:showPercent val="0"/>
          <c:showBubbleSize val="0"/>
        </c:dLbls>
        <c:gapWidth val="50"/>
        <c:axId val="196088320"/>
        <c:axId val="194255616"/>
      </c:barChart>
      <c:barChart>
        <c:barDir val="col"/>
        <c:grouping val="clustered"/>
        <c:varyColors val="0"/>
        <c:ser>
          <c:idx val="1"/>
          <c:order val="1"/>
          <c:tx>
            <c:strRef>
              <c:f>C_CZ!$C$310</c:f>
              <c:strCache>
                <c:ptCount val="1"/>
                <c:pt idx="0">
                  <c:v>2012</c:v>
                </c:pt>
              </c:strCache>
            </c:strRef>
          </c:tx>
          <c:spPr>
            <a:solidFill>
              <a:srgbClr val="47E5FF"/>
            </a:solidFill>
          </c:spPr>
          <c:invertIfNegative val="0"/>
          <c:dLbls>
            <c:dLbl>
              <c:idx val="27"/>
              <c:layout>
                <c:manualLayout>
                  <c:x val="0"/>
                  <c:y val="2.2971604938271606E-2"/>
                </c:manualLayout>
              </c:layout>
              <c:dLblPos val="outEnd"/>
              <c:showLegendKey val="0"/>
              <c:showVal val="1"/>
              <c:showCatName val="0"/>
              <c:showSerName val="0"/>
              <c:showPercent val="0"/>
              <c:showBubbleSize val="0"/>
            </c:dLbl>
            <c:dLbl>
              <c:idx val="28"/>
              <c:layout>
                <c:manualLayout>
                  <c:x val="-2.0426709128487219E-3"/>
                  <c:y val="2.2793518518518446E-2"/>
                </c:manualLayout>
              </c:layout>
              <c:dLblPos val="outEnd"/>
              <c:showLegendKey val="0"/>
              <c:showVal val="1"/>
              <c:showCatName val="0"/>
              <c:showSerName val="0"/>
              <c:showPercent val="0"/>
              <c:showBubbleSize val="0"/>
            </c:dLbl>
            <c:txPr>
              <a:bodyPr rot="-5400000" vert="horz"/>
              <a:lstStyle/>
              <a:p>
                <a:pPr>
                  <a:defRPr b="1"/>
                </a:pPr>
                <a:endParaRPr lang="cs-CZ"/>
              </a:p>
            </c:txPr>
            <c:dLblPos val="inBase"/>
            <c:showLegendKey val="0"/>
            <c:showVal val="1"/>
            <c:showCatName val="0"/>
            <c:showSerName val="0"/>
            <c:showPercent val="0"/>
            <c:showBubbleSize val="0"/>
            <c:showLeaderLines val="0"/>
          </c:dLbls>
          <c:cat>
            <c:strRef>
              <c:f>C_CZ!$A$311:$A$339</c:f>
              <c:strCache>
                <c:ptCount val="29"/>
                <c:pt idx="0">
                  <c:v>Švédsko</c:v>
                </c:pt>
                <c:pt idx="1">
                  <c:v>Nizozemsko</c:v>
                </c:pt>
                <c:pt idx="2">
                  <c:v>Lucembursko</c:v>
                </c:pt>
                <c:pt idx="3">
                  <c:v>Dánsko</c:v>
                </c:pt>
                <c:pt idx="4">
                  <c:v>Velká Británie</c:v>
                </c:pt>
                <c:pt idx="5">
                  <c:v>Finsko</c:v>
                </c:pt>
                <c:pt idx="6">
                  <c:v>Španělsko</c:v>
                </c:pt>
                <c:pt idx="7">
                  <c:v>Německo</c:v>
                </c:pt>
                <c:pt idx="8">
                  <c:v>Irsko</c:v>
                </c:pt>
                <c:pt idx="9">
                  <c:v>Belgie</c:v>
                </c:pt>
                <c:pt idx="10">
                  <c:v>Rakousko</c:v>
                </c:pt>
                <c:pt idx="11">
                  <c:v>Francie</c:v>
                </c:pt>
                <c:pt idx="12">
                  <c:v>EU28</c:v>
                </c:pt>
                <c:pt idx="13">
                  <c:v>Kypr</c:v>
                </c:pt>
                <c:pt idx="14">
                  <c:v>Malta</c:v>
                </c:pt>
                <c:pt idx="15">
                  <c:v>Estonsko</c:v>
                </c:pt>
                <c:pt idx="16">
                  <c:v>Slovinsko</c:v>
                </c:pt>
                <c:pt idx="17">
                  <c:v>Portugalsko</c:v>
                </c:pt>
                <c:pt idx="18">
                  <c:v>Maďarsko</c:v>
                </c:pt>
                <c:pt idx="19">
                  <c:v>Slovensko</c:v>
                </c:pt>
                <c:pt idx="20">
                  <c:v>Česko</c:v>
                </c:pt>
                <c:pt idx="21">
                  <c:v>Chorvatsko</c:v>
                </c:pt>
                <c:pt idx="22">
                  <c:v>Bulharsko</c:v>
                </c:pt>
                <c:pt idx="23">
                  <c:v>Rumunsko</c:v>
                </c:pt>
                <c:pt idx="24">
                  <c:v>Lotyšsko</c:v>
                </c:pt>
                <c:pt idx="25">
                  <c:v>Litva</c:v>
                </c:pt>
                <c:pt idx="26">
                  <c:v>Řecko</c:v>
                </c:pt>
                <c:pt idx="27">
                  <c:v>Itálie</c:v>
                </c:pt>
                <c:pt idx="28">
                  <c:v>Polsko</c:v>
                </c:pt>
              </c:strCache>
            </c:strRef>
          </c:cat>
          <c:val>
            <c:numRef>
              <c:f>C_CZ!$C$311:$C$339</c:f>
              <c:numCache>
                <c:formatCode>0%</c:formatCode>
                <c:ptCount val="29"/>
                <c:pt idx="0">
                  <c:v>0.26177699999999998</c:v>
                </c:pt>
                <c:pt idx="1">
                  <c:v>0.13592299999999999</c:v>
                </c:pt>
                <c:pt idx="2">
                  <c:v>0.19334200000000001</c:v>
                </c:pt>
                <c:pt idx="3">
                  <c:v>0.23276599999999997</c:v>
                </c:pt>
                <c:pt idx="4">
                  <c:v>0.212836</c:v>
                </c:pt>
                <c:pt idx="5">
                  <c:v>0.15726899999999999</c:v>
                </c:pt>
                <c:pt idx="6">
                  <c:v>5.9554000000000003E-2</c:v>
                </c:pt>
                <c:pt idx="7">
                  <c:v>5.7610999999999996E-2</c:v>
                </c:pt>
                <c:pt idx="8">
                  <c:v>6.9116999999999998E-2</c:v>
                </c:pt>
                <c:pt idx="9">
                  <c:v>0.104144</c:v>
                </c:pt>
                <c:pt idx="10">
                  <c:v>0.103104</c:v>
                </c:pt>
                <c:pt idx="11">
                  <c:v>9.4175999999999996E-2</c:v>
                </c:pt>
                <c:pt idx="12">
                  <c:v>7.8127000000000002E-2</c:v>
                </c:pt>
                <c:pt idx="13">
                  <c:v>2.9853999999999999E-2</c:v>
                </c:pt>
                <c:pt idx="14">
                  <c:v>5.2233999999999996E-2</c:v>
                </c:pt>
                <c:pt idx="15">
                  <c:v>1.3656E-2</c:v>
                </c:pt>
                <c:pt idx="16">
                  <c:v>2.5537000000000001E-2</c:v>
                </c:pt>
                <c:pt idx="17">
                  <c:v>1.6920000000000001E-2</c:v>
                </c:pt>
                <c:pt idx="18">
                  <c:v>2.4427999999999995E-2</c:v>
                </c:pt>
                <c:pt idx="19">
                  <c:v>5.2774000000000001E-2</c:v>
                </c:pt>
                <c:pt idx="20">
                  <c:v>2.0730655143861795E-2</c:v>
                </c:pt>
                <c:pt idx="21">
                  <c:v>2.8305000000000004E-2</c:v>
                </c:pt>
                <c:pt idx="22">
                  <c:v>1.0337000000000001E-2</c:v>
                </c:pt>
                <c:pt idx="23">
                  <c:v>4.5900000000000003E-3</c:v>
                </c:pt>
                <c:pt idx="24">
                  <c:v>1.8848E-2</c:v>
                </c:pt>
                <c:pt idx="25">
                  <c:v>5.4039999999999999E-3</c:v>
                </c:pt>
                <c:pt idx="26">
                  <c:v>1.3753999999999999E-2</c:v>
                </c:pt>
                <c:pt idx="27">
                  <c:v>2.5224000000000003E-2</c:v>
                </c:pt>
                <c:pt idx="28">
                  <c:v>1.9798E-2</c:v>
                </c:pt>
              </c:numCache>
            </c:numRef>
          </c:val>
        </c:ser>
        <c:dLbls>
          <c:showLegendKey val="0"/>
          <c:showVal val="0"/>
          <c:showCatName val="0"/>
          <c:showSerName val="0"/>
          <c:showPercent val="0"/>
          <c:showBubbleSize val="0"/>
        </c:dLbls>
        <c:gapWidth val="200"/>
        <c:axId val="195760128"/>
        <c:axId val="194256192"/>
      </c:barChart>
      <c:catAx>
        <c:axId val="196088320"/>
        <c:scaling>
          <c:orientation val="minMax"/>
        </c:scaling>
        <c:delete val="0"/>
        <c:axPos val="b"/>
        <c:majorTickMark val="out"/>
        <c:minorTickMark val="none"/>
        <c:tickLblPos val="nextTo"/>
        <c:spPr>
          <a:ln>
            <a:solidFill>
              <a:schemeClr val="tx1"/>
            </a:solidFill>
          </a:ln>
        </c:spPr>
        <c:crossAx val="194255616"/>
        <c:crosses val="autoZero"/>
        <c:auto val="1"/>
        <c:lblAlgn val="ctr"/>
        <c:lblOffset val="100"/>
        <c:noMultiLvlLbl val="0"/>
      </c:catAx>
      <c:valAx>
        <c:axId val="194255616"/>
        <c:scaling>
          <c:orientation val="minMax"/>
          <c:max val="0.8"/>
          <c:min val="0"/>
        </c:scaling>
        <c:delete val="1"/>
        <c:axPos val="l"/>
        <c:numFmt formatCode="0%" sourceLinked="1"/>
        <c:majorTickMark val="out"/>
        <c:minorTickMark val="none"/>
        <c:tickLblPos val="nextTo"/>
        <c:crossAx val="196088320"/>
        <c:crosses val="autoZero"/>
        <c:crossBetween val="between"/>
        <c:majorUnit val="0.1"/>
        <c:minorUnit val="5.0000000000000024E-2"/>
      </c:valAx>
      <c:valAx>
        <c:axId val="194256192"/>
        <c:scaling>
          <c:orientation val="minMax"/>
          <c:max val="0.8"/>
        </c:scaling>
        <c:delete val="0"/>
        <c:axPos val="r"/>
        <c:numFmt formatCode="0%" sourceLinked="1"/>
        <c:majorTickMark val="none"/>
        <c:minorTickMark val="none"/>
        <c:tickLblPos val="none"/>
        <c:crossAx val="195760128"/>
        <c:crosses val="max"/>
        <c:crossBetween val="between"/>
      </c:valAx>
      <c:catAx>
        <c:axId val="195760128"/>
        <c:scaling>
          <c:orientation val="minMax"/>
        </c:scaling>
        <c:delete val="1"/>
        <c:axPos val="b"/>
        <c:majorTickMark val="out"/>
        <c:minorTickMark val="none"/>
        <c:tickLblPos val="none"/>
        <c:crossAx val="194256192"/>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8955986071236137"/>
          <c:y val="0.13253055555555557"/>
          <c:w val="6.9586721030664239E-2"/>
          <c:h val="0.1163820987654321"/>
        </c:manualLayout>
      </c:layout>
      <c:overlay val="0"/>
      <c:spPr>
        <a:ln>
          <a:solidFill>
            <a:schemeClr val="bg1">
              <a:lumMod val="50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i="0" baseline="0">
                <a:effectLst/>
              </a:rPr>
              <a:t>Graf C19 Jednotlivci v Česku ve věku 16 let </a:t>
            </a: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i="0" baseline="0">
                <a:effectLst/>
              </a:rPr>
              <a:t>a starší používající na internetu sociální sítě</a:t>
            </a:r>
            <a:endParaRPr lang="en-US" sz="800" b="1"/>
          </a:p>
        </c:rich>
      </c:tx>
      <c:layout>
        <c:manualLayout>
          <c:xMode val="edge"/>
          <c:yMode val="edge"/>
          <c:x val="0.13270223577235787"/>
          <c:y val="1.8814814814814822E-2"/>
        </c:manualLayout>
      </c:layout>
      <c:overlay val="1"/>
    </c:title>
    <c:autoTitleDeleted val="0"/>
    <c:plotArea>
      <c:layout>
        <c:manualLayout>
          <c:layoutTarget val="inner"/>
          <c:xMode val="edge"/>
          <c:yMode val="edge"/>
          <c:x val="1.3813516798106587E-2"/>
          <c:y val="0.12904148148148176"/>
          <c:w val="0.96948369216085761"/>
          <c:h val="0.7040259259259255"/>
        </c:manualLayout>
      </c:layout>
      <c:barChart>
        <c:barDir val="col"/>
        <c:grouping val="clustered"/>
        <c:varyColors val="0"/>
        <c:ser>
          <c:idx val="2"/>
          <c:order val="0"/>
          <c:tx>
            <c:strRef>
              <c:f>C_CZ!$A$344</c:f>
              <c:strCache>
                <c:ptCount val="1"/>
                <c:pt idx="0">
                  <c:v> miliony jednotlivců</c:v>
                </c:pt>
              </c:strCache>
            </c:strRef>
          </c:tx>
          <c:spPr>
            <a:solidFill>
              <a:srgbClr val="009BB4"/>
            </a:solidFill>
            <a:ln w="25400">
              <a:noFill/>
            </a:ln>
          </c:spPr>
          <c:invertIfNegative val="0"/>
          <c:dLbls>
            <c:dLbl>
              <c:idx val="0"/>
              <c:layout>
                <c:manualLayout>
                  <c:x val="0"/>
                  <c:y val="5.827254428341385E-2"/>
                </c:manualLayout>
              </c:layout>
              <c:dLblPos val="outEnd"/>
              <c:showLegendKey val="0"/>
              <c:showVal val="1"/>
              <c:showCatName val="0"/>
              <c:showSerName val="0"/>
              <c:showPercent val="0"/>
              <c:showBubbleSize val="0"/>
            </c:dLbl>
            <c:numFmt formatCode="#,##0.0" sourceLinked="0"/>
            <c:txPr>
              <a:bodyPr/>
              <a:lstStyle/>
              <a:p>
                <a:pPr>
                  <a:defRPr b="1">
                    <a:solidFill>
                      <a:schemeClr val="bg1"/>
                    </a:solidFill>
                  </a:defRPr>
                </a:pPr>
                <a:endParaRPr lang="cs-CZ"/>
              </a:p>
            </c:txPr>
            <c:dLblPos val="inEnd"/>
            <c:showLegendKey val="0"/>
            <c:showVal val="1"/>
            <c:showCatName val="0"/>
            <c:showSerName val="0"/>
            <c:showPercent val="0"/>
            <c:showBubbleSize val="0"/>
            <c:showLeaderLines val="0"/>
          </c:dLbls>
          <c:cat>
            <c:numRef>
              <c:f>C_CZ!$B$343:$I$343</c:f>
              <c:numCache>
                <c:formatCode>0</c:formatCode>
                <c:ptCount val="8"/>
                <c:pt idx="0">
                  <c:v>2010</c:v>
                </c:pt>
                <c:pt idx="1">
                  <c:v>2011</c:v>
                </c:pt>
                <c:pt idx="2">
                  <c:v>2012</c:v>
                </c:pt>
                <c:pt idx="3">
                  <c:v>2013</c:v>
                </c:pt>
                <c:pt idx="4">
                  <c:v>2014</c:v>
                </c:pt>
                <c:pt idx="5">
                  <c:v>2015</c:v>
                </c:pt>
                <c:pt idx="6">
                  <c:v>2016</c:v>
                </c:pt>
                <c:pt idx="7">
                  <c:v>2017</c:v>
                </c:pt>
              </c:numCache>
            </c:numRef>
          </c:cat>
          <c:val>
            <c:numRef>
              <c:f>C_CZ!$B$344:$I$344</c:f>
              <c:numCache>
                <c:formatCode>#,##0.0</c:formatCode>
                <c:ptCount val="8"/>
                <c:pt idx="0">
                  <c:v>0.82418679790189886</c:v>
                </c:pt>
                <c:pt idx="1">
                  <c:v>2.1766700000000001</c:v>
                </c:pt>
                <c:pt idx="2">
                  <c:v>2.7480815836660719</c:v>
                </c:pt>
                <c:pt idx="3">
                  <c:v>3.04121636</c:v>
                </c:pt>
                <c:pt idx="4">
                  <c:v>3.2300959999999996</c:v>
                </c:pt>
                <c:pt idx="5" formatCode="0.0">
                  <c:v>3.2846060000000001</c:v>
                </c:pt>
                <c:pt idx="6">
                  <c:v>3.6295000000000002</c:v>
                </c:pt>
                <c:pt idx="7">
                  <c:v>3.8714407884712099</c:v>
                </c:pt>
              </c:numCache>
            </c:numRef>
          </c:val>
        </c:ser>
        <c:dLbls>
          <c:showLegendKey val="0"/>
          <c:showVal val="0"/>
          <c:showCatName val="0"/>
          <c:showSerName val="0"/>
          <c:showPercent val="0"/>
          <c:showBubbleSize val="0"/>
        </c:dLbls>
        <c:gapWidth val="50"/>
        <c:axId val="195762688"/>
        <c:axId val="194479808"/>
      </c:barChart>
      <c:lineChart>
        <c:grouping val="standard"/>
        <c:varyColors val="0"/>
        <c:ser>
          <c:idx val="0"/>
          <c:order val="1"/>
          <c:tx>
            <c:strRef>
              <c:f>C_CZ!$A$345</c:f>
              <c:strCache>
                <c:ptCount val="1"/>
                <c:pt idx="0">
                  <c:v> % jednotlivců celkem</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5.6513347763347772E-2"/>
                  <c:y val="-5.9531652639917193E-2"/>
                </c:manualLayout>
              </c:layout>
              <c:dLblPos val="r"/>
              <c:showLegendKey val="0"/>
              <c:showVal val="1"/>
              <c:showCatName val="0"/>
              <c:showSerName val="0"/>
              <c:showPercent val="0"/>
              <c:showBubbleSize val="0"/>
            </c:dLbl>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C_CZ!$B$343:$I$343</c:f>
              <c:numCache>
                <c:formatCode>0</c:formatCode>
                <c:ptCount val="8"/>
                <c:pt idx="0">
                  <c:v>2010</c:v>
                </c:pt>
                <c:pt idx="1">
                  <c:v>2011</c:v>
                </c:pt>
                <c:pt idx="2">
                  <c:v>2012</c:v>
                </c:pt>
                <c:pt idx="3">
                  <c:v>2013</c:v>
                </c:pt>
                <c:pt idx="4">
                  <c:v>2014</c:v>
                </c:pt>
                <c:pt idx="5">
                  <c:v>2015</c:v>
                </c:pt>
                <c:pt idx="6">
                  <c:v>2016</c:v>
                </c:pt>
                <c:pt idx="7">
                  <c:v>2017</c:v>
                </c:pt>
              </c:numCache>
            </c:numRef>
          </c:cat>
          <c:val>
            <c:numRef>
              <c:f>C_CZ!$B$345:$I$345</c:f>
              <c:numCache>
                <c:formatCode>0.0%</c:formatCode>
                <c:ptCount val="8"/>
                <c:pt idx="0">
                  <c:v>9.3358070397758564E-2</c:v>
                </c:pt>
                <c:pt idx="1">
                  <c:v>0.24649841608967063</c:v>
                </c:pt>
                <c:pt idx="2">
                  <c:v>0.30965717849843943</c:v>
                </c:pt>
                <c:pt idx="3">
                  <c:v>0.34299999999999997</c:v>
                </c:pt>
                <c:pt idx="4">
                  <c:v>0.3688396193688257</c:v>
                </c:pt>
                <c:pt idx="5">
                  <c:v>0.37439757219929276</c:v>
                </c:pt>
                <c:pt idx="6">
                  <c:v>0.41399999999999998</c:v>
                </c:pt>
                <c:pt idx="7">
                  <c:v>0.44221274356645401</c:v>
                </c:pt>
              </c:numCache>
            </c:numRef>
          </c:val>
          <c:smooth val="0"/>
        </c:ser>
        <c:ser>
          <c:idx val="1"/>
          <c:order val="2"/>
          <c:tx>
            <c:strRef>
              <c:f>C_CZ!$A$346</c:f>
              <c:strCache>
                <c:ptCount val="1"/>
                <c:pt idx="0">
                  <c:v>  % uživatelů internetu</c:v>
                </c:pt>
              </c:strCache>
            </c:strRef>
          </c:tx>
          <c:spPr>
            <a:ln w="19050">
              <a:solidFill>
                <a:srgbClr val="007D92"/>
              </a:solidFill>
            </a:ln>
          </c:spPr>
          <c:marker>
            <c:symbol val="circle"/>
            <c:size val="4"/>
            <c:spPr>
              <a:solidFill>
                <a:srgbClr val="47E5FF"/>
              </a:solidFill>
              <a:ln>
                <a:solidFill>
                  <a:srgbClr val="007D92"/>
                </a:solidFill>
              </a:ln>
            </c:spPr>
          </c:marker>
          <c:dLbls>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C_CZ!$B$343:$I$343</c:f>
              <c:numCache>
                <c:formatCode>0</c:formatCode>
                <c:ptCount val="8"/>
                <c:pt idx="0">
                  <c:v>2010</c:v>
                </c:pt>
                <c:pt idx="1">
                  <c:v>2011</c:v>
                </c:pt>
                <c:pt idx="2">
                  <c:v>2012</c:v>
                </c:pt>
                <c:pt idx="3">
                  <c:v>2013</c:v>
                </c:pt>
                <c:pt idx="4">
                  <c:v>2014</c:v>
                </c:pt>
                <c:pt idx="5">
                  <c:v>2015</c:v>
                </c:pt>
                <c:pt idx="6">
                  <c:v>2016</c:v>
                </c:pt>
                <c:pt idx="7">
                  <c:v>2017</c:v>
                </c:pt>
              </c:numCache>
            </c:numRef>
          </c:cat>
          <c:val>
            <c:numRef>
              <c:f>C_CZ!$B$346:$I$346</c:f>
              <c:numCache>
                <c:formatCode>0.0%</c:formatCode>
                <c:ptCount val="8"/>
                <c:pt idx="0">
                  <c:v>0.15099764458311046</c:v>
                </c:pt>
                <c:pt idx="1">
                  <c:v>0.37659894989609521</c:v>
                </c:pt>
                <c:pt idx="2">
                  <c:v>0.44555423440687447</c:v>
                </c:pt>
                <c:pt idx="3">
                  <c:v>0.50288665009127265</c:v>
                </c:pt>
                <c:pt idx="4">
                  <c:v>0.49687608063489946</c:v>
                </c:pt>
                <c:pt idx="5">
                  <c:v>0.49478448157689636</c:v>
                </c:pt>
                <c:pt idx="6">
                  <c:v>0.54132860040567954</c:v>
                </c:pt>
                <c:pt idx="7">
                  <c:v>0.56175994857746081</c:v>
                </c:pt>
              </c:numCache>
            </c:numRef>
          </c:val>
          <c:smooth val="0"/>
        </c:ser>
        <c:dLbls>
          <c:showLegendKey val="0"/>
          <c:showVal val="0"/>
          <c:showCatName val="0"/>
          <c:showSerName val="0"/>
          <c:showPercent val="0"/>
          <c:showBubbleSize val="0"/>
        </c:dLbls>
        <c:marker val="1"/>
        <c:smooth val="0"/>
        <c:axId val="195763200"/>
        <c:axId val="194480384"/>
      </c:lineChart>
      <c:catAx>
        <c:axId val="195762688"/>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cs-CZ"/>
          </a:p>
        </c:txPr>
        <c:crossAx val="194479808"/>
        <c:crosses val="autoZero"/>
        <c:auto val="1"/>
        <c:lblAlgn val="ctr"/>
        <c:lblOffset val="140"/>
        <c:tickLblSkip val="1"/>
        <c:tickMarkSkip val="1"/>
        <c:noMultiLvlLbl val="0"/>
      </c:catAx>
      <c:valAx>
        <c:axId val="194479808"/>
        <c:scaling>
          <c:orientation val="minMax"/>
          <c:max val="7"/>
          <c:min val="0"/>
        </c:scaling>
        <c:delete val="0"/>
        <c:axPos val="l"/>
        <c:majorGridlines>
          <c:spPr>
            <a:ln w="12700">
              <a:noFill/>
              <a:prstDash val="dash"/>
            </a:ln>
          </c:spPr>
        </c:majorGridlines>
        <c:numFmt formatCode="#,##0.0" sourceLinked="1"/>
        <c:majorTickMark val="none"/>
        <c:minorTickMark val="none"/>
        <c:tickLblPos val="none"/>
        <c:spPr>
          <a:ln w="9525">
            <a:noFill/>
          </a:ln>
        </c:spPr>
        <c:crossAx val="195762688"/>
        <c:crosses val="autoZero"/>
        <c:crossBetween val="between"/>
        <c:majorUnit val="1"/>
        <c:minorUnit val="2.0000000000000011E-2"/>
      </c:valAx>
      <c:catAx>
        <c:axId val="195763200"/>
        <c:scaling>
          <c:orientation val="minMax"/>
        </c:scaling>
        <c:delete val="1"/>
        <c:axPos val="b"/>
        <c:numFmt formatCode="0" sourceLinked="1"/>
        <c:majorTickMark val="out"/>
        <c:minorTickMark val="none"/>
        <c:tickLblPos val="none"/>
        <c:crossAx val="194480384"/>
        <c:crosses val="autoZero"/>
        <c:auto val="1"/>
        <c:lblAlgn val="ctr"/>
        <c:lblOffset val="100"/>
        <c:noMultiLvlLbl val="0"/>
      </c:catAx>
      <c:valAx>
        <c:axId val="194480384"/>
        <c:scaling>
          <c:orientation val="minMax"/>
          <c:max val="0.75000000000000056"/>
          <c:min val="0"/>
        </c:scaling>
        <c:delete val="0"/>
        <c:axPos val="r"/>
        <c:numFmt formatCode="0.0%" sourceLinked="1"/>
        <c:majorTickMark val="none"/>
        <c:minorTickMark val="none"/>
        <c:tickLblPos val="none"/>
        <c:spPr>
          <a:ln>
            <a:solidFill>
              <a:schemeClr val="bg1">
                <a:lumMod val="65000"/>
              </a:schemeClr>
            </a:solidFill>
          </a:ln>
        </c:spPr>
        <c:crossAx val="195763200"/>
        <c:crosses val="max"/>
        <c:crossBetween val="between"/>
        <c:majorUnit val="5.0000000000000024E-2"/>
        <c:minorUnit val="1.0000000000000005E-2"/>
      </c:valAx>
      <c:spPr>
        <a:noFill/>
        <a:ln w="12700">
          <a:solidFill>
            <a:srgbClr val="A6A6A6"/>
          </a:solidFill>
          <a:prstDash val="solid"/>
        </a:ln>
      </c:spPr>
    </c:plotArea>
    <c:legend>
      <c:legendPos val="l"/>
      <c:legendEntry>
        <c:idx val="1"/>
        <c:txPr>
          <a:bodyPr/>
          <a:lstStyle/>
          <a:p>
            <a:pPr>
              <a:defRPr i="0"/>
            </a:pPr>
            <a:endParaRPr lang="cs-CZ"/>
          </a:p>
        </c:txPr>
      </c:legendEntry>
      <c:legendEntry>
        <c:idx val="2"/>
        <c:txPr>
          <a:bodyPr/>
          <a:lstStyle/>
          <a:p>
            <a:pPr>
              <a:defRPr i="0"/>
            </a:pPr>
            <a:endParaRPr lang="cs-CZ"/>
          </a:p>
        </c:txPr>
      </c:legendEntry>
      <c:layout>
        <c:manualLayout>
          <c:xMode val="edge"/>
          <c:yMode val="edge"/>
          <c:x val="2.7864159891598923E-2"/>
          <c:y val="0.15001358024691369"/>
          <c:w val="0.62919783197832024"/>
          <c:h val="0.13343425925925925"/>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C2 Jednotlivci v Česku </a:t>
            </a:r>
          </a:p>
          <a:p>
            <a:pPr>
              <a:defRPr sz="800" b="1"/>
            </a:pPr>
            <a:r>
              <a:rPr lang="cs-CZ" sz="800" b="1"/>
              <a:t>používající tablet v roce 2017 (%)</a:t>
            </a:r>
            <a:endParaRPr lang="en-US" sz="800" b="1"/>
          </a:p>
        </c:rich>
      </c:tx>
      <c:layout>
        <c:manualLayout>
          <c:xMode val="edge"/>
          <c:yMode val="edge"/>
          <c:x val="0.22276532567049825"/>
          <c:y val="2.3031028417024861E-2"/>
        </c:manualLayout>
      </c:layout>
      <c:overlay val="1"/>
    </c:title>
    <c:autoTitleDeleted val="0"/>
    <c:plotArea>
      <c:layout>
        <c:manualLayout>
          <c:layoutTarget val="inner"/>
          <c:xMode val="edge"/>
          <c:yMode val="edge"/>
          <c:x val="0.16302083333333334"/>
          <c:y val="0.11672027777777783"/>
          <c:w val="0.7841701648492676"/>
          <c:h val="0.70808368071638106"/>
        </c:manualLayout>
      </c:layout>
      <c:barChart>
        <c:barDir val="bar"/>
        <c:grouping val="clustered"/>
        <c:varyColors val="0"/>
        <c:ser>
          <c:idx val="0"/>
          <c:order val="0"/>
          <c:tx>
            <c:strRef>
              <c:f>C_CZ!$B$16</c:f>
              <c:strCache>
                <c:ptCount val="1"/>
                <c:pt idx="0">
                  <c:v> % jednotlivců používajících počítač</c:v>
                </c:pt>
              </c:strCache>
            </c:strRef>
          </c:tx>
          <c:spPr>
            <a:solidFill>
              <a:srgbClr val="47E5FF"/>
            </a:solidFill>
          </c:spPr>
          <c:invertIfNegative val="0"/>
          <c:dLbls>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dLbls>
          <c:cat>
            <c:strRef>
              <c:f>C_CZ!$A$17:$A$27</c:f>
              <c:strCache>
                <c:ptCount val="11"/>
                <c:pt idx="0">
                  <c:v>  65+</c:v>
                </c:pt>
                <c:pt idx="1">
                  <c:v>  55–64</c:v>
                </c:pt>
                <c:pt idx="2">
                  <c:v>  45–54</c:v>
                </c:pt>
                <c:pt idx="3">
                  <c:v>  35–44</c:v>
                </c:pt>
                <c:pt idx="4">
                  <c:v>  25–34</c:v>
                </c:pt>
                <c:pt idx="5">
                  <c:v>  16–24</c:v>
                </c:pt>
                <c:pt idx="7">
                  <c:v>ženy</c:v>
                </c:pt>
                <c:pt idx="8">
                  <c:v>muži</c:v>
                </c:pt>
                <c:pt idx="10">
                  <c:v>Celkem</c:v>
                </c:pt>
              </c:strCache>
            </c:strRef>
          </c:cat>
          <c:val>
            <c:numRef>
              <c:f>C_CZ!$B$17:$B$27</c:f>
              <c:numCache>
                <c:formatCode>0%</c:formatCode>
                <c:ptCount val="11"/>
                <c:pt idx="0">
                  <c:v>9.833865E-2</c:v>
                </c:pt>
                <c:pt idx="1">
                  <c:v>0.15419276999999998</c:v>
                </c:pt>
                <c:pt idx="2">
                  <c:v>0.21609217999999999</c:v>
                </c:pt>
                <c:pt idx="3">
                  <c:v>0.30439820000000001</c:v>
                </c:pt>
                <c:pt idx="4">
                  <c:v>0.28004634</c:v>
                </c:pt>
                <c:pt idx="5">
                  <c:v>0.37900322000000003</c:v>
                </c:pt>
                <c:pt idx="7">
                  <c:v>0.26014958999999999</c:v>
                </c:pt>
                <c:pt idx="8">
                  <c:v>0.24339484</c:v>
                </c:pt>
                <c:pt idx="10">
                  <c:v>0.25144958000000001</c:v>
                </c:pt>
              </c:numCache>
            </c:numRef>
          </c:val>
        </c:ser>
        <c:ser>
          <c:idx val="1"/>
          <c:order val="1"/>
          <c:tx>
            <c:strRef>
              <c:f>C_CZ!$C$16</c:f>
              <c:strCache>
                <c:ptCount val="1"/>
                <c:pt idx="0">
                  <c:v> % jednotlivců celkem</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C_CZ!$A$17:$A$27</c:f>
              <c:strCache>
                <c:ptCount val="11"/>
                <c:pt idx="0">
                  <c:v>  65+</c:v>
                </c:pt>
                <c:pt idx="1">
                  <c:v>  55–64</c:v>
                </c:pt>
                <c:pt idx="2">
                  <c:v>  45–54</c:v>
                </c:pt>
                <c:pt idx="3">
                  <c:v>  35–44</c:v>
                </c:pt>
                <c:pt idx="4">
                  <c:v>  25–34</c:v>
                </c:pt>
                <c:pt idx="5">
                  <c:v>  16–24</c:v>
                </c:pt>
                <c:pt idx="7">
                  <c:v>ženy</c:v>
                </c:pt>
                <c:pt idx="8">
                  <c:v>muži</c:v>
                </c:pt>
                <c:pt idx="10">
                  <c:v>Celkem</c:v>
                </c:pt>
              </c:strCache>
            </c:strRef>
          </c:cat>
          <c:val>
            <c:numRef>
              <c:f>C_CZ!$C$17:$C$27</c:f>
              <c:numCache>
                <c:formatCode>0%</c:formatCode>
                <c:ptCount val="11"/>
                <c:pt idx="0">
                  <c:v>3.2219777173253861E-2</c:v>
                </c:pt>
                <c:pt idx="1">
                  <c:v>0.11296391215239282</c:v>
                </c:pt>
                <c:pt idx="2">
                  <c:v>0.19177862110259133</c:v>
                </c:pt>
                <c:pt idx="3">
                  <c:v>0.28885086218244044</c:v>
                </c:pt>
                <c:pt idx="4">
                  <c:v>0.26590931268439966</c:v>
                </c:pt>
                <c:pt idx="5">
                  <c:v>0.37156093619250913</c:v>
                </c:pt>
                <c:pt idx="7">
                  <c:v>0.19298198943558462</c:v>
                </c:pt>
                <c:pt idx="8">
                  <c:v>0.19467383139715985</c:v>
                </c:pt>
                <c:pt idx="10">
                  <c:v>0.19369248992091154</c:v>
                </c:pt>
              </c:numCache>
            </c:numRef>
          </c:val>
        </c:ser>
        <c:dLbls>
          <c:showLegendKey val="0"/>
          <c:showVal val="0"/>
          <c:showCatName val="0"/>
          <c:showSerName val="0"/>
          <c:showPercent val="0"/>
          <c:showBubbleSize val="0"/>
        </c:dLbls>
        <c:gapWidth val="30"/>
        <c:axId val="183734784"/>
        <c:axId val="63885824"/>
      </c:barChart>
      <c:catAx>
        <c:axId val="183734784"/>
        <c:scaling>
          <c:orientation val="minMax"/>
        </c:scaling>
        <c:delete val="0"/>
        <c:axPos val="l"/>
        <c:numFmt formatCode="General" sourceLinked="1"/>
        <c:majorTickMark val="out"/>
        <c:minorTickMark val="none"/>
        <c:tickLblPos val="nextTo"/>
        <c:spPr>
          <a:ln>
            <a:solidFill>
              <a:schemeClr val="tx1"/>
            </a:solidFill>
          </a:ln>
        </c:spPr>
        <c:crossAx val="63885824"/>
        <c:crosses val="autoZero"/>
        <c:auto val="1"/>
        <c:lblAlgn val="ctr"/>
        <c:lblOffset val="100"/>
        <c:noMultiLvlLbl val="0"/>
      </c:catAx>
      <c:valAx>
        <c:axId val="63885824"/>
        <c:scaling>
          <c:orientation val="minMax"/>
          <c:max val="0.5"/>
        </c:scaling>
        <c:delete val="0"/>
        <c:axPos val="b"/>
        <c:numFmt formatCode="0%" sourceLinked="1"/>
        <c:majorTickMark val="none"/>
        <c:minorTickMark val="none"/>
        <c:tickLblPos val="none"/>
        <c:crossAx val="183734784"/>
        <c:crosses val="autoZero"/>
        <c:crossBetween val="between"/>
        <c:majorUnit val="0.1"/>
        <c:minorUnit val="5.0000000000000024E-2"/>
      </c:valAx>
      <c:spPr>
        <a:ln w="12700">
          <a:solidFill>
            <a:schemeClr val="bg1">
              <a:lumMod val="65000"/>
            </a:schemeClr>
          </a:solidFill>
        </a:ln>
      </c:spPr>
    </c:plotArea>
    <c:legend>
      <c:legendPos val="r"/>
      <c:layout>
        <c:manualLayout>
          <c:xMode val="edge"/>
          <c:yMode val="edge"/>
          <c:x val="0.58161210317460321"/>
          <c:y val="0.15477716049382714"/>
          <c:w val="0.35413756613756614"/>
          <c:h val="0.22216056816427357"/>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C20 Jednotlivci v Česku používající </a:t>
            </a:r>
          </a:p>
          <a:p>
            <a:pPr>
              <a:defRPr sz="800" b="1"/>
            </a:pPr>
            <a:r>
              <a:rPr lang="cs-CZ" sz="800" b="1"/>
              <a:t>sociální</a:t>
            </a:r>
            <a:r>
              <a:rPr lang="cs-CZ" sz="800" b="1" baseline="0"/>
              <a:t> sítě</a:t>
            </a:r>
            <a:r>
              <a:rPr lang="cs-CZ" sz="800" b="1"/>
              <a:t> (%)*</a:t>
            </a:r>
            <a:endParaRPr lang="en-US" sz="800" b="1"/>
          </a:p>
        </c:rich>
      </c:tx>
      <c:layout>
        <c:manualLayout>
          <c:xMode val="edge"/>
          <c:yMode val="edge"/>
          <c:x val="0.22276532567049825"/>
          <c:y val="2.3031028417024861E-2"/>
        </c:manualLayout>
      </c:layout>
      <c:overlay val="1"/>
    </c:title>
    <c:autoTitleDeleted val="0"/>
    <c:plotArea>
      <c:layout>
        <c:manualLayout>
          <c:layoutTarget val="inner"/>
          <c:xMode val="edge"/>
          <c:yMode val="edge"/>
          <c:x val="0.16302083333333334"/>
          <c:y val="0.11672027777777783"/>
          <c:w val="0.79678839940588342"/>
          <c:h val="0.70811083333333402"/>
        </c:manualLayout>
      </c:layout>
      <c:barChart>
        <c:barDir val="bar"/>
        <c:grouping val="clustered"/>
        <c:varyColors val="0"/>
        <c:ser>
          <c:idx val="0"/>
          <c:order val="0"/>
          <c:tx>
            <c:strRef>
              <c:f>C_CZ!$B$349</c:f>
              <c:strCache>
                <c:ptCount val="1"/>
                <c:pt idx="0">
                  <c:v> 2012</c:v>
                </c:pt>
              </c:strCache>
            </c:strRef>
          </c:tx>
          <c:spPr>
            <a:solidFill>
              <a:srgbClr val="47E5FF"/>
            </a:solidFill>
          </c:spPr>
          <c:invertIfNegative val="0"/>
          <c:dLbls>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showLeaderLines val="0"/>
          </c:dLbls>
          <c:cat>
            <c:strRef>
              <c:f>C_CZ!$A$350:$A$360</c:f>
              <c:strCache>
                <c:ptCount val="11"/>
                <c:pt idx="0">
                  <c:v>  65+</c:v>
                </c:pt>
                <c:pt idx="1">
                  <c:v>  55–64</c:v>
                </c:pt>
                <c:pt idx="2">
                  <c:v>  45–54</c:v>
                </c:pt>
                <c:pt idx="3">
                  <c:v>  35–44</c:v>
                </c:pt>
                <c:pt idx="4">
                  <c:v>  25–34</c:v>
                </c:pt>
                <c:pt idx="5">
                  <c:v>  16–24</c:v>
                </c:pt>
                <c:pt idx="7">
                  <c:v>ženy</c:v>
                </c:pt>
                <c:pt idx="8">
                  <c:v>muži</c:v>
                </c:pt>
                <c:pt idx="10">
                  <c:v>Celkem</c:v>
                </c:pt>
              </c:strCache>
            </c:strRef>
          </c:cat>
          <c:val>
            <c:numRef>
              <c:f>C_CZ!$B$350:$B$360</c:f>
              <c:numCache>
                <c:formatCode>0%</c:formatCode>
                <c:ptCount val="11"/>
                <c:pt idx="0">
                  <c:v>2.1999999999999999E-2</c:v>
                </c:pt>
                <c:pt idx="1">
                  <c:v>7.9724355629233246E-2</c:v>
                </c:pt>
                <c:pt idx="2">
                  <c:v>0.17290406524513982</c:v>
                </c:pt>
                <c:pt idx="3">
                  <c:v>0.33152432479564253</c:v>
                </c:pt>
                <c:pt idx="4">
                  <c:v>0.59488424905198511</c:v>
                </c:pt>
                <c:pt idx="5">
                  <c:v>0.82954606448188328</c:v>
                </c:pt>
                <c:pt idx="7">
                  <c:v>0.29866188589875164</c:v>
                </c:pt>
                <c:pt idx="8">
                  <c:v>0.32141972789287798</c:v>
                </c:pt>
                <c:pt idx="10">
                  <c:v>0.30965717849843943</c:v>
                </c:pt>
              </c:numCache>
            </c:numRef>
          </c:val>
        </c:ser>
        <c:ser>
          <c:idx val="1"/>
          <c:order val="1"/>
          <c:tx>
            <c:strRef>
              <c:f>C_CZ!$C$349</c:f>
              <c:strCache>
                <c:ptCount val="1"/>
                <c:pt idx="0">
                  <c:v> 2017</c:v>
                </c:pt>
              </c:strCache>
            </c:strRef>
          </c:tx>
          <c:spPr>
            <a:solidFill>
              <a:srgbClr val="009BB4"/>
            </a:solidFill>
          </c:spPr>
          <c:invertIfNegative val="0"/>
          <c:dLbls>
            <c:dLbl>
              <c:idx val="0"/>
              <c:layout>
                <c:manualLayout>
                  <c:x val="7.3243415550974106E-2"/>
                  <c:y val="0"/>
                </c:manualLayout>
              </c:layout>
              <c:spPr/>
              <c:txPr>
                <a:bodyPr/>
                <a:lstStyle/>
                <a:p>
                  <a:pPr>
                    <a:defRPr sz="800" b="1">
                      <a:solidFill>
                        <a:schemeClr val="tx1"/>
                      </a:solidFill>
                    </a:defRPr>
                  </a:pPr>
                  <a:endParaRPr lang="cs-CZ"/>
                </a:p>
              </c:txPr>
              <c:dLblPos val="outEnd"/>
              <c:showLegendKey val="0"/>
              <c:showVal val="1"/>
              <c:showCatName val="0"/>
              <c:showSerName val="0"/>
              <c:showPercent val="0"/>
              <c:showBubbleSize val="0"/>
            </c:dLbl>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C_CZ!$A$350:$A$360</c:f>
              <c:strCache>
                <c:ptCount val="11"/>
                <c:pt idx="0">
                  <c:v>  65+</c:v>
                </c:pt>
                <c:pt idx="1">
                  <c:v>  55–64</c:v>
                </c:pt>
                <c:pt idx="2">
                  <c:v>  45–54</c:v>
                </c:pt>
                <c:pt idx="3">
                  <c:v>  35–44</c:v>
                </c:pt>
                <c:pt idx="4">
                  <c:v>  25–34</c:v>
                </c:pt>
                <c:pt idx="5">
                  <c:v>  16–24</c:v>
                </c:pt>
                <c:pt idx="7">
                  <c:v>ženy</c:v>
                </c:pt>
                <c:pt idx="8">
                  <c:v>muži</c:v>
                </c:pt>
                <c:pt idx="10">
                  <c:v>Celkem</c:v>
                </c:pt>
              </c:strCache>
            </c:strRef>
          </c:cat>
          <c:val>
            <c:numRef>
              <c:f>C_CZ!$C$350:$C$360</c:f>
              <c:numCache>
                <c:formatCode>0%</c:formatCode>
                <c:ptCount val="11"/>
                <c:pt idx="0">
                  <c:v>5.0604895117368397E-2</c:v>
                </c:pt>
                <c:pt idx="1">
                  <c:v>0.1942379224126122</c:v>
                </c:pt>
                <c:pt idx="2">
                  <c:v>0.38813835841480027</c:v>
                </c:pt>
                <c:pt idx="3">
                  <c:v>0.59001868852515382</c:v>
                </c:pt>
                <c:pt idx="4">
                  <c:v>0.78759613470035872</c:v>
                </c:pt>
                <c:pt idx="5">
                  <c:v>0.93185337808647106</c:v>
                </c:pt>
                <c:pt idx="7">
                  <c:v>0.43928070968736499</c:v>
                </c:pt>
                <c:pt idx="8">
                  <c:v>0.44673461637695089</c:v>
                </c:pt>
                <c:pt idx="10">
                  <c:v>0.44221274356645351</c:v>
                </c:pt>
              </c:numCache>
            </c:numRef>
          </c:val>
        </c:ser>
        <c:dLbls>
          <c:showLegendKey val="0"/>
          <c:showVal val="0"/>
          <c:showCatName val="0"/>
          <c:showSerName val="0"/>
          <c:showPercent val="0"/>
          <c:showBubbleSize val="0"/>
        </c:dLbls>
        <c:gapWidth val="30"/>
        <c:axId val="195762176"/>
        <c:axId val="194482112"/>
      </c:barChart>
      <c:catAx>
        <c:axId val="195762176"/>
        <c:scaling>
          <c:orientation val="minMax"/>
        </c:scaling>
        <c:delete val="0"/>
        <c:axPos val="l"/>
        <c:numFmt formatCode="General" sourceLinked="1"/>
        <c:majorTickMark val="out"/>
        <c:minorTickMark val="none"/>
        <c:tickLblPos val="nextTo"/>
        <c:spPr>
          <a:ln>
            <a:solidFill>
              <a:schemeClr val="tx1"/>
            </a:solidFill>
          </a:ln>
        </c:spPr>
        <c:crossAx val="194482112"/>
        <c:crosses val="autoZero"/>
        <c:auto val="1"/>
        <c:lblAlgn val="ctr"/>
        <c:lblOffset val="100"/>
        <c:noMultiLvlLbl val="0"/>
      </c:catAx>
      <c:valAx>
        <c:axId val="194482112"/>
        <c:scaling>
          <c:orientation val="minMax"/>
          <c:max val="1"/>
        </c:scaling>
        <c:delete val="0"/>
        <c:axPos val="b"/>
        <c:numFmt formatCode="0%" sourceLinked="1"/>
        <c:majorTickMark val="none"/>
        <c:minorTickMark val="none"/>
        <c:tickLblPos val="none"/>
        <c:crossAx val="195762176"/>
        <c:crosses val="autoZero"/>
        <c:crossBetween val="between"/>
        <c:majorUnit val="0.1"/>
        <c:minorUnit val="5.0000000000000024E-2"/>
      </c:valAx>
      <c:spPr>
        <a:ln w="12700">
          <a:solidFill>
            <a:schemeClr val="bg1">
              <a:lumMod val="65000"/>
            </a:schemeClr>
          </a:solidFill>
        </a:ln>
      </c:spPr>
    </c:plotArea>
    <c:legend>
      <c:legendPos val="r"/>
      <c:layout>
        <c:manualLayout>
          <c:xMode val="edge"/>
          <c:yMode val="edge"/>
          <c:x val="0.69080522486772489"/>
          <c:y val="0.14693765432098771"/>
          <c:w val="0.22394576719576731"/>
          <c:h val="8.8879938271605008E-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49831649831703E-2"/>
          <c:y val="0.12188240740740741"/>
          <c:w val="0.90411750841750838"/>
          <c:h val="0.58466080246913621"/>
        </c:manualLayout>
      </c:layout>
      <c:barChart>
        <c:barDir val="col"/>
        <c:grouping val="clustered"/>
        <c:varyColors val="0"/>
        <c:ser>
          <c:idx val="0"/>
          <c:order val="0"/>
          <c:tx>
            <c:strRef>
              <c:f>C_CZ!$B$368</c:f>
              <c:strCache>
                <c:ptCount val="1"/>
                <c:pt idx="0">
                  <c:v> 16-29 let</c:v>
                </c:pt>
              </c:strCache>
            </c:strRef>
          </c:tx>
          <c:spPr>
            <a:solidFill>
              <a:srgbClr val="47E5FF"/>
            </a:solidFill>
            <a:ln>
              <a:noFill/>
            </a:ln>
          </c:spPr>
          <c:invertIfNegative val="0"/>
          <c:dPt>
            <c:idx val="8"/>
            <c:invertIfNegative val="0"/>
            <c:bubble3D val="0"/>
            <c:spPr>
              <a:solidFill>
                <a:srgbClr val="47E5FF"/>
              </a:solidFill>
              <a:ln w="19050">
                <a:noFill/>
              </a:ln>
            </c:spPr>
          </c:dPt>
          <c:dPt>
            <c:idx val="13"/>
            <c:invertIfNegative val="0"/>
            <c:bubble3D val="0"/>
            <c:spPr>
              <a:solidFill>
                <a:srgbClr val="47E5FF"/>
              </a:solidFill>
              <a:ln w="19050">
                <a:noFill/>
              </a:ln>
            </c:spPr>
          </c:dPt>
          <c:dPt>
            <c:idx val="15"/>
            <c:invertIfNegative val="0"/>
            <c:bubble3D val="0"/>
            <c:spPr>
              <a:solidFill>
                <a:srgbClr val="47E5FF"/>
              </a:solidFill>
              <a:ln>
                <a:solidFill>
                  <a:srgbClr val="FF0000"/>
                </a:solidFill>
              </a:ln>
            </c:spPr>
          </c:dPt>
          <c:dPt>
            <c:idx val="28"/>
            <c:invertIfNegative val="0"/>
            <c:bubble3D val="0"/>
            <c:spPr>
              <a:solidFill>
                <a:srgbClr val="47E5FF"/>
              </a:solidFill>
              <a:ln>
                <a:solidFill>
                  <a:srgbClr val="FF0000"/>
                </a:solidFill>
              </a:ln>
            </c:spPr>
          </c:dPt>
          <c:dLbls>
            <c:txPr>
              <a:bodyPr rot="-5400000" vert="horz"/>
              <a:lstStyle/>
              <a:p>
                <a:pPr>
                  <a:defRPr b="1"/>
                </a:pPr>
                <a:endParaRPr lang="cs-CZ"/>
              </a:p>
            </c:txPr>
            <c:dLblPos val="inEnd"/>
            <c:showLegendKey val="0"/>
            <c:showVal val="1"/>
            <c:showCatName val="0"/>
            <c:showSerName val="0"/>
            <c:showPercent val="0"/>
            <c:showBubbleSize val="0"/>
            <c:showLeaderLines val="0"/>
          </c:dLbls>
          <c:cat>
            <c:strRef>
              <c:f>C_CZ!$A$369:$A$397</c:f>
              <c:strCache>
                <c:ptCount val="29"/>
                <c:pt idx="0">
                  <c:v>Dánsko</c:v>
                </c:pt>
                <c:pt idx="1">
                  <c:v>Belgie</c:v>
                </c:pt>
                <c:pt idx="2">
                  <c:v>Švédsko</c:v>
                </c:pt>
                <c:pt idx="3">
                  <c:v>Nizozemsko</c:v>
                </c:pt>
                <c:pt idx="4">
                  <c:v>Velká Británie</c:v>
                </c:pt>
                <c:pt idx="5">
                  <c:v>Lucembursko</c:v>
                </c:pt>
                <c:pt idx="6">
                  <c:v>Malta</c:v>
                </c:pt>
                <c:pt idx="7">
                  <c:v>Finsko</c:v>
                </c:pt>
                <c:pt idx="8">
                  <c:v>Maďarsko</c:v>
                </c:pt>
                <c:pt idx="9">
                  <c:v>Irsko</c:v>
                </c:pt>
                <c:pt idx="10">
                  <c:v>Kypr</c:v>
                </c:pt>
                <c:pt idx="11">
                  <c:v>Lotyšsko</c:v>
                </c:pt>
                <c:pt idx="12">
                  <c:v>Estonsko</c:v>
                </c:pt>
                <c:pt idx="13">
                  <c:v>Španělsko</c:v>
                </c:pt>
                <c:pt idx="14">
                  <c:v>Portugalsko</c:v>
                </c:pt>
                <c:pt idx="15">
                  <c:v>EU28</c:v>
                </c:pt>
                <c:pt idx="16">
                  <c:v>Německo</c:v>
                </c:pt>
                <c:pt idx="17">
                  <c:v>Slovensko</c:v>
                </c:pt>
                <c:pt idx="18">
                  <c:v>Rumunsko</c:v>
                </c:pt>
                <c:pt idx="19">
                  <c:v>Litva</c:v>
                </c:pt>
                <c:pt idx="20">
                  <c:v>Itálie</c:v>
                </c:pt>
                <c:pt idx="21">
                  <c:v>Francie</c:v>
                </c:pt>
                <c:pt idx="22">
                  <c:v>Chorvatsko</c:v>
                </c:pt>
                <c:pt idx="23">
                  <c:v>Rakousko</c:v>
                </c:pt>
                <c:pt idx="24">
                  <c:v>Bulharsko</c:v>
                </c:pt>
                <c:pt idx="25">
                  <c:v>Slovinsko</c:v>
                </c:pt>
                <c:pt idx="26">
                  <c:v>Řecko</c:v>
                </c:pt>
                <c:pt idx="27">
                  <c:v>Polsko</c:v>
                </c:pt>
                <c:pt idx="28">
                  <c:v>Česko</c:v>
                </c:pt>
              </c:strCache>
            </c:strRef>
          </c:cat>
          <c:val>
            <c:numRef>
              <c:f>C_CZ!$B$369:$B$397</c:f>
              <c:numCache>
                <c:formatCode>0%</c:formatCode>
                <c:ptCount val="29"/>
                <c:pt idx="0">
                  <c:v>0.95775699999999997</c:v>
                </c:pt>
                <c:pt idx="1">
                  <c:v>0.93384699999999998</c:v>
                </c:pt>
                <c:pt idx="2">
                  <c:v>0.91347100000000003</c:v>
                </c:pt>
                <c:pt idx="3">
                  <c:v>0.89603100000000002</c:v>
                </c:pt>
                <c:pt idx="4">
                  <c:v>0.91658300000000004</c:v>
                </c:pt>
                <c:pt idx="5">
                  <c:v>0.93074400000000002</c:v>
                </c:pt>
                <c:pt idx="6">
                  <c:v>0.97501800000000005</c:v>
                </c:pt>
                <c:pt idx="7">
                  <c:v>0.94840400000000002</c:v>
                </c:pt>
                <c:pt idx="8">
                  <c:v>0.93931699999999996</c:v>
                </c:pt>
                <c:pt idx="9">
                  <c:v>0.86739999999999995</c:v>
                </c:pt>
                <c:pt idx="10">
                  <c:v>0.89398200000000005</c:v>
                </c:pt>
                <c:pt idx="11">
                  <c:v>0.91871499999999995</c:v>
                </c:pt>
                <c:pt idx="12">
                  <c:v>0.94017399999999995</c:v>
                </c:pt>
                <c:pt idx="13">
                  <c:v>0.865595</c:v>
                </c:pt>
                <c:pt idx="14">
                  <c:v>0.93683099999999997</c:v>
                </c:pt>
                <c:pt idx="15">
                  <c:v>0.84964799999999996</c:v>
                </c:pt>
                <c:pt idx="16">
                  <c:v>0.85415300000000005</c:v>
                </c:pt>
                <c:pt idx="17">
                  <c:v>0.91062699999999996</c:v>
                </c:pt>
                <c:pt idx="18">
                  <c:v>0.79811100000000001</c:v>
                </c:pt>
                <c:pt idx="19">
                  <c:v>0.89206600000000003</c:v>
                </c:pt>
                <c:pt idx="20">
                  <c:v>0.73761900000000002</c:v>
                </c:pt>
                <c:pt idx="21">
                  <c:v>0.74353999999999998</c:v>
                </c:pt>
                <c:pt idx="22">
                  <c:v>0.94346600000000003</c:v>
                </c:pt>
                <c:pt idx="23">
                  <c:v>0.86162700000000003</c:v>
                </c:pt>
                <c:pt idx="24">
                  <c:v>0.80889900000000003</c:v>
                </c:pt>
                <c:pt idx="25">
                  <c:v>0.85100799999999999</c:v>
                </c:pt>
                <c:pt idx="26">
                  <c:v>0.905752</c:v>
                </c:pt>
                <c:pt idx="27">
                  <c:v>0.859039</c:v>
                </c:pt>
                <c:pt idx="28">
                  <c:v>0.886876</c:v>
                </c:pt>
              </c:numCache>
            </c:numRef>
          </c:val>
        </c:ser>
        <c:ser>
          <c:idx val="1"/>
          <c:order val="1"/>
          <c:tx>
            <c:strRef>
              <c:f>C_CZ!$C$368</c:f>
              <c:strCache>
                <c:ptCount val="1"/>
                <c:pt idx="0">
                  <c:v> 55-74 let</c:v>
                </c:pt>
              </c:strCache>
            </c:strRef>
          </c:tx>
          <c:spPr>
            <a:solidFill>
              <a:srgbClr val="009BB4"/>
            </a:solidFill>
            <a:ln>
              <a:noFill/>
            </a:ln>
          </c:spPr>
          <c:invertIfNegative val="0"/>
          <c:dPt>
            <c:idx val="0"/>
            <c:invertIfNegative val="0"/>
            <c:bubble3D val="0"/>
          </c:dPt>
          <c:dPt>
            <c:idx val="13"/>
            <c:invertIfNegative val="0"/>
            <c:bubble3D val="0"/>
          </c:dPt>
          <c:dPt>
            <c:idx val="15"/>
            <c:invertIfNegative val="0"/>
            <c:bubble3D val="0"/>
            <c:spPr>
              <a:solidFill>
                <a:srgbClr val="009BB4"/>
              </a:solidFill>
              <a:ln>
                <a:solidFill>
                  <a:srgbClr val="FF0000"/>
                </a:solidFill>
              </a:ln>
            </c:spPr>
          </c:dPt>
          <c:dPt>
            <c:idx val="28"/>
            <c:invertIfNegative val="0"/>
            <c:bubble3D val="0"/>
            <c:spPr>
              <a:solidFill>
                <a:srgbClr val="009BB4"/>
              </a:solidFill>
              <a:ln>
                <a:solidFill>
                  <a:srgbClr val="FF0000"/>
                </a:solidFill>
              </a:ln>
            </c:spPr>
          </c:dPt>
          <c:dLbls>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dLbls>
          <c:cat>
            <c:strRef>
              <c:f>C_CZ!$A$369:$A$397</c:f>
              <c:strCache>
                <c:ptCount val="29"/>
                <c:pt idx="0">
                  <c:v>Dánsko</c:v>
                </c:pt>
                <c:pt idx="1">
                  <c:v>Belgie</c:v>
                </c:pt>
                <c:pt idx="2">
                  <c:v>Švédsko</c:v>
                </c:pt>
                <c:pt idx="3">
                  <c:v>Nizozemsko</c:v>
                </c:pt>
                <c:pt idx="4">
                  <c:v>Velká Británie</c:v>
                </c:pt>
                <c:pt idx="5">
                  <c:v>Lucembursko</c:v>
                </c:pt>
                <c:pt idx="6">
                  <c:v>Malta</c:v>
                </c:pt>
                <c:pt idx="7">
                  <c:v>Finsko</c:v>
                </c:pt>
                <c:pt idx="8">
                  <c:v>Maďarsko</c:v>
                </c:pt>
                <c:pt idx="9">
                  <c:v>Irsko</c:v>
                </c:pt>
                <c:pt idx="10">
                  <c:v>Kypr</c:v>
                </c:pt>
                <c:pt idx="11">
                  <c:v>Lotyšsko</c:v>
                </c:pt>
                <c:pt idx="12">
                  <c:v>Estonsko</c:v>
                </c:pt>
                <c:pt idx="13">
                  <c:v>Španělsko</c:v>
                </c:pt>
                <c:pt idx="14">
                  <c:v>Portugalsko</c:v>
                </c:pt>
                <c:pt idx="15">
                  <c:v>EU28</c:v>
                </c:pt>
                <c:pt idx="16">
                  <c:v>Německo</c:v>
                </c:pt>
                <c:pt idx="17">
                  <c:v>Slovensko</c:v>
                </c:pt>
                <c:pt idx="18">
                  <c:v>Rumunsko</c:v>
                </c:pt>
                <c:pt idx="19">
                  <c:v>Litva</c:v>
                </c:pt>
                <c:pt idx="20">
                  <c:v>Itálie</c:v>
                </c:pt>
                <c:pt idx="21">
                  <c:v>Francie</c:v>
                </c:pt>
                <c:pt idx="22">
                  <c:v>Chorvatsko</c:v>
                </c:pt>
                <c:pt idx="23">
                  <c:v>Rakousko</c:v>
                </c:pt>
                <c:pt idx="24">
                  <c:v>Bulharsko</c:v>
                </c:pt>
                <c:pt idx="25">
                  <c:v>Slovinsko</c:v>
                </c:pt>
                <c:pt idx="26">
                  <c:v>Řecko</c:v>
                </c:pt>
                <c:pt idx="27">
                  <c:v>Polsko</c:v>
                </c:pt>
                <c:pt idx="28">
                  <c:v>Česko</c:v>
                </c:pt>
              </c:strCache>
            </c:strRef>
          </c:cat>
          <c:val>
            <c:numRef>
              <c:f>C_CZ!$C$369:$C$397</c:f>
              <c:numCache>
                <c:formatCode>0%</c:formatCode>
                <c:ptCount val="29"/>
                <c:pt idx="0">
                  <c:v>0.49472100000000002</c:v>
                </c:pt>
                <c:pt idx="1">
                  <c:v>0.47195399999999998</c:v>
                </c:pt>
                <c:pt idx="2">
                  <c:v>0.443853</c:v>
                </c:pt>
                <c:pt idx="3">
                  <c:v>0.44094899999999998</c:v>
                </c:pt>
                <c:pt idx="4">
                  <c:v>0.44065399999999999</c:v>
                </c:pt>
                <c:pt idx="5">
                  <c:v>0.40326400000000001</c:v>
                </c:pt>
                <c:pt idx="6">
                  <c:v>0.36666900000000002</c:v>
                </c:pt>
                <c:pt idx="7">
                  <c:v>0.35423700000000002</c:v>
                </c:pt>
                <c:pt idx="8">
                  <c:v>0.31651000000000001</c:v>
                </c:pt>
                <c:pt idx="9">
                  <c:v>0.30319099999999999</c:v>
                </c:pt>
                <c:pt idx="10">
                  <c:v>0.28759299999999999</c:v>
                </c:pt>
                <c:pt idx="11">
                  <c:v>0.27516699999999999</c:v>
                </c:pt>
                <c:pt idx="12">
                  <c:v>0.26566200000000001</c:v>
                </c:pt>
                <c:pt idx="13">
                  <c:v>0.26519799999999999</c:v>
                </c:pt>
                <c:pt idx="14">
                  <c:v>0.26222000000000001</c:v>
                </c:pt>
                <c:pt idx="15">
                  <c:v>0.25316100000000002</c:v>
                </c:pt>
                <c:pt idx="16">
                  <c:v>0.21888199999999999</c:v>
                </c:pt>
                <c:pt idx="17">
                  <c:v>0.207787</c:v>
                </c:pt>
                <c:pt idx="18">
                  <c:v>0.20310600000000001</c:v>
                </c:pt>
                <c:pt idx="19">
                  <c:v>0.19541</c:v>
                </c:pt>
                <c:pt idx="20">
                  <c:v>0.175873</c:v>
                </c:pt>
                <c:pt idx="21">
                  <c:v>0.17236699999999999</c:v>
                </c:pt>
                <c:pt idx="22">
                  <c:v>0.17178599999999999</c:v>
                </c:pt>
                <c:pt idx="23">
                  <c:v>0.17108100000000001</c:v>
                </c:pt>
                <c:pt idx="24">
                  <c:v>0.167853</c:v>
                </c:pt>
                <c:pt idx="25">
                  <c:v>0.16234799999999999</c:v>
                </c:pt>
                <c:pt idx="26">
                  <c:v>0.15611700000000001</c:v>
                </c:pt>
                <c:pt idx="27">
                  <c:v>0.14641499999999999</c:v>
                </c:pt>
                <c:pt idx="28">
                  <c:v>0.13653399999999999</c:v>
                </c:pt>
              </c:numCache>
            </c:numRef>
          </c:val>
        </c:ser>
        <c:dLbls>
          <c:showLegendKey val="0"/>
          <c:showVal val="0"/>
          <c:showCatName val="0"/>
          <c:showSerName val="0"/>
          <c:showPercent val="0"/>
          <c:showBubbleSize val="0"/>
        </c:dLbls>
        <c:gapWidth val="40"/>
        <c:overlap val="40"/>
        <c:axId val="196089856"/>
        <c:axId val="194483264"/>
      </c:barChart>
      <c:catAx>
        <c:axId val="196089856"/>
        <c:scaling>
          <c:orientation val="minMax"/>
        </c:scaling>
        <c:delete val="0"/>
        <c:axPos val="b"/>
        <c:majorTickMark val="out"/>
        <c:minorTickMark val="none"/>
        <c:tickLblPos val="nextTo"/>
        <c:spPr>
          <a:ln>
            <a:solidFill>
              <a:schemeClr val="tx1"/>
            </a:solidFill>
          </a:ln>
        </c:spPr>
        <c:crossAx val="194483264"/>
        <c:crosses val="autoZero"/>
        <c:auto val="1"/>
        <c:lblAlgn val="ctr"/>
        <c:lblOffset val="100"/>
        <c:noMultiLvlLbl val="0"/>
      </c:catAx>
      <c:valAx>
        <c:axId val="194483264"/>
        <c:scaling>
          <c:orientation val="minMax"/>
          <c:max val="1.1000000000000001"/>
          <c:min val="0"/>
        </c:scaling>
        <c:delete val="1"/>
        <c:axPos val="l"/>
        <c:numFmt formatCode="0%" sourceLinked="1"/>
        <c:majorTickMark val="out"/>
        <c:minorTickMark val="none"/>
        <c:tickLblPos val="nextTo"/>
        <c:crossAx val="196089856"/>
        <c:crosses val="autoZero"/>
        <c:crossBetween val="between"/>
        <c:majorUnit val="0.1"/>
        <c:minorUnit val="5.0000000000000024E-2"/>
      </c:valAx>
      <c:spPr>
        <a:ln>
          <a:solidFill>
            <a:schemeClr val="tx1">
              <a:tint val="75000"/>
              <a:shade val="95000"/>
              <a:satMod val="105000"/>
            </a:schemeClr>
          </a:solidFill>
        </a:ln>
      </c:spPr>
    </c:plotArea>
    <c:legend>
      <c:legendPos val="r"/>
      <c:layout>
        <c:manualLayout>
          <c:xMode val="edge"/>
          <c:yMode val="edge"/>
          <c:x val="0.70103856209150328"/>
          <c:y val="0.14049981146758445"/>
          <c:w val="0.24597565359477136"/>
          <c:h val="5.3198873619100362E-2"/>
        </c:manualLayout>
      </c:layout>
      <c:overlay val="0"/>
      <c:spPr>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C22 Jednotlivci v Česku </a:t>
            </a:r>
          </a:p>
          <a:p>
            <a:pPr>
              <a:defRPr sz="800" b="1"/>
            </a:pPr>
            <a:r>
              <a:rPr lang="cs-CZ" sz="800" b="1"/>
              <a:t>čtoucí zprávy</a:t>
            </a:r>
            <a:r>
              <a:rPr lang="cs-CZ" sz="800" b="1" baseline="0"/>
              <a:t> na internetu v</a:t>
            </a:r>
            <a:r>
              <a:rPr lang="cs-CZ" sz="800" b="1"/>
              <a:t> roce 2017 (%)</a:t>
            </a:r>
            <a:endParaRPr lang="en-US" sz="800" b="1"/>
          </a:p>
        </c:rich>
      </c:tx>
      <c:layout>
        <c:manualLayout>
          <c:xMode val="edge"/>
          <c:yMode val="edge"/>
          <c:x val="0.22276532567049825"/>
          <c:y val="2.3031028417024861E-2"/>
        </c:manualLayout>
      </c:layout>
      <c:overlay val="1"/>
    </c:title>
    <c:autoTitleDeleted val="0"/>
    <c:plotArea>
      <c:layout>
        <c:manualLayout>
          <c:layoutTarget val="inner"/>
          <c:xMode val="edge"/>
          <c:yMode val="edge"/>
          <c:x val="0.16302083333333334"/>
          <c:y val="0.11672027777777783"/>
          <c:w val="0.79678839940588342"/>
          <c:h val="0.7669070987654325"/>
        </c:manualLayout>
      </c:layout>
      <c:barChart>
        <c:barDir val="bar"/>
        <c:grouping val="clustered"/>
        <c:varyColors val="0"/>
        <c:ser>
          <c:idx val="0"/>
          <c:order val="0"/>
          <c:tx>
            <c:strRef>
              <c:f>C_CZ!$B$400</c:f>
              <c:strCache>
                <c:ptCount val="1"/>
                <c:pt idx="0">
                  <c:v> % uživatelů internetu</c:v>
                </c:pt>
              </c:strCache>
            </c:strRef>
          </c:tx>
          <c:spPr>
            <a:solidFill>
              <a:srgbClr val="47E5FF"/>
            </a:solidFill>
          </c:spPr>
          <c:invertIfNegative val="0"/>
          <c:dLbls>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dLbls>
          <c:cat>
            <c:strRef>
              <c:f>C_CZ!$A$401:$A$411</c:f>
              <c:strCache>
                <c:ptCount val="11"/>
                <c:pt idx="0">
                  <c:v>  65+</c:v>
                </c:pt>
                <c:pt idx="1">
                  <c:v>  55–64</c:v>
                </c:pt>
                <c:pt idx="2">
                  <c:v>  45–54</c:v>
                </c:pt>
                <c:pt idx="3">
                  <c:v>  35–44</c:v>
                </c:pt>
                <c:pt idx="4">
                  <c:v>  25–34</c:v>
                </c:pt>
                <c:pt idx="5">
                  <c:v>  16–24</c:v>
                </c:pt>
                <c:pt idx="7">
                  <c:v>ženy</c:v>
                </c:pt>
                <c:pt idx="8">
                  <c:v>muži</c:v>
                </c:pt>
                <c:pt idx="10">
                  <c:v>Celkem</c:v>
                </c:pt>
              </c:strCache>
            </c:strRef>
          </c:cat>
          <c:val>
            <c:numRef>
              <c:f>C_CZ!$B$401:$B$411</c:f>
              <c:numCache>
                <c:formatCode>0%</c:formatCode>
                <c:ptCount val="11"/>
                <c:pt idx="0">
                  <c:v>0.89536446112106693</c:v>
                </c:pt>
                <c:pt idx="1">
                  <c:v>0.90997247491020627</c:v>
                </c:pt>
                <c:pt idx="2">
                  <c:v>0.92564187778544704</c:v>
                </c:pt>
                <c:pt idx="3">
                  <c:v>0.91580260156967541</c:v>
                </c:pt>
                <c:pt idx="4">
                  <c:v>0.91136489174903557</c:v>
                </c:pt>
                <c:pt idx="5">
                  <c:v>0.87382006407341251</c:v>
                </c:pt>
                <c:pt idx="7">
                  <c:v>0.90225498957314609</c:v>
                </c:pt>
                <c:pt idx="8">
                  <c:v>0.91470385618331074</c:v>
                </c:pt>
                <c:pt idx="10">
                  <c:v>0.90432375808390442</c:v>
                </c:pt>
              </c:numCache>
            </c:numRef>
          </c:val>
        </c:ser>
        <c:ser>
          <c:idx val="1"/>
          <c:order val="1"/>
          <c:tx>
            <c:strRef>
              <c:f>C_CZ!$C$400</c:f>
              <c:strCache>
                <c:ptCount val="1"/>
                <c:pt idx="0">
                  <c:v> % jednotlivců celkem</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C_CZ!$A$401:$A$411</c:f>
              <c:strCache>
                <c:ptCount val="11"/>
                <c:pt idx="0">
                  <c:v>  65+</c:v>
                </c:pt>
                <c:pt idx="1">
                  <c:v>  55–64</c:v>
                </c:pt>
                <c:pt idx="2">
                  <c:v>  45–54</c:v>
                </c:pt>
                <c:pt idx="3">
                  <c:v>  35–44</c:v>
                </c:pt>
                <c:pt idx="4">
                  <c:v>  25–34</c:v>
                </c:pt>
                <c:pt idx="5">
                  <c:v>  16–24</c:v>
                </c:pt>
                <c:pt idx="7">
                  <c:v>ženy</c:v>
                </c:pt>
                <c:pt idx="8">
                  <c:v>muži</c:v>
                </c:pt>
                <c:pt idx="10">
                  <c:v>Celkem</c:v>
                </c:pt>
              </c:strCache>
            </c:strRef>
          </c:cat>
          <c:val>
            <c:numRef>
              <c:f>C_CZ!$C$401:$C$411</c:f>
              <c:numCache>
                <c:formatCode>0%</c:formatCode>
                <c:ptCount val="11"/>
                <c:pt idx="0">
                  <c:v>0.30121921760924492</c:v>
                </c:pt>
                <c:pt idx="1">
                  <c:v>0.68552134624098127</c:v>
                </c:pt>
                <c:pt idx="2">
                  <c:v>0.84714729639573794</c:v>
                </c:pt>
                <c:pt idx="3">
                  <c:v>0.88723688846812887</c:v>
                </c:pt>
                <c:pt idx="4">
                  <c:v>0.87813215541332368</c:v>
                </c:pt>
                <c:pt idx="5">
                  <c:v>0.86520773370041293</c:v>
                </c:pt>
                <c:pt idx="7">
                  <c:v>0.68513231932881102</c:v>
                </c:pt>
                <c:pt idx="8">
                  <c:v>0.74530283073085668</c:v>
                </c:pt>
                <c:pt idx="10">
                  <c:v>0.71187611567410736</c:v>
                </c:pt>
              </c:numCache>
            </c:numRef>
          </c:val>
        </c:ser>
        <c:dLbls>
          <c:showLegendKey val="0"/>
          <c:showVal val="0"/>
          <c:showCatName val="0"/>
          <c:showSerName val="0"/>
          <c:showPercent val="0"/>
          <c:showBubbleSize val="0"/>
        </c:dLbls>
        <c:gapWidth val="30"/>
        <c:axId val="196620288"/>
        <c:axId val="194485568"/>
      </c:barChart>
      <c:catAx>
        <c:axId val="196620288"/>
        <c:scaling>
          <c:orientation val="minMax"/>
        </c:scaling>
        <c:delete val="0"/>
        <c:axPos val="l"/>
        <c:numFmt formatCode="General" sourceLinked="1"/>
        <c:majorTickMark val="out"/>
        <c:minorTickMark val="none"/>
        <c:tickLblPos val="nextTo"/>
        <c:spPr>
          <a:ln>
            <a:solidFill>
              <a:schemeClr val="tx1"/>
            </a:solidFill>
          </a:ln>
        </c:spPr>
        <c:crossAx val="194485568"/>
        <c:crosses val="autoZero"/>
        <c:auto val="1"/>
        <c:lblAlgn val="ctr"/>
        <c:lblOffset val="100"/>
        <c:noMultiLvlLbl val="0"/>
      </c:catAx>
      <c:valAx>
        <c:axId val="194485568"/>
        <c:scaling>
          <c:orientation val="minMax"/>
          <c:max val="1"/>
        </c:scaling>
        <c:delete val="0"/>
        <c:axPos val="b"/>
        <c:numFmt formatCode="0%" sourceLinked="1"/>
        <c:majorTickMark val="none"/>
        <c:minorTickMark val="none"/>
        <c:tickLblPos val="none"/>
        <c:crossAx val="196620288"/>
        <c:crosses val="autoZero"/>
        <c:crossBetween val="between"/>
        <c:majorUnit val="0.1"/>
        <c:minorUnit val="5.0000000000000024E-2"/>
      </c:valAx>
      <c:spPr>
        <a:ln w="12700">
          <a:solidFill>
            <a:schemeClr val="bg1">
              <a:lumMod val="65000"/>
            </a:schemeClr>
          </a:solidFill>
        </a:ln>
      </c:spPr>
    </c:plotArea>
    <c:legend>
      <c:legendPos val="r"/>
      <c:layout>
        <c:manualLayout>
          <c:xMode val="edge"/>
          <c:yMode val="edge"/>
          <c:x val="0.18263723544973545"/>
          <c:y val="0.18978632082754363"/>
          <c:w val="0.74051322751322757"/>
          <c:h val="4.9660645360506399E-2"/>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C23 Jednotlivci v Česku </a:t>
            </a:r>
          </a:p>
          <a:p>
            <a:pPr>
              <a:defRPr sz="800" b="1"/>
            </a:pPr>
            <a:r>
              <a:rPr lang="cs-CZ" sz="800" b="1"/>
              <a:t>hrající hry na internetu v roce 2017 (%)</a:t>
            </a:r>
            <a:endParaRPr lang="en-US" sz="800" b="1"/>
          </a:p>
        </c:rich>
      </c:tx>
      <c:layout>
        <c:manualLayout>
          <c:xMode val="edge"/>
          <c:yMode val="edge"/>
          <c:x val="0.22276532567049825"/>
          <c:y val="2.3031028417024861E-2"/>
        </c:manualLayout>
      </c:layout>
      <c:overlay val="1"/>
    </c:title>
    <c:autoTitleDeleted val="0"/>
    <c:plotArea>
      <c:layout>
        <c:manualLayout>
          <c:layoutTarget val="inner"/>
          <c:xMode val="edge"/>
          <c:yMode val="edge"/>
          <c:x val="0.16302083333333334"/>
          <c:y val="0.11672027777777783"/>
          <c:w val="0.79678839940588342"/>
          <c:h val="0.7669070987654325"/>
        </c:manualLayout>
      </c:layout>
      <c:barChart>
        <c:barDir val="bar"/>
        <c:grouping val="clustered"/>
        <c:varyColors val="0"/>
        <c:ser>
          <c:idx val="0"/>
          <c:order val="0"/>
          <c:tx>
            <c:strRef>
              <c:f>C_CZ!$B$414</c:f>
              <c:strCache>
                <c:ptCount val="1"/>
                <c:pt idx="0">
                  <c:v> % uživatelů internetu</c:v>
                </c:pt>
              </c:strCache>
            </c:strRef>
          </c:tx>
          <c:spPr>
            <a:solidFill>
              <a:srgbClr val="47E5FF"/>
            </a:solidFill>
          </c:spPr>
          <c:invertIfNegative val="0"/>
          <c:dLbls>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dLbls>
          <c:cat>
            <c:strRef>
              <c:f>C_CZ!$A$415:$A$425</c:f>
              <c:strCache>
                <c:ptCount val="11"/>
                <c:pt idx="0">
                  <c:v>  65+</c:v>
                </c:pt>
                <c:pt idx="1">
                  <c:v>  55–64</c:v>
                </c:pt>
                <c:pt idx="2">
                  <c:v>  45–54</c:v>
                </c:pt>
                <c:pt idx="3">
                  <c:v>  35–44</c:v>
                </c:pt>
                <c:pt idx="4">
                  <c:v>  25–34</c:v>
                </c:pt>
                <c:pt idx="5">
                  <c:v>  16–24</c:v>
                </c:pt>
                <c:pt idx="7">
                  <c:v>ženy</c:v>
                </c:pt>
                <c:pt idx="8">
                  <c:v>muži</c:v>
                </c:pt>
                <c:pt idx="10">
                  <c:v>Celkem</c:v>
                </c:pt>
              </c:strCache>
            </c:strRef>
          </c:cat>
          <c:val>
            <c:numRef>
              <c:f>C_CZ!$B$415:$B$425</c:f>
              <c:numCache>
                <c:formatCode>0%</c:formatCode>
                <c:ptCount val="11"/>
                <c:pt idx="0">
                  <c:v>0.1203505058887121</c:v>
                </c:pt>
                <c:pt idx="1">
                  <c:v>0.10739873091198887</c:v>
                </c:pt>
                <c:pt idx="2">
                  <c:v>0.1367668556103252</c:v>
                </c:pt>
                <c:pt idx="3">
                  <c:v>0.20214419685331383</c:v>
                </c:pt>
                <c:pt idx="4">
                  <c:v>0.31365995714759937</c:v>
                </c:pt>
                <c:pt idx="5">
                  <c:v>0.67460098553224257</c:v>
                </c:pt>
                <c:pt idx="7">
                  <c:v>0.14419019712306899</c:v>
                </c:pt>
                <c:pt idx="8">
                  <c:v>0.35523267552335402</c:v>
                </c:pt>
                <c:pt idx="10">
                  <c:v>0.249400244917766</c:v>
                </c:pt>
              </c:numCache>
            </c:numRef>
          </c:val>
        </c:ser>
        <c:ser>
          <c:idx val="1"/>
          <c:order val="1"/>
          <c:tx>
            <c:strRef>
              <c:f>C_CZ!$C$414</c:f>
              <c:strCache>
                <c:ptCount val="1"/>
                <c:pt idx="0">
                  <c:v> % jednotlivců celkem</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C_CZ!$A$415:$A$425</c:f>
              <c:strCache>
                <c:ptCount val="11"/>
                <c:pt idx="0">
                  <c:v>  65+</c:v>
                </c:pt>
                <c:pt idx="1">
                  <c:v>  55–64</c:v>
                </c:pt>
                <c:pt idx="2">
                  <c:v>  45–54</c:v>
                </c:pt>
                <c:pt idx="3">
                  <c:v>  35–44</c:v>
                </c:pt>
                <c:pt idx="4">
                  <c:v>  25–34</c:v>
                </c:pt>
                <c:pt idx="5">
                  <c:v>  16–24</c:v>
                </c:pt>
                <c:pt idx="7">
                  <c:v>ženy</c:v>
                </c:pt>
                <c:pt idx="8">
                  <c:v>muži</c:v>
                </c:pt>
                <c:pt idx="10">
                  <c:v>Celkem</c:v>
                </c:pt>
              </c:strCache>
            </c:strRef>
          </c:cat>
          <c:val>
            <c:numRef>
              <c:f>C_CZ!$C$415:$C$425</c:f>
              <c:numCache>
                <c:formatCode>0%</c:formatCode>
                <c:ptCount val="11"/>
                <c:pt idx="0">
                  <c:v>4.0350855698291055E-2</c:v>
                </c:pt>
                <c:pt idx="1">
                  <c:v>8.0816060796710609E-2</c:v>
                </c:pt>
                <c:pt idx="2">
                  <c:v>0.12516900406885936</c:v>
                </c:pt>
                <c:pt idx="3">
                  <c:v>0.19584815840088438</c:v>
                </c:pt>
                <c:pt idx="4">
                  <c:v>0.30213445364716074</c:v>
                </c:pt>
                <c:pt idx="5">
                  <c:v>0.66796756559116777</c:v>
                </c:pt>
                <c:pt idx="7">
                  <c:v>0.10938937787220628</c:v>
                </c:pt>
                <c:pt idx="8">
                  <c:v>0.28943205785760029</c:v>
                </c:pt>
                <c:pt idx="10">
                  <c:v>0.196325791524497</c:v>
                </c:pt>
              </c:numCache>
            </c:numRef>
          </c:val>
        </c:ser>
        <c:dLbls>
          <c:showLegendKey val="0"/>
          <c:showVal val="0"/>
          <c:showCatName val="0"/>
          <c:showSerName val="0"/>
          <c:showPercent val="0"/>
          <c:showBubbleSize val="0"/>
        </c:dLbls>
        <c:gapWidth val="30"/>
        <c:axId val="196416000"/>
        <c:axId val="194447616"/>
      </c:barChart>
      <c:catAx>
        <c:axId val="196416000"/>
        <c:scaling>
          <c:orientation val="minMax"/>
        </c:scaling>
        <c:delete val="0"/>
        <c:axPos val="l"/>
        <c:numFmt formatCode="General" sourceLinked="1"/>
        <c:majorTickMark val="out"/>
        <c:minorTickMark val="none"/>
        <c:tickLblPos val="nextTo"/>
        <c:spPr>
          <a:ln>
            <a:solidFill>
              <a:schemeClr val="tx1"/>
            </a:solidFill>
          </a:ln>
        </c:spPr>
        <c:crossAx val="194447616"/>
        <c:crosses val="autoZero"/>
        <c:auto val="1"/>
        <c:lblAlgn val="ctr"/>
        <c:lblOffset val="100"/>
        <c:noMultiLvlLbl val="0"/>
      </c:catAx>
      <c:valAx>
        <c:axId val="194447616"/>
        <c:scaling>
          <c:orientation val="minMax"/>
          <c:max val="1"/>
        </c:scaling>
        <c:delete val="0"/>
        <c:axPos val="b"/>
        <c:numFmt formatCode="0%" sourceLinked="1"/>
        <c:majorTickMark val="none"/>
        <c:minorTickMark val="none"/>
        <c:tickLblPos val="none"/>
        <c:crossAx val="196416000"/>
        <c:crosses val="autoZero"/>
        <c:crossBetween val="between"/>
        <c:majorUnit val="0.1"/>
        <c:minorUnit val="5.0000000000000024E-2"/>
      </c:valAx>
      <c:spPr>
        <a:ln w="12700">
          <a:solidFill>
            <a:schemeClr val="bg1">
              <a:lumMod val="65000"/>
            </a:schemeClr>
          </a:solidFill>
        </a:ln>
      </c:spPr>
    </c:plotArea>
    <c:legend>
      <c:legendPos val="r"/>
      <c:layout>
        <c:manualLayout>
          <c:xMode val="edge"/>
          <c:yMode val="edge"/>
          <c:x val="0.46821924603174603"/>
          <c:y val="0.75449938271604944"/>
          <c:w val="0.4717301587301585"/>
          <c:h val="0.11239845679012345"/>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49831649831703E-2"/>
          <c:y val="0.12188240740740741"/>
          <c:w val="0.90411750841750838"/>
          <c:h val="0.58466080246913621"/>
        </c:manualLayout>
      </c:layout>
      <c:barChart>
        <c:barDir val="col"/>
        <c:grouping val="clustered"/>
        <c:varyColors val="0"/>
        <c:ser>
          <c:idx val="0"/>
          <c:order val="0"/>
          <c:tx>
            <c:strRef>
              <c:f>C_CZ!$B$434</c:f>
              <c:strCache>
                <c:ptCount val="1"/>
                <c:pt idx="0">
                  <c:v> Jednotlivci celkem ve věku 16-74 let </c:v>
                </c:pt>
              </c:strCache>
            </c:strRef>
          </c:tx>
          <c:spPr>
            <a:solidFill>
              <a:srgbClr val="009BB4"/>
            </a:solidFill>
            <a:ln>
              <a:noFill/>
            </a:ln>
          </c:spPr>
          <c:invertIfNegative val="0"/>
          <c:dPt>
            <c:idx val="0"/>
            <c:invertIfNegative val="0"/>
            <c:bubble3D val="0"/>
          </c:dPt>
          <c:dPt>
            <c:idx val="8"/>
            <c:invertIfNegative val="0"/>
            <c:bubble3D val="0"/>
            <c:spPr>
              <a:solidFill>
                <a:srgbClr val="009BB4"/>
              </a:solidFill>
              <a:ln w="19050">
                <a:noFill/>
              </a:ln>
            </c:spPr>
          </c:dPt>
          <c:dPt>
            <c:idx val="11"/>
            <c:invertIfNegative val="0"/>
            <c:bubble3D val="0"/>
            <c:spPr>
              <a:solidFill>
                <a:srgbClr val="009BB4"/>
              </a:solidFill>
              <a:ln>
                <a:solidFill>
                  <a:srgbClr val="FF0000"/>
                </a:solidFill>
              </a:ln>
            </c:spPr>
          </c:dPt>
          <c:dPt>
            <c:idx val="13"/>
            <c:invertIfNegative val="0"/>
            <c:bubble3D val="0"/>
            <c:spPr>
              <a:solidFill>
                <a:srgbClr val="009BB4"/>
              </a:solidFill>
              <a:ln w="19050">
                <a:noFill/>
              </a:ln>
            </c:spPr>
          </c:dPt>
          <c:dPt>
            <c:idx val="17"/>
            <c:invertIfNegative val="0"/>
            <c:bubble3D val="0"/>
          </c:dPt>
          <c:dPt>
            <c:idx val="28"/>
            <c:invertIfNegative val="0"/>
            <c:bubble3D val="0"/>
            <c:spPr>
              <a:solidFill>
                <a:srgbClr val="009BB4"/>
              </a:solidFill>
              <a:ln>
                <a:solidFill>
                  <a:srgbClr val="FF0000"/>
                </a:solidFill>
              </a:ln>
            </c:spPr>
          </c:dPt>
          <c:dLbls>
            <c:txPr>
              <a:bodyPr rot="-5400000" vert="horz"/>
              <a:lstStyle/>
              <a:p>
                <a:pPr>
                  <a:defRPr sz="800" b="1"/>
                </a:pPr>
                <a:endParaRPr lang="cs-CZ"/>
              </a:p>
            </c:txPr>
            <c:dLblPos val="inBase"/>
            <c:showLegendKey val="0"/>
            <c:showVal val="1"/>
            <c:showCatName val="0"/>
            <c:showSerName val="0"/>
            <c:showPercent val="0"/>
            <c:showBubbleSize val="0"/>
            <c:showLeaderLines val="0"/>
          </c:dLbls>
          <c:cat>
            <c:strRef>
              <c:f>C_CZ!$A$435:$A$463</c:f>
              <c:strCache>
                <c:ptCount val="29"/>
                <c:pt idx="0">
                  <c:v>Dánsko</c:v>
                </c:pt>
                <c:pt idx="1">
                  <c:v>Švédsko</c:v>
                </c:pt>
                <c:pt idx="2">
                  <c:v>Nizozemsko</c:v>
                </c:pt>
                <c:pt idx="3">
                  <c:v>Finsko</c:v>
                </c:pt>
                <c:pt idx="4">
                  <c:v>Velká Británie</c:v>
                </c:pt>
                <c:pt idx="5">
                  <c:v>Lucembursko</c:v>
                </c:pt>
                <c:pt idx="6">
                  <c:v>Španělsko</c:v>
                </c:pt>
                <c:pt idx="7">
                  <c:v>Estonsko</c:v>
                </c:pt>
                <c:pt idx="8">
                  <c:v>Německo</c:v>
                </c:pt>
                <c:pt idx="9">
                  <c:v>Malta</c:v>
                </c:pt>
                <c:pt idx="10">
                  <c:v>Irsko</c:v>
                </c:pt>
                <c:pt idx="11">
                  <c:v>EU28</c:v>
                </c:pt>
                <c:pt idx="12">
                  <c:v>Slovinsko</c:v>
                </c:pt>
                <c:pt idx="13">
                  <c:v>Chorvatsko</c:v>
                </c:pt>
                <c:pt idx="14">
                  <c:v>Rakousko</c:v>
                </c:pt>
                <c:pt idx="15">
                  <c:v>Lotyšsko</c:v>
                </c:pt>
                <c:pt idx="16">
                  <c:v>Belgie</c:v>
                </c:pt>
                <c:pt idx="17">
                  <c:v>Francie</c:v>
                </c:pt>
                <c:pt idx="18">
                  <c:v>Itálie</c:v>
                </c:pt>
                <c:pt idx="19">
                  <c:v>Kypr</c:v>
                </c:pt>
                <c:pt idx="20">
                  <c:v>Litva</c:v>
                </c:pt>
                <c:pt idx="21">
                  <c:v>Řecko</c:v>
                </c:pt>
                <c:pt idx="22">
                  <c:v>Maďarsko</c:v>
                </c:pt>
                <c:pt idx="23">
                  <c:v>Portugalsko</c:v>
                </c:pt>
                <c:pt idx="24">
                  <c:v>Slovensko</c:v>
                </c:pt>
                <c:pt idx="25">
                  <c:v>Bulharsko</c:v>
                </c:pt>
                <c:pt idx="26">
                  <c:v>Polsko</c:v>
                </c:pt>
                <c:pt idx="27">
                  <c:v>Rumunsko</c:v>
                </c:pt>
                <c:pt idx="28">
                  <c:v>Česko</c:v>
                </c:pt>
              </c:strCache>
            </c:strRef>
          </c:cat>
          <c:val>
            <c:numRef>
              <c:f>C_CZ!$B$435:$B$463</c:f>
              <c:numCache>
                <c:formatCode>0%</c:formatCode>
                <c:ptCount val="29"/>
                <c:pt idx="0">
                  <c:v>0.47548800000000002</c:v>
                </c:pt>
                <c:pt idx="1">
                  <c:v>0.45409899999999997</c:v>
                </c:pt>
                <c:pt idx="2">
                  <c:v>0.36115000000000003</c:v>
                </c:pt>
                <c:pt idx="3">
                  <c:v>0.34428199999999998</c:v>
                </c:pt>
                <c:pt idx="4">
                  <c:v>0.32029299999999999</c:v>
                </c:pt>
                <c:pt idx="5">
                  <c:v>0.28289500000000001</c:v>
                </c:pt>
                <c:pt idx="6">
                  <c:v>0.21720200000000001</c:v>
                </c:pt>
                <c:pt idx="7">
                  <c:v>0.211701</c:v>
                </c:pt>
                <c:pt idx="8">
                  <c:v>0.21025099999999999</c:v>
                </c:pt>
                <c:pt idx="9">
                  <c:v>0.200568</c:v>
                </c:pt>
                <c:pt idx="10">
                  <c:v>0.19803100000000001</c:v>
                </c:pt>
                <c:pt idx="11">
                  <c:v>0.169457</c:v>
                </c:pt>
                <c:pt idx="12">
                  <c:v>0.13243099999999999</c:v>
                </c:pt>
                <c:pt idx="13">
                  <c:v>0.12239899999999999</c:v>
                </c:pt>
                <c:pt idx="14">
                  <c:v>0.121471</c:v>
                </c:pt>
                <c:pt idx="15">
                  <c:v>0.116961</c:v>
                </c:pt>
                <c:pt idx="16">
                  <c:v>0.10655199999999999</c:v>
                </c:pt>
                <c:pt idx="17">
                  <c:v>0.103284</c:v>
                </c:pt>
                <c:pt idx="18">
                  <c:v>0.101391</c:v>
                </c:pt>
                <c:pt idx="19">
                  <c:v>8.7458999999999995E-2</c:v>
                </c:pt>
                <c:pt idx="20">
                  <c:v>8.2076999999999997E-2</c:v>
                </c:pt>
                <c:pt idx="21">
                  <c:v>8.1927E-2</c:v>
                </c:pt>
                <c:pt idx="22">
                  <c:v>6.1048999999999999E-2</c:v>
                </c:pt>
                <c:pt idx="23">
                  <c:v>6.0183E-2</c:v>
                </c:pt>
                <c:pt idx="24">
                  <c:v>5.8645999999999997E-2</c:v>
                </c:pt>
                <c:pt idx="25">
                  <c:v>4.8168999999999997E-2</c:v>
                </c:pt>
                <c:pt idx="26">
                  <c:v>4.1119000000000003E-2</c:v>
                </c:pt>
                <c:pt idx="27">
                  <c:v>3.3378999999999999E-2</c:v>
                </c:pt>
                <c:pt idx="28">
                  <c:v>3.1795999999999998E-2</c:v>
                </c:pt>
              </c:numCache>
            </c:numRef>
          </c:val>
        </c:ser>
        <c:ser>
          <c:idx val="1"/>
          <c:order val="1"/>
          <c:tx>
            <c:strRef>
              <c:f>C_CZ!$C$434</c:f>
              <c:strCache>
                <c:ptCount val="1"/>
                <c:pt idx="0">
                  <c:v> Mladí ve věku 16-29 let</c:v>
                </c:pt>
              </c:strCache>
            </c:strRef>
          </c:tx>
          <c:spPr>
            <a:solidFill>
              <a:srgbClr val="47E5FF"/>
            </a:solidFill>
            <a:ln>
              <a:noFill/>
            </a:ln>
          </c:spPr>
          <c:invertIfNegative val="0"/>
          <c:dPt>
            <c:idx val="0"/>
            <c:invertIfNegative val="0"/>
            <c:bubble3D val="0"/>
          </c:dPt>
          <c:dPt>
            <c:idx val="11"/>
            <c:invertIfNegative val="0"/>
            <c:bubble3D val="0"/>
            <c:spPr>
              <a:solidFill>
                <a:srgbClr val="47E5FF"/>
              </a:solidFill>
              <a:ln>
                <a:solidFill>
                  <a:srgbClr val="FF0000"/>
                </a:solidFill>
              </a:ln>
            </c:spPr>
          </c:dPt>
          <c:dPt>
            <c:idx val="13"/>
            <c:invertIfNegative val="0"/>
            <c:bubble3D val="0"/>
          </c:dPt>
          <c:dPt>
            <c:idx val="17"/>
            <c:invertIfNegative val="0"/>
            <c:bubble3D val="0"/>
          </c:dPt>
          <c:dPt>
            <c:idx val="28"/>
            <c:invertIfNegative val="0"/>
            <c:bubble3D val="0"/>
            <c:spPr>
              <a:solidFill>
                <a:srgbClr val="47E5FF"/>
              </a:solidFill>
              <a:ln>
                <a:solidFill>
                  <a:srgbClr val="FF0000"/>
                </a:solidFill>
              </a:ln>
            </c:spPr>
          </c:dPt>
          <c:dLbls>
            <c:dLbl>
              <c:idx val="0"/>
              <c:layout>
                <c:manualLayout>
                  <c:x val="-9.5110557048149362E-18"/>
                  <c:y val="0.10188773095220904"/>
                </c:manualLayout>
              </c:layout>
              <c:showLegendKey val="0"/>
              <c:showVal val="1"/>
              <c:showCatName val="0"/>
              <c:showSerName val="0"/>
              <c:showPercent val="0"/>
              <c:showBubbleSize val="0"/>
            </c:dLbl>
            <c:dLbl>
              <c:idx val="3"/>
              <c:layout>
                <c:manualLayout>
                  <c:x val="-3.8985904407333952E-17"/>
                  <c:y val="6.2695924764890276E-2"/>
                </c:manualLayout>
              </c:layout>
              <c:showLegendKey val="0"/>
              <c:showVal val="1"/>
              <c:showCatName val="0"/>
              <c:showSerName val="0"/>
              <c:showPercent val="0"/>
              <c:showBubbleSize val="0"/>
            </c:dLbl>
            <c:txPr>
              <a:bodyPr rot="-5400000" vert="horz"/>
              <a:lstStyle/>
              <a:p>
                <a:pPr>
                  <a:defRPr b="1"/>
                </a:pPr>
                <a:endParaRPr lang="cs-CZ"/>
              </a:p>
            </c:txPr>
            <c:showLegendKey val="0"/>
            <c:showVal val="1"/>
            <c:showCatName val="0"/>
            <c:showSerName val="0"/>
            <c:showPercent val="0"/>
            <c:showBubbleSize val="0"/>
            <c:showLeaderLines val="0"/>
          </c:dLbls>
          <c:cat>
            <c:strRef>
              <c:f>C_CZ!$A$435:$A$463</c:f>
              <c:strCache>
                <c:ptCount val="29"/>
                <c:pt idx="0">
                  <c:v>Dánsko</c:v>
                </c:pt>
                <c:pt idx="1">
                  <c:v>Švédsko</c:v>
                </c:pt>
                <c:pt idx="2">
                  <c:v>Nizozemsko</c:v>
                </c:pt>
                <c:pt idx="3">
                  <c:v>Finsko</c:v>
                </c:pt>
                <c:pt idx="4">
                  <c:v>Velká Británie</c:v>
                </c:pt>
                <c:pt idx="5">
                  <c:v>Lucembursko</c:v>
                </c:pt>
                <c:pt idx="6">
                  <c:v>Španělsko</c:v>
                </c:pt>
                <c:pt idx="7">
                  <c:v>Estonsko</c:v>
                </c:pt>
                <c:pt idx="8">
                  <c:v>Německo</c:v>
                </c:pt>
                <c:pt idx="9">
                  <c:v>Malta</c:v>
                </c:pt>
                <c:pt idx="10">
                  <c:v>Irsko</c:v>
                </c:pt>
                <c:pt idx="11">
                  <c:v>EU28</c:v>
                </c:pt>
                <c:pt idx="12">
                  <c:v>Slovinsko</c:v>
                </c:pt>
                <c:pt idx="13">
                  <c:v>Chorvatsko</c:v>
                </c:pt>
                <c:pt idx="14">
                  <c:v>Rakousko</c:v>
                </c:pt>
                <c:pt idx="15">
                  <c:v>Lotyšsko</c:v>
                </c:pt>
                <c:pt idx="16">
                  <c:v>Belgie</c:v>
                </c:pt>
                <c:pt idx="17">
                  <c:v>Francie</c:v>
                </c:pt>
                <c:pt idx="18">
                  <c:v>Itálie</c:v>
                </c:pt>
                <c:pt idx="19">
                  <c:v>Kypr</c:v>
                </c:pt>
                <c:pt idx="20">
                  <c:v>Litva</c:v>
                </c:pt>
                <c:pt idx="21">
                  <c:v>Řecko</c:v>
                </c:pt>
                <c:pt idx="22">
                  <c:v>Maďarsko</c:v>
                </c:pt>
                <c:pt idx="23">
                  <c:v>Portugalsko</c:v>
                </c:pt>
                <c:pt idx="24">
                  <c:v>Slovensko</c:v>
                </c:pt>
                <c:pt idx="25">
                  <c:v>Bulharsko</c:v>
                </c:pt>
                <c:pt idx="26">
                  <c:v>Polsko</c:v>
                </c:pt>
                <c:pt idx="27">
                  <c:v>Rumunsko</c:v>
                </c:pt>
                <c:pt idx="28">
                  <c:v>Česko</c:v>
                </c:pt>
              </c:strCache>
            </c:strRef>
          </c:cat>
          <c:val>
            <c:numRef>
              <c:f>C_CZ!$C$435:$C$463</c:f>
              <c:numCache>
                <c:formatCode>0%</c:formatCode>
                <c:ptCount val="29"/>
                <c:pt idx="0">
                  <c:v>0.72498799999999997</c:v>
                </c:pt>
                <c:pt idx="1">
                  <c:v>0.59340300000000001</c:v>
                </c:pt>
                <c:pt idx="2">
                  <c:v>0.60194199999999998</c:v>
                </c:pt>
                <c:pt idx="3">
                  <c:v>0.65639599999999998</c:v>
                </c:pt>
                <c:pt idx="4">
                  <c:v>0.52584500000000001</c:v>
                </c:pt>
                <c:pt idx="5">
                  <c:v>0.37435800000000002</c:v>
                </c:pt>
                <c:pt idx="6">
                  <c:v>0.39543800000000001</c:v>
                </c:pt>
                <c:pt idx="7">
                  <c:v>0.40043899999999999</c:v>
                </c:pt>
                <c:pt idx="8">
                  <c:v>0.40734700000000001</c:v>
                </c:pt>
                <c:pt idx="9">
                  <c:v>0.38484299999999999</c:v>
                </c:pt>
                <c:pt idx="10">
                  <c:v>0.366506</c:v>
                </c:pt>
                <c:pt idx="11">
                  <c:v>0.30843700000000002</c:v>
                </c:pt>
                <c:pt idx="12">
                  <c:v>0.31092500000000001</c:v>
                </c:pt>
                <c:pt idx="13">
                  <c:v>0.19800200000000001</c:v>
                </c:pt>
                <c:pt idx="14">
                  <c:v>0.23258000000000001</c:v>
                </c:pt>
                <c:pt idx="15">
                  <c:v>0.24082200000000001</c:v>
                </c:pt>
                <c:pt idx="16">
                  <c:v>0.223936</c:v>
                </c:pt>
                <c:pt idx="17">
                  <c:v>0.212313</c:v>
                </c:pt>
                <c:pt idx="18">
                  <c:v>0.18743099999999999</c:v>
                </c:pt>
                <c:pt idx="19">
                  <c:v>0.136493</c:v>
                </c:pt>
                <c:pt idx="20">
                  <c:v>0.17920900000000001</c:v>
                </c:pt>
                <c:pt idx="21">
                  <c:v>0.197104</c:v>
                </c:pt>
                <c:pt idx="22">
                  <c:v>0.119156</c:v>
                </c:pt>
                <c:pt idx="23">
                  <c:v>0.17002300000000001</c:v>
                </c:pt>
                <c:pt idx="24">
                  <c:v>0.10279000000000001</c:v>
                </c:pt>
                <c:pt idx="25">
                  <c:v>9.7646999999999998E-2</c:v>
                </c:pt>
                <c:pt idx="26">
                  <c:v>7.8290999999999999E-2</c:v>
                </c:pt>
                <c:pt idx="27">
                  <c:v>6.4852000000000007E-2</c:v>
                </c:pt>
                <c:pt idx="28">
                  <c:v>7.1549000000000001E-2</c:v>
                </c:pt>
              </c:numCache>
            </c:numRef>
          </c:val>
        </c:ser>
        <c:dLbls>
          <c:showLegendKey val="0"/>
          <c:showVal val="0"/>
          <c:showCatName val="0"/>
          <c:showSerName val="0"/>
          <c:showPercent val="0"/>
          <c:showBubbleSize val="0"/>
        </c:dLbls>
        <c:gapWidth val="30"/>
        <c:axId val="196416512"/>
        <c:axId val="194449344"/>
      </c:barChart>
      <c:catAx>
        <c:axId val="196416512"/>
        <c:scaling>
          <c:orientation val="minMax"/>
        </c:scaling>
        <c:delete val="0"/>
        <c:axPos val="b"/>
        <c:majorTickMark val="out"/>
        <c:minorTickMark val="none"/>
        <c:tickLblPos val="nextTo"/>
        <c:spPr>
          <a:ln>
            <a:solidFill>
              <a:schemeClr val="tx1"/>
            </a:solidFill>
          </a:ln>
        </c:spPr>
        <c:crossAx val="194449344"/>
        <c:crosses val="autoZero"/>
        <c:auto val="1"/>
        <c:lblAlgn val="ctr"/>
        <c:lblOffset val="100"/>
        <c:noMultiLvlLbl val="0"/>
      </c:catAx>
      <c:valAx>
        <c:axId val="194449344"/>
        <c:scaling>
          <c:orientation val="minMax"/>
          <c:max val="0.75000000000000056"/>
          <c:min val="0"/>
        </c:scaling>
        <c:delete val="1"/>
        <c:axPos val="l"/>
        <c:numFmt formatCode="0%" sourceLinked="1"/>
        <c:majorTickMark val="out"/>
        <c:minorTickMark val="none"/>
        <c:tickLblPos val="nextTo"/>
        <c:crossAx val="196416512"/>
        <c:crosses val="autoZero"/>
        <c:crossBetween val="between"/>
        <c:majorUnit val="0.1"/>
        <c:minorUnit val="5.0000000000000024E-2"/>
      </c:valAx>
      <c:spPr>
        <a:ln>
          <a:solidFill>
            <a:schemeClr val="tx1">
              <a:tint val="75000"/>
              <a:shade val="95000"/>
              <a:satMod val="105000"/>
            </a:schemeClr>
          </a:solidFill>
        </a:ln>
      </c:spPr>
    </c:plotArea>
    <c:legend>
      <c:legendPos val="r"/>
      <c:layout>
        <c:manualLayout>
          <c:xMode val="edge"/>
          <c:yMode val="edge"/>
          <c:x val="0.6304830065359478"/>
          <c:y val="0.18125490384846807"/>
          <c:w val="0.32690702614379086"/>
          <c:h val="0.11433151219042567"/>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i="0" baseline="0">
                <a:effectLst/>
              </a:rPr>
              <a:t>Graf C25 Jednotlivci v Česku  ve věku 16 let </a:t>
            </a: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i="0" baseline="0">
                <a:effectLst/>
              </a:rPr>
              <a:t>a starší  hledající na internetu informace </a:t>
            </a: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i="0" baseline="0">
                <a:effectLst/>
              </a:rPr>
              <a:t>o cestování</a:t>
            </a:r>
            <a:endParaRPr lang="en-US" sz="800" b="1"/>
          </a:p>
        </c:rich>
      </c:tx>
      <c:layout>
        <c:manualLayout>
          <c:xMode val="edge"/>
          <c:yMode val="edge"/>
          <c:x val="0.13270214190093707"/>
          <c:y val="7.0555555555555545E-3"/>
        </c:manualLayout>
      </c:layout>
      <c:overlay val="1"/>
    </c:title>
    <c:autoTitleDeleted val="0"/>
    <c:plotArea>
      <c:layout>
        <c:manualLayout>
          <c:layoutTarget val="inner"/>
          <c:xMode val="edge"/>
          <c:yMode val="edge"/>
          <c:x val="1.3813516798106587E-2"/>
          <c:y val="0.12904148148148176"/>
          <c:w val="0.96948369216085761"/>
          <c:h val="0.7040259259259255"/>
        </c:manualLayout>
      </c:layout>
      <c:barChart>
        <c:barDir val="col"/>
        <c:grouping val="clustered"/>
        <c:varyColors val="0"/>
        <c:ser>
          <c:idx val="2"/>
          <c:order val="0"/>
          <c:tx>
            <c:strRef>
              <c:f>C_CZ!$A$468</c:f>
              <c:strCache>
                <c:ptCount val="1"/>
                <c:pt idx="0">
                  <c:v> miliony jednotlivců</c:v>
                </c:pt>
              </c:strCache>
            </c:strRef>
          </c:tx>
          <c:spPr>
            <a:solidFill>
              <a:srgbClr val="009BB4"/>
            </a:solidFill>
            <a:ln w="25400">
              <a:noFill/>
            </a:ln>
          </c:spPr>
          <c:invertIfNegative val="0"/>
          <c:dLbls>
            <c:dLbl>
              <c:idx val="0"/>
              <c:layout>
                <c:manualLayout>
                  <c:x val="0"/>
                  <c:y val="5.827254428341385E-2"/>
                </c:manualLayout>
              </c:layout>
              <c:dLblPos val="outEnd"/>
              <c:showLegendKey val="0"/>
              <c:showVal val="1"/>
              <c:showCatName val="0"/>
              <c:showSerName val="0"/>
              <c:showPercent val="0"/>
              <c:showBubbleSize val="0"/>
            </c:dLbl>
            <c:numFmt formatCode="#,##0.0" sourceLinked="0"/>
            <c:txPr>
              <a:bodyPr/>
              <a:lstStyle/>
              <a:p>
                <a:pPr>
                  <a:defRPr b="1">
                    <a:solidFill>
                      <a:schemeClr val="bg1"/>
                    </a:solidFill>
                  </a:defRPr>
                </a:pPr>
                <a:endParaRPr lang="cs-CZ"/>
              </a:p>
            </c:txPr>
            <c:dLblPos val="inEnd"/>
            <c:showLegendKey val="0"/>
            <c:showVal val="1"/>
            <c:showCatName val="0"/>
            <c:showSerName val="0"/>
            <c:showPercent val="0"/>
            <c:showBubbleSize val="0"/>
            <c:showLeaderLines val="0"/>
          </c:dLbls>
          <c:cat>
            <c:numRef>
              <c:f>C_CZ!$B$467:$F$467</c:f>
              <c:numCache>
                <c:formatCode>0</c:formatCode>
                <c:ptCount val="5"/>
                <c:pt idx="0">
                  <c:v>2009</c:v>
                </c:pt>
                <c:pt idx="1">
                  <c:v>2011</c:v>
                </c:pt>
                <c:pt idx="2">
                  <c:v>2013</c:v>
                </c:pt>
                <c:pt idx="3">
                  <c:v>2015</c:v>
                </c:pt>
                <c:pt idx="4">
                  <c:v>2017</c:v>
                </c:pt>
              </c:numCache>
            </c:numRef>
          </c:cat>
          <c:val>
            <c:numRef>
              <c:f>C_CZ!$B$468:$F$468</c:f>
              <c:numCache>
                <c:formatCode>#,##0.0</c:formatCode>
                <c:ptCount val="5"/>
                <c:pt idx="0">
                  <c:v>2.2187923828710039</c:v>
                </c:pt>
                <c:pt idx="1">
                  <c:v>3.0908756729595828</c:v>
                </c:pt>
                <c:pt idx="2">
                  <c:v>3.5473544002426487</c:v>
                </c:pt>
                <c:pt idx="3">
                  <c:v>3.9090903749757424</c:v>
                </c:pt>
                <c:pt idx="4" formatCode="0.0">
                  <c:v>3.8733422310115402</c:v>
                </c:pt>
              </c:numCache>
            </c:numRef>
          </c:val>
        </c:ser>
        <c:dLbls>
          <c:showLegendKey val="0"/>
          <c:showVal val="0"/>
          <c:showCatName val="0"/>
          <c:showSerName val="0"/>
          <c:showPercent val="0"/>
          <c:showBubbleSize val="0"/>
        </c:dLbls>
        <c:gapWidth val="50"/>
        <c:axId val="196621312"/>
        <c:axId val="194451072"/>
      </c:barChart>
      <c:lineChart>
        <c:grouping val="standard"/>
        <c:varyColors val="0"/>
        <c:ser>
          <c:idx val="0"/>
          <c:order val="1"/>
          <c:tx>
            <c:strRef>
              <c:f>C_CZ!$A$469</c:f>
              <c:strCache>
                <c:ptCount val="1"/>
                <c:pt idx="0">
                  <c:v> % jednotlivců celkem</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5.6513347763347772E-2"/>
                  <c:y val="-5.9531652639917193E-2"/>
                </c:manualLayout>
              </c:layout>
              <c:dLblPos val="r"/>
              <c:showLegendKey val="0"/>
              <c:showVal val="1"/>
              <c:showCatName val="0"/>
              <c:showSerName val="0"/>
              <c:showPercent val="0"/>
              <c:showBubbleSize val="0"/>
            </c:dLbl>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C_CZ!$B$467:$F$467</c:f>
              <c:numCache>
                <c:formatCode>0</c:formatCode>
                <c:ptCount val="5"/>
                <c:pt idx="0">
                  <c:v>2009</c:v>
                </c:pt>
                <c:pt idx="1">
                  <c:v>2011</c:v>
                </c:pt>
                <c:pt idx="2">
                  <c:v>2013</c:v>
                </c:pt>
                <c:pt idx="3">
                  <c:v>2015</c:v>
                </c:pt>
                <c:pt idx="4">
                  <c:v>2017</c:v>
                </c:pt>
              </c:numCache>
            </c:numRef>
          </c:cat>
          <c:val>
            <c:numRef>
              <c:f>C_CZ!$B$469:$F$469</c:f>
              <c:numCache>
                <c:formatCode>0.0%</c:formatCode>
                <c:ptCount val="5"/>
                <c:pt idx="0">
                  <c:v>0.24971940602417969</c:v>
                </c:pt>
                <c:pt idx="1">
                  <c:v>0.35002823474143474</c:v>
                </c:pt>
                <c:pt idx="2">
                  <c:v>0.40347901337058273</c:v>
                </c:pt>
                <c:pt idx="3">
                  <c:v>0.44557975778481657</c:v>
                </c:pt>
                <c:pt idx="4">
                  <c:v>0.442429934573221</c:v>
                </c:pt>
              </c:numCache>
            </c:numRef>
          </c:val>
          <c:smooth val="0"/>
        </c:ser>
        <c:ser>
          <c:idx val="1"/>
          <c:order val="2"/>
          <c:tx>
            <c:strRef>
              <c:f>C_CZ!$A$470</c:f>
              <c:strCache>
                <c:ptCount val="1"/>
                <c:pt idx="0">
                  <c:v>  % uživatelů internetu</c:v>
                </c:pt>
              </c:strCache>
            </c:strRef>
          </c:tx>
          <c:spPr>
            <a:ln w="19050">
              <a:solidFill>
                <a:srgbClr val="007D92"/>
              </a:solidFill>
            </a:ln>
          </c:spPr>
          <c:marker>
            <c:symbol val="circle"/>
            <c:size val="4"/>
            <c:spPr>
              <a:solidFill>
                <a:srgbClr val="47E5FF"/>
              </a:solidFill>
              <a:ln>
                <a:solidFill>
                  <a:srgbClr val="007D92"/>
                </a:solidFill>
              </a:ln>
            </c:spPr>
          </c:marker>
          <c:dLbls>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C_CZ!$B$467:$F$467</c:f>
              <c:numCache>
                <c:formatCode>0</c:formatCode>
                <c:ptCount val="5"/>
                <c:pt idx="0">
                  <c:v>2009</c:v>
                </c:pt>
                <c:pt idx="1">
                  <c:v>2011</c:v>
                </c:pt>
                <c:pt idx="2">
                  <c:v>2013</c:v>
                </c:pt>
                <c:pt idx="3">
                  <c:v>2015</c:v>
                </c:pt>
                <c:pt idx="4">
                  <c:v>2017</c:v>
                </c:pt>
              </c:numCache>
            </c:numRef>
          </c:cat>
          <c:val>
            <c:numRef>
              <c:f>C_CZ!$B$470:$F$470</c:f>
              <c:numCache>
                <c:formatCode>0.0%</c:formatCode>
                <c:ptCount val="5"/>
                <c:pt idx="0">
                  <c:v>0.44639951224612451</c:v>
                </c:pt>
                <c:pt idx="1">
                  <c:v>0.53477124814324883</c:v>
                </c:pt>
                <c:pt idx="2">
                  <c:v>0.58658015736327329</c:v>
                </c:pt>
                <c:pt idx="3">
                  <c:v>0.5888551791659663</c:v>
                </c:pt>
                <c:pt idx="4">
                  <c:v>0.56203585471216388</c:v>
                </c:pt>
              </c:numCache>
            </c:numRef>
          </c:val>
          <c:smooth val="0"/>
        </c:ser>
        <c:dLbls>
          <c:showLegendKey val="0"/>
          <c:showVal val="0"/>
          <c:showCatName val="0"/>
          <c:showSerName val="0"/>
          <c:showPercent val="0"/>
          <c:showBubbleSize val="0"/>
        </c:dLbls>
        <c:marker val="1"/>
        <c:smooth val="0"/>
        <c:axId val="196419072"/>
        <c:axId val="194451648"/>
      </c:lineChart>
      <c:catAx>
        <c:axId val="196621312"/>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cs-CZ"/>
          </a:p>
        </c:txPr>
        <c:crossAx val="194451072"/>
        <c:crosses val="autoZero"/>
        <c:auto val="1"/>
        <c:lblAlgn val="ctr"/>
        <c:lblOffset val="140"/>
        <c:tickLblSkip val="1"/>
        <c:tickMarkSkip val="1"/>
        <c:noMultiLvlLbl val="0"/>
      </c:catAx>
      <c:valAx>
        <c:axId val="194451072"/>
        <c:scaling>
          <c:orientation val="minMax"/>
          <c:max val="8"/>
          <c:min val="0"/>
        </c:scaling>
        <c:delete val="0"/>
        <c:axPos val="l"/>
        <c:majorGridlines>
          <c:spPr>
            <a:ln w="12700">
              <a:noFill/>
              <a:prstDash val="dash"/>
            </a:ln>
          </c:spPr>
        </c:majorGridlines>
        <c:numFmt formatCode="#,##0.0" sourceLinked="1"/>
        <c:majorTickMark val="none"/>
        <c:minorTickMark val="none"/>
        <c:tickLblPos val="none"/>
        <c:spPr>
          <a:ln w="9525">
            <a:noFill/>
          </a:ln>
        </c:spPr>
        <c:crossAx val="196621312"/>
        <c:crosses val="autoZero"/>
        <c:crossBetween val="between"/>
        <c:majorUnit val="1"/>
        <c:minorUnit val="2.0000000000000011E-2"/>
      </c:valAx>
      <c:catAx>
        <c:axId val="196419072"/>
        <c:scaling>
          <c:orientation val="minMax"/>
        </c:scaling>
        <c:delete val="1"/>
        <c:axPos val="b"/>
        <c:numFmt formatCode="0" sourceLinked="1"/>
        <c:majorTickMark val="out"/>
        <c:minorTickMark val="none"/>
        <c:tickLblPos val="none"/>
        <c:crossAx val="194451648"/>
        <c:crosses val="autoZero"/>
        <c:auto val="1"/>
        <c:lblAlgn val="ctr"/>
        <c:lblOffset val="100"/>
        <c:noMultiLvlLbl val="0"/>
      </c:catAx>
      <c:valAx>
        <c:axId val="194451648"/>
        <c:scaling>
          <c:orientation val="minMax"/>
          <c:max val="0.9"/>
          <c:min val="0"/>
        </c:scaling>
        <c:delete val="0"/>
        <c:axPos val="r"/>
        <c:numFmt formatCode="0.0%" sourceLinked="1"/>
        <c:majorTickMark val="none"/>
        <c:minorTickMark val="none"/>
        <c:tickLblPos val="none"/>
        <c:spPr>
          <a:ln>
            <a:solidFill>
              <a:schemeClr val="bg1">
                <a:lumMod val="65000"/>
              </a:schemeClr>
            </a:solidFill>
          </a:ln>
        </c:spPr>
        <c:crossAx val="196419072"/>
        <c:crosses val="max"/>
        <c:crossBetween val="between"/>
        <c:majorUnit val="5.0000000000000024E-2"/>
        <c:minorUnit val="1.0000000000000005E-2"/>
      </c:valAx>
      <c:spPr>
        <a:noFill/>
        <a:ln w="12700">
          <a:solidFill>
            <a:srgbClr val="A6A6A6"/>
          </a:solidFill>
          <a:prstDash val="solid"/>
        </a:ln>
      </c:spPr>
    </c:plotArea>
    <c:legend>
      <c:legendPos val="l"/>
      <c:legendEntry>
        <c:idx val="1"/>
        <c:txPr>
          <a:bodyPr/>
          <a:lstStyle/>
          <a:p>
            <a:pPr>
              <a:defRPr i="0"/>
            </a:pPr>
            <a:endParaRPr lang="cs-CZ"/>
          </a:p>
        </c:txPr>
      </c:legendEntry>
      <c:legendEntry>
        <c:idx val="2"/>
        <c:txPr>
          <a:bodyPr/>
          <a:lstStyle/>
          <a:p>
            <a:pPr>
              <a:defRPr i="0"/>
            </a:pPr>
            <a:endParaRPr lang="cs-CZ"/>
          </a:p>
        </c:txPr>
      </c:legendEntry>
      <c:layout>
        <c:manualLayout>
          <c:xMode val="edge"/>
          <c:yMode val="edge"/>
          <c:x val="2.7864159891598923E-2"/>
          <c:y val="0.15001358024691369"/>
          <c:w val="0.52594579945799469"/>
          <c:h val="0.13343425925925925"/>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C26 Jednotlivci v Česku, kteří nakoupili ubytování či letenky/jízdenky přes internet </a:t>
            </a:r>
          </a:p>
          <a:p>
            <a:pPr>
              <a:defRPr sz="800" b="1"/>
            </a:pPr>
            <a:r>
              <a:rPr lang="cs-CZ" sz="800" b="1" i="0" u="none" strike="noStrike" baseline="0">
                <a:effectLst/>
              </a:rPr>
              <a:t>v roce 2017 </a:t>
            </a:r>
            <a:r>
              <a:rPr lang="cs-CZ" sz="800" b="1"/>
              <a:t>(%)*</a:t>
            </a:r>
            <a:endParaRPr lang="en-US" sz="800" b="1"/>
          </a:p>
        </c:rich>
      </c:tx>
      <c:layout>
        <c:manualLayout>
          <c:xMode val="edge"/>
          <c:yMode val="edge"/>
          <c:x val="0.16943815869170201"/>
          <c:y val="3.4255518138633298E-3"/>
        </c:manualLayout>
      </c:layout>
      <c:overlay val="1"/>
    </c:title>
    <c:autoTitleDeleted val="0"/>
    <c:plotArea>
      <c:layout>
        <c:manualLayout>
          <c:layoutTarget val="inner"/>
          <c:xMode val="edge"/>
          <c:yMode val="edge"/>
          <c:x val="0.16302083333333334"/>
          <c:y val="0.1598376543209877"/>
          <c:w val="0.79678839940588342"/>
          <c:h val="0.66499351851851973"/>
        </c:manualLayout>
      </c:layout>
      <c:barChart>
        <c:barDir val="bar"/>
        <c:grouping val="clustered"/>
        <c:varyColors val="0"/>
        <c:ser>
          <c:idx val="0"/>
          <c:order val="0"/>
          <c:tx>
            <c:strRef>
              <c:f>C_CZ!$B$473</c:f>
              <c:strCache>
                <c:ptCount val="1"/>
                <c:pt idx="0">
                  <c:v> letenky nebo jízdenky</c:v>
                </c:pt>
              </c:strCache>
            </c:strRef>
          </c:tx>
          <c:spPr>
            <a:solidFill>
              <a:srgbClr val="47E5FF"/>
            </a:solidFill>
          </c:spPr>
          <c:invertIfNegative val="0"/>
          <c:dLbls>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showLeaderLines val="0"/>
          </c:dLbls>
          <c:cat>
            <c:strRef>
              <c:f>C_CZ!$A$474:$A$484</c:f>
              <c:strCache>
                <c:ptCount val="11"/>
                <c:pt idx="0">
                  <c:v>  65+</c:v>
                </c:pt>
                <c:pt idx="1">
                  <c:v>  55–64</c:v>
                </c:pt>
                <c:pt idx="2">
                  <c:v>  45–54</c:v>
                </c:pt>
                <c:pt idx="3">
                  <c:v>  35–44</c:v>
                </c:pt>
                <c:pt idx="4">
                  <c:v>  25–34</c:v>
                </c:pt>
                <c:pt idx="5">
                  <c:v>  16–24</c:v>
                </c:pt>
                <c:pt idx="7">
                  <c:v>ženy</c:v>
                </c:pt>
                <c:pt idx="8">
                  <c:v>muži</c:v>
                </c:pt>
                <c:pt idx="10">
                  <c:v>Celkem</c:v>
                </c:pt>
              </c:strCache>
            </c:strRef>
          </c:cat>
          <c:val>
            <c:numRef>
              <c:f>C_CZ!$B$474:$B$484</c:f>
              <c:numCache>
                <c:formatCode>0%</c:formatCode>
                <c:ptCount val="11"/>
                <c:pt idx="0">
                  <c:v>1.2032664676426252E-2</c:v>
                </c:pt>
                <c:pt idx="1">
                  <c:v>5.020329394905082E-2</c:v>
                </c:pt>
                <c:pt idx="2">
                  <c:v>9.0130848845407507E-2</c:v>
                </c:pt>
                <c:pt idx="3">
                  <c:v>0.12914136587096736</c:v>
                </c:pt>
                <c:pt idx="4">
                  <c:v>0.16902401263914155</c:v>
                </c:pt>
                <c:pt idx="5">
                  <c:v>0.1601229331120804</c:v>
                </c:pt>
                <c:pt idx="7">
                  <c:v>8.135353426816383E-2</c:v>
                </c:pt>
                <c:pt idx="8">
                  <c:v>0.10736730853504499</c:v>
                </c:pt>
                <c:pt idx="10">
                  <c:v>9.3844042179179382E-2</c:v>
                </c:pt>
              </c:numCache>
            </c:numRef>
          </c:val>
        </c:ser>
        <c:ser>
          <c:idx val="1"/>
          <c:order val="1"/>
          <c:tx>
            <c:strRef>
              <c:f>C_CZ!$C$473</c:f>
              <c:strCache>
                <c:ptCount val="1"/>
                <c:pt idx="0">
                  <c:v> ubytování</c:v>
                </c:pt>
              </c:strCache>
            </c:strRef>
          </c:tx>
          <c:spPr>
            <a:solidFill>
              <a:srgbClr val="009BB4"/>
            </a:solidFill>
          </c:spPr>
          <c:invertIfNegative val="0"/>
          <c:dLbls>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C_CZ!$A$474:$A$484</c:f>
              <c:strCache>
                <c:ptCount val="11"/>
                <c:pt idx="0">
                  <c:v>  65+</c:v>
                </c:pt>
                <c:pt idx="1">
                  <c:v>  55–64</c:v>
                </c:pt>
                <c:pt idx="2">
                  <c:v>  45–54</c:v>
                </c:pt>
                <c:pt idx="3">
                  <c:v>  35–44</c:v>
                </c:pt>
                <c:pt idx="4">
                  <c:v>  25–34</c:v>
                </c:pt>
                <c:pt idx="5">
                  <c:v>  16–24</c:v>
                </c:pt>
                <c:pt idx="7">
                  <c:v>ženy</c:v>
                </c:pt>
                <c:pt idx="8">
                  <c:v>muži</c:v>
                </c:pt>
                <c:pt idx="10">
                  <c:v>Celkem</c:v>
                </c:pt>
              </c:strCache>
            </c:strRef>
          </c:cat>
          <c:val>
            <c:numRef>
              <c:f>C_CZ!$C$474:$C$484</c:f>
              <c:numCache>
                <c:formatCode>0%</c:formatCode>
                <c:ptCount val="11"/>
                <c:pt idx="0">
                  <c:v>4.3713772307391242E-2</c:v>
                </c:pt>
                <c:pt idx="1">
                  <c:v>0.13811118018873747</c:v>
                </c:pt>
                <c:pt idx="2">
                  <c:v>0.23384239514312852</c:v>
                </c:pt>
                <c:pt idx="3">
                  <c:v>0.29314128967310343</c:v>
                </c:pt>
                <c:pt idx="4">
                  <c:v>0.29382689290579289</c:v>
                </c:pt>
                <c:pt idx="5">
                  <c:v>0.16857302566459276</c:v>
                </c:pt>
                <c:pt idx="7">
                  <c:v>0.16372536200543805</c:v>
                </c:pt>
                <c:pt idx="8">
                  <c:v>0.22017097447404571</c:v>
                </c:pt>
                <c:pt idx="10">
                  <c:v>0.19119766236259925</c:v>
                </c:pt>
              </c:numCache>
            </c:numRef>
          </c:val>
        </c:ser>
        <c:dLbls>
          <c:showLegendKey val="0"/>
          <c:showVal val="0"/>
          <c:showCatName val="0"/>
          <c:showSerName val="0"/>
          <c:showPercent val="0"/>
          <c:showBubbleSize val="0"/>
        </c:dLbls>
        <c:gapWidth val="30"/>
        <c:axId val="196623872"/>
        <c:axId val="195870720"/>
      </c:barChart>
      <c:catAx>
        <c:axId val="196623872"/>
        <c:scaling>
          <c:orientation val="minMax"/>
        </c:scaling>
        <c:delete val="0"/>
        <c:axPos val="l"/>
        <c:numFmt formatCode="General" sourceLinked="1"/>
        <c:majorTickMark val="out"/>
        <c:minorTickMark val="none"/>
        <c:tickLblPos val="nextTo"/>
        <c:spPr>
          <a:ln>
            <a:solidFill>
              <a:schemeClr val="tx1"/>
            </a:solidFill>
          </a:ln>
        </c:spPr>
        <c:crossAx val="195870720"/>
        <c:crosses val="autoZero"/>
        <c:auto val="1"/>
        <c:lblAlgn val="ctr"/>
        <c:lblOffset val="100"/>
        <c:noMultiLvlLbl val="0"/>
      </c:catAx>
      <c:valAx>
        <c:axId val="195870720"/>
        <c:scaling>
          <c:orientation val="minMax"/>
          <c:max val="0.4"/>
        </c:scaling>
        <c:delete val="0"/>
        <c:axPos val="b"/>
        <c:numFmt formatCode="0%" sourceLinked="1"/>
        <c:majorTickMark val="none"/>
        <c:minorTickMark val="none"/>
        <c:tickLblPos val="none"/>
        <c:crossAx val="196623872"/>
        <c:crosses val="autoZero"/>
        <c:crossBetween val="between"/>
        <c:majorUnit val="5.0000000000000024E-2"/>
        <c:minorUnit val="5.0000000000000044E-3"/>
      </c:valAx>
      <c:spPr>
        <a:ln w="12700">
          <a:solidFill>
            <a:schemeClr val="bg1">
              <a:lumMod val="65000"/>
            </a:schemeClr>
          </a:solidFill>
        </a:ln>
      </c:spPr>
    </c:plotArea>
    <c:legend>
      <c:legendPos val="r"/>
      <c:layout>
        <c:manualLayout>
          <c:xMode val="edge"/>
          <c:yMode val="edge"/>
          <c:x val="0.46001518087855298"/>
          <c:y val="0.20181419753086438"/>
          <c:w val="0.46753042328042332"/>
          <c:h val="7.3200925925925933E-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C</a:t>
            </a:r>
            <a:r>
              <a:rPr lang="cs-CZ" sz="800"/>
              <a:t>27</a:t>
            </a:r>
            <a:r>
              <a:rPr lang="en-US" sz="800"/>
              <a:t> Jednotlivci v zemích EU </a:t>
            </a:r>
            <a:r>
              <a:rPr lang="cs-CZ" sz="800"/>
              <a:t>ve věku 16 až 74 let, kteří přes internet nakoupili ubytování</a:t>
            </a:r>
            <a:r>
              <a:rPr lang="en-US" sz="800"/>
              <a:t> (%)</a:t>
            </a:r>
            <a:r>
              <a:rPr lang="cs-CZ" sz="800"/>
              <a:t>*</a:t>
            </a:r>
            <a:endParaRPr lang="en-US" sz="800"/>
          </a:p>
        </c:rich>
      </c:tx>
      <c:layout/>
      <c:overlay val="0"/>
    </c:title>
    <c:autoTitleDeleted val="0"/>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C_CZ!$B$488</c:f>
              <c:strCache>
                <c:ptCount val="1"/>
                <c:pt idx="0">
                  <c:v> 2017</c:v>
                </c:pt>
              </c:strCache>
            </c:strRef>
          </c:tx>
          <c:spPr>
            <a:solidFill>
              <a:srgbClr val="009BB4"/>
            </a:solidFill>
            <a:ln>
              <a:noFill/>
            </a:ln>
          </c:spPr>
          <c:invertIfNegative val="0"/>
          <c:dPt>
            <c:idx val="8"/>
            <c:invertIfNegative val="0"/>
            <c:bubble3D val="0"/>
            <c:spPr>
              <a:solidFill>
                <a:srgbClr val="009BB4"/>
              </a:solidFill>
              <a:ln w="19050">
                <a:noFill/>
              </a:ln>
            </c:spPr>
          </c:dPt>
          <c:dPt>
            <c:idx val="12"/>
            <c:invertIfNegative val="0"/>
            <c:bubble3D val="0"/>
            <c:spPr>
              <a:solidFill>
                <a:srgbClr val="009BB4"/>
              </a:solidFill>
              <a:ln>
                <a:solidFill>
                  <a:srgbClr val="FF0000"/>
                </a:solidFill>
              </a:ln>
            </c:spPr>
          </c:dPt>
          <c:dPt>
            <c:idx val="13"/>
            <c:invertIfNegative val="0"/>
            <c:bubble3D val="0"/>
            <c:spPr>
              <a:solidFill>
                <a:srgbClr val="009BB4"/>
              </a:solidFill>
              <a:ln w="19050">
                <a:noFill/>
              </a:ln>
            </c:spPr>
          </c:dPt>
          <c:dPt>
            <c:idx val="15"/>
            <c:invertIfNegative val="0"/>
            <c:bubble3D val="0"/>
            <c:spPr>
              <a:solidFill>
                <a:srgbClr val="009BB4"/>
              </a:solidFill>
              <a:ln>
                <a:solidFill>
                  <a:srgbClr val="FF0000"/>
                </a:solidFill>
              </a:ln>
            </c:spPr>
          </c:dPt>
          <c:dPt>
            <c:idx val="16"/>
            <c:invertIfNegative val="0"/>
            <c:bubble3D val="0"/>
            <c:spPr>
              <a:solidFill>
                <a:srgbClr val="009BB4"/>
              </a:solidFill>
              <a:ln w="19050">
                <a:noFill/>
              </a:ln>
            </c:spPr>
          </c:dPt>
          <c:dLbls>
            <c:dLbl>
              <c:idx val="26"/>
              <c:layout>
                <c:manualLayout>
                  <c:x val="0"/>
                  <c:y val="-3.1358024691358025E-2"/>
                </c:manualLayout>
              </c:layout>
              <c:dLblPos val="outEnd"/>
              <c:showLegendKey val="0"/>
              <c:showVal val="1"/>
              <c:showCatName val="0"/>
              <c:showSerName val="0"/>
              <c:showPercent val="0"/>
              <c:showBubbleSize val="0"/>
            </c:dLbl>
            <c:dLbl>
              <c:idx val="28"/>
              <c:layout>
                <c:manualLayout>
                  <c:x val="-2.0426709128487219E-3"/>
                  <c:y val="-7.447530864197531E-2"/>
                </c:manualLayout>
              </c:layout>
              <c:dLblPos val="outEnd"/>
              <c:showLegendKey val="0"/>
              <c:showVal val="1"/>
              <c:showCatName val="0"/>
              <c:showSerName val="0"/>
              <c:showPercent val="0"/>
              <c:showBubbleSize val="0"/>
            </c:dLbl>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showLeaderLines val="0"/>
          </c:dLbls>
          <c:cat>
            <c:strRef>
              <c:f>C_CZ!$A$489:$A$517</c:f>
              <c:strCache>
                <c:ptCount val="29"/>
                <c:pt idx="0">
                  <c:v>Lucembursko</c:v>
                </c:pt>
                <c:pt idx="1">
                  <c:v>Nizozemsko</c:v>
                </c:pt>
                <c:pt idx="2">
                  <c:v>Velká Británie</c:v>
                </c:pt>
                <c:pt idx="3">
                  <c:v>Dánsko</c:v>
                </c:pt>
                <c:pt idx="4">
                  <c:v>Švédsko</c:v>
                </c:pt>
                <c:pt idx="5">
                  <c:v>Finsko</c:v>
                </c:pt>
                <c:pt idx="6">
                  <c:v>Německo</c:v>
                </c:pt>
                <c:pt idx="7">
                  <c:v>Irsko</c:v>
                </c:pt>
                <c:pt idx="8">
                  <c:v>Rakousko</c:v>
                </c:pt>
                <c:pt idx="9">
                  <c:v>Malta</c:v>
                </c:pt>
                <c:pt idx="10">
                  <c:v>Španělsko</c:v>
                </c:pt>
                <c:pt idx="11">
                  <c:v>Francie</c:v>
                </c:pt>
                <c:pt idx="12">
                  <c:v>EU28</c:v>
                </c:pt>
                <c:pt idx="13">
                  <c:v>Belgie</c:v>
                </c:pt>
                <c:pt idx="14">
                  <c:v>Estonsko</c:v>
                </c:pt>
                <c:pt idx="15">
                  <c:v>Česko</c:v>
                </c:pt>
                <c:pt idx="16">
                  <c:v>Maďarsko</c:v>
                </c:pt>
                <c:pt idx="17">
                  <c:v>Portugalsko</c:v>
                </c:pt>
                <c:pt idx="18">
                  <c:v>Slovensko</c:v>
                </c:pt>
                <c:pt idx="19">
                  <c:v>Slovinsko</c:v>
                </c:pt>
                <c:pt idx="20">
                  <c:v>Kypr</c:v>
                </c:pt>
                <c:pt idx="21">
                  <c:v>Itálie</c:v>
                </c:pt>
                <c:pt idx="22">
                  <c:v>Litva</c:v>
                </c:pt>
                <c:pt idx="23">
                  <c:v>Lotyšsko</c:v>
                </c:pt>
                <c:pt idx="24">
                  <c:v>Řecko</c:v>
                </c:pt>
                <c:pt idx="25">
                  <c:v>Polsko</c:v>
                </c:pt>
                <c:pt idx="26">
                  <c:v>Bulharsko</c:v>
                </c:pt>
                <c:pt idx="27">
                  <c:v>Chorvatsko</c:v>
                </c:pt>
                <c:pt idx="28">
                  <c:v>Rumunsko</c:v>
                </c:pt>
              </c:strCache>
            </c:strRef>
          </c:cat>
          <c:val>
            <c:numRef>
              <c:f>C_CZ!$B$489:$B$517</c:f>
              <c:numCache>
                <c:formatCode>0%</c:formatCode>
                <c:ptCount val="29"/>
                <c:pt idx="0">
                  <c:v>0.51680800000000005</c:v>
                </c:pt>
                <c:pt idx="1">
                  <c:v>0.49442900000000001</c:v>
                </c:pt>
                <c:pt idx="2">
                  <c:v>0.47498899999999999</c:v>
                </c:pt>
                <c:pt idx="3">
                  <c:v>0.457924</c:v>
                </c:pt>
                <c:pt idx="4">
                  <c:v>0.40381299999999998</c:v>
                </c:pt>
                <c:pt idx="5">
                  <c:v>0.35863800000000001</c:v>
                </c:pt>
                <c:pt idx="6">
                  <c:v>0.32286500000000001</c:v>
                </c:pt>
                <c:pt idx="7">
                  <c:v>0.307056</c:v>
                </c:pt>
                <c:pt idx="8">
                  <c:v>0.29353099999999999</c:v>
                </c:pt>
                <c:pt idx="9">
                  <c:v>0.28314699999999998</c:v>
                </c:pt>
                <c:pt idx="10">
                  <c:v>0.26991799999999999</c:v>
                </c:pt>
                <c:pt idx="11">
                  <c:v>0.25355699999999998</c:v>
                </c:pt>
                <c:pt idx="12">
                  <c:v>0.24893000000000001</c:v>
                </c:pt>
                <c:pt idx="13">
                  <c:v>0.23250599999999999</c:v>
                </c:pt>
                <c:pt idx="14">
                  <c:v>0.22459899999999999</c:v>
                </c:pt>
                <c:pt idx="15">
                  <c:v>0.208819</c:v>
                </c:pt>
                <c:pt idx="16">
                  <c:v>0.149065</c:v>
                </c:pt>
                <c:pt idx="17">
                  <c:v>0.142321</c:v>
                </c:pt>
                <c:pt idx="18">
                  <c:v>0.131552</c:v>
                </c:pt>
                <c:pt idx="19">
                  <c:v>0.113237</c:v>
                </c:pt>
                <c:pt idx="20">
                  <c:v>0.109336</c:v>
                </c:pt>
                <c:pt idx="21">
                  <c:v>9.0378E-2</c:v>
                </c:pt>
                <c:pt idx="22">
                  <c:v>8.8750999999999997E-2</c:v>
                </c:pt>
                <c:pt idx="23">
                  <c:v>8.4665000000000004E-2</c:v>
                </c:pt>
                <c:pt idx="24">
                  <c:v>7.2280999999999998E-2</c:v>
                </c:pt>
                <c:pt idx="25">
                  <c:v>6.5965999999999997E-2</c:v>
                </c:pt>
                <c:pt idx="26">
                  <c:v>3.6250999999999999E-2</c:v>
                </c:pt>
                <c:pt idx="27">
                  <c:v>3.0707000000000002E-2</c:v>
                </c:pt>
                <c:pt idx="28">
                  <c:v>2.3937E-2</c:v>
                </c:pt>
              </c:numCache>
            </c:numRef>
          </c:val>
        </c:ser>
        <c:dLbls>
          <c:showLegendKey val="0"/>
          <c:showVal val="0"/>
          <c:showCatName val="0"/>
          <c:showSerName val="0"/>
          <c:showPercent val="0"/>
          <c:showBubbleSize val="0"/>
        </c:dLbls>
        <c:gapWidth val="50"/>
        <c:axId val="196776448"/>
        <c:axId val="195871872"/>
      </c:barChart>
      <c:barChart>
        <c:barDir val="col"/>
        <c:grouping val="clustered"/>
        <c:varyColors val="0"/>
        <c:ser>
          <c:idx val="1"/>
          <c:order val="1"/>
          <c:tx>
            <c:strRef>
              <c:f>C_CZ!$C$488</c:f>
              <c:strCache>
                <c:ptCount val="1"/>
                <c:pt idx="0">
                  <c:v> 2012</c:v>
                </c:pt>
              </c:strCache>
            </c:strRef>
          </c:tx>
          <c:spPr>
            <a:solidFill>
              <a:srgbClr val="47E5FF"/>
            </a:solidFill>
          </c:spPr>
          <c:invertIfNegative val="0"/>
          <c:dLbls>
            <c:dLbl>
              <c:idx val="27"/>
              <c:layout>
                <c:manualLayout>
                  <c:x val="-2.0426709128487219E-3"/>
                  <c:y val="-6.0204938271604939E-2"/>
                </c:manualLayout>
              </c:layout>
              <c:dLblPos val="outEnd"/>
              <c:showLegendKey val="0"/>
              <c:showVal val="1"/>
              <c:showCatName val="0"/>
              <c:showSerName val="0"/>
              <c:showPercent val="0"/>
              <c:showBubbleSize val="0"/>
            </c:dLbl>
            <c:dLbl>
              <c:idx val="28"/>
              <c:layout>
                <c:manualLayout>
                  <c:x val="0"/>
                  <c:y val="3.7462962962962246E-3"/>
                </c:manualLayout>
              </c:layout>
              <c:dLblPos val="outEnd"/>
              <c:showLegendKey val="0"/>
              <c:showVal val="1"/>
              <c:showCatName val="0"/>
              <c:showSerName val="0"/>
              <c:showPercent val="0"/>
              <c:showBubbleSize val="0"/>
            </c:dLbl>
            <c:txPr>
              <a:bodyPr rot="-5400000" vert="horz"/>
              <a:lstStyle/>
              <a:p>
                <a:pPr>
                  <a:defRPr b="1"/>
                </a:pPr>
                <a:endParaRPr lang="cs-CZ"/>
              </a:p>
            </c:txPr>
            <c:dLblPos val="inBase"/>
            <c:showLegendKey val="0"/>
            <c:showVal val="1"/>
            <c:showCatName val="0"/>
            <c:showSerName val="0"/>
            <c:showPercent val="0"/>
            <c:showBubbleSize val="0"/>
            <c:showLeaderLines val="0"/>
          </c:dLbls>
          <c:cat>
            <c:strRef>
              <c:f>C_CZ!$A$489:$A$517</c:f>
              <c:strCache>
                <c:ptCount val="29"/>
                <c:pt idx="0">
                  <c:v>Lucembursko</c:v>
                </c:pt>
                <c:pt idx="1">
                  <c:v>Nizozemsko</c:v>
                </c:pt>
                <c:pt idx="2">
                  <c:v>Velká Británie</c:v>
                </c:pt>
                <c:pt idx="3">
                  <c:v>Dánsko</c:v>
                </c:pt>
                <c:pt idx="4">
                  <c:v>Švédsko</c:v>
                </c:pt>
                <c:pt idx="5">
                  <c:v>Finsko</c:v>
                </c:pt>
                <c:pt idx="6">
                  <c:v>Německo</c:v>
                </c:pt>
                <c:pt idx="7">
                  <c:v>Irsko</c:v>
                </c:pt>
                <c:pt idx="8">
                  <c:v>Rakousko</c:v>
                </c:pt>
                <c:pt idx="9">
                  <c:v>Malta</c:v>
                </c:pt>
                <c:pt idx="10">
                  <c:v>Španělsko</c:v>
                </c:pt>
                <c:pt idx="11">
                  <c:v>Francie</c:v>
                </c:pt>
                <c:pt idx="12">
                  <c:v>EU28</c:v>
                </c:pt>
                <c:pt idx="13">
                  <c:v>Belgie</c:v>
                </c:pt>
                <c:pt idx="14">
                  <c:v>Estonsko</c:v>
                </c:pt>
                <c:pt idx="15">
                  <c:v>Česko</c:v>
                </c:pt>
                <c:pt idx="16">
                  <c:v>Maďarsko</c:v>
                </c:pt>
                <c:pt idx="17">
                  <c:v>Portugalsko</c:v>
                </c:pt>
                <c:pt idx="18">
                  <c:v>Slovensko</c:v>
                </c:pt>
                <c:pt idx="19">
                  <c:v>Slovinsko</c:v>
                </c:pt>
                <c:pt idx="20">
                  <c:v>Kypr</c:v>
                </c:pt>
                <c:pt idx="21">
                  <c:v>Itálie</c:v>
                </c:pt>
                <c:pt idx="22">
                  <c:v>Litva</c:v>
                </c:pt>
                <c:pt idx="23">
                  <c:v>Lotyšsko</c:v>
                </c:pt>
                <c:pt idx="24">
                  <c:v>Řecko</c:v>
                </c:pt>
                <c:pt idx="25">
                  <c:v>Polsko</c:v>
                </c:pt>
                <c:pt idx="26">
                  <c:v>Bulharsko</c:v>
                </c:pt>
                <c:pt idx="27">
                  <c:v>Chorvatsko</c:v>
                </c:pt>
                <c:pt idx="28">
                  <c:v>Rumunsko</c:v>
                </c:pt>
              </c:strCache>
            </c:strRef>
          </c:cat>
          <c:val>
            <c:numRef>
              <c:f>C_CZ!$C$489:$C$517</c:f>
              <c:numCache>
                <c:formatCode>0%</c:formatCode>
                <c:ptCount val="29"/>
                <c:pt idx="0">
                  <c:v>0.407362</c:v>
                </c:pt>
                <c:pt idx="1">
                  <c:v>0.339777</c:v>
                </c:pt>
                <c:pt idx="2">
                  <c:v>0.34303800000000001</c:v>
                </c:pt>
                <c:pt idx="3">
                  <c:v>0.41116200000000003</c:v>
                </c:pt>
                <c:pt idx="4">
                  <c:v>0.37624600000000002</c:v>
                </c:pt>
                <c:pt idx="6">
                  <c:v>0.281169</c:v>
                </c:pt>
                <c:pt idx="7">
                  <c:v>0.27837200000000001</c:v>
                </c:pt>
                <c:pt idx="8">
                  <c:v>0.230659</c:v>
                </c:pt>
                <c:pt idx="9">
                  <c:v>0.13728299999999999</c:v>
                </c:pt>
                <c:pt idx="10">
                  <c:v>0.164045</c:v>
                </c:pt>
                <c:pt idx="11">
                  <c:v>0.212753</c:v>
                </c:pt>
                <c:pt idx="12">
                  <c:v>0.184225</c:v>
                </c:pt>
                <c:pt idx="13">
                  <c:v>0.18848899999999999</c:v>
                </c:pt>
                <c:pt idx="14">
                  <c:v>6.4191999999999999E-2</c:v>
                </c:pt>
                <c:pt idx="15">
                  <c:v>3.5284999999999997E-2</c:v>
                </c:pt>
                <c:pt idx="16">
                  <c:v>7.3429999999999995E-2</c:v>
                </c:pt>
                <c:pt idx="17">
                  <c:v>8.3914000000000002E-2</c:v>
                </c:pt>
                <c:pt idx="18">
                  <c:v>9.7062999999999997E-2</c:v>
                </c:pt>
                <c:pt idx="20">
                  <c:v>9.4836000000000004E-2</c:v>
                </c:pt>
                <c:pt idx="21">
                  <c:v>6.0564E-2</c:v>
                </c:pt>
                <c:pt idx="22">
                  <c:v>2.5149000000000001E-2</c:v>
                </c:pt>
                <c:pt idx="23">
                  <c:v>3.6247000000000001E-2</c:v>
                </c:pt>
                <c:pt idx="24">
                  <c:v>5.4313E-2</c:v>
                </c:pt>
                <c:pt idx="25">
                  <c:v>3.6336E-2</c:v>
                </c:pt>
                <c:pt idx="26">
                  <c:v>2.2509000000000001E-2</c:v>
                </c:pt>
                <c:pt idx="28">
                  <c:v>1.2463E-2</c:v>
                </c:pt>
              </c:numCache>
            </c:numRef>
          </c:val>
        </c:ser>
        <c:dLbls>
          <c:showLegendKey val="0"/>
          <c:showVal val="0"/>
          <c:showCatName val="0"/>
          <c:showSerName val="0"/>
          <c:showPercent val="0"/>
          <c:showBubbleSize val="0"/>
        </c:dLbls>
        <c:gapWidth val="200"/>
        <c:axId val="196866048"/>
        <c:axId val="195872448"/>
      </c:barChart>
      <c:catAx>
        <c:axId val="196776448"/>
        <c:scaling>
          <c:orientation val="minMax"/>
        </c:scaling>
        <c:delete val="0"/>
        <c:axPos val="b"/>
        <c:majorTickMark val="out"/>
        <c:minorTickMark val="none"/>
        <c:tickLblPos val="nextTo"/>
        <c:spPr>
          <a:ln>
            <a:solidFill>
              <a:schemeClr val="tx1"/>
            </a:solidFill>
          </a:ln>
        </c:spPr>
        <c:crossAx val="195871872"/>
        <c:crosses val="autoZero"/>
        <c:auto val="1"/>
        <c:lblAlgn val="ctr"/>
        <c:lblOffset val="100"/>
        <c:noMultiLvlLbl val="0"/>
      </c:catAx>
      <c:valAx>
        <c:axId val="195871872"/>
        <c:scaling>
          <c:orientation val="minMax"/>
          <c:max val="0.6500000000000008"/>
          <c:min val="0"/>
        </c:scaling>
        <c:delete val="1"/>
        <c:axPos val="l"/>
        <c:numFmt formatCode="0%" sourceLinked="1"/>
        <c:majorTickMark val="out"/>
        <c:minorTickMark val="none"/>
        <c:tickLblPos val="nextTo"/>
        <c:crossAx val="196776448"/>
        <c:crosses val="autoZero"/>
        <c:crossBetween val="between"/>
        <c:majorUnit val="5.0000000000000024E-2"/>
        <c:minorUnit val="1.0000000000000005E-2"/>
      </c:valAx>
      <c:valAx>
        <c:axId val="195872448"/>
        <c:scaling>
          <c:orientation val="minMax"/>
          <c:max val="0.6500000000000008"/>
        </c:scaling>
        <c:delete val="0"/>
        <c:axPos val="r"/>
        <c:numFmt formatCode="0%" sourceLinked="1"/>
        <c:majorTickMark val="none"/>
        <c:minorTickMark val="none"/>
        <c:tickLblPos val="none"/>
        <c:crossAx val="196866048"/>
        <c:crosses val="max"/>
        <c:crossBetween val="between"/>
        <c:majorUnit val="5.0000000000000024E-2"/>
        <c:minorUnit val="1.0000000000000005E-2"/>
      </c:valAx>
      <c:catAx>
        <c:axId val="196866048"/>
        <c:scaling>
          <c:orientation val="minMax"/>
        </c:scaling>
        <c:delete val="1"/>
        <c:axPos val="b"/>
        <c:majorTickMark val="out"/>
        <c:minorTickMark val="none"/>
        <c:tickLblPos val="none"/>
        <c:crossAx val="195872448"/>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8751718979951266"/>
          <c:y val="0.14428981481481479"/>
          <c:w val="6.9586721030664239E-2"/>
          <c:h val="0.1163820987654321"/>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i="0" baseline="0">
                <a:effectLst/>
              </a:rPr>
              <a:t>Graf C28 Jednotlivci v Česku ve věku 16 let </a:t>
            </a: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i="0" baseline="0">
                <a:effectLst/>
              </a:rPr>
              <a:t>a starší  používající internetové bankovnictví</a:t>
            </a:r>
            <a:endParaRPr lang="en-US" sz="800" b="1"/>
          </a:p>
        </c:rich>
      </c:tx>
      <c:layout>
        <c:manualLayout>
          <c:xMode val="edge"/>
          <c:yMode val="edge"/>
          <c:x val="0.15395381526104421"/>
          <c:y val="2.6654320987654356E-2"/>
        </c:manualLayout>
      </c:layout>
      <c:overlay val="1"/>
    </c:title>
    <c:autoTitleDeleted val="0"/>
    <c:plotArea>
      <c:layout>
        <c:manualLayout>
          <c:layoutTarget val="inner"/>
          <c:xMode val="edge"/>
          <c:yMode val="edge"/>
          <c:x val="1.3813516798106587E-2"/>
          <c:y val="0.12904148148148176"/>
          <c:w val="0.96948369216085761"/>
          <c:h val="0.7040259259259255"/>
        </c:manualLayout>
      </c:layout>
      <c:barChart>
        <c:barDir val="col"/>
        <c:grouping val="clustered"/>
        <c:varyColors val="0"/>
        <c:ser>
          <c:idx val="2"/>
          <c:order val="0"/>
          <c:tx>
            <c:strRef>
              <c:f>C_CZ!$A$522</c:f>
              <c:strCache>
                <c:ptCount val="1"/>
                <c:pt idx="0">
                  <c:v> miliony jednotlivců</c:v>
                </c:pt>
              </c:strCache>
            </c:strRef>
          </c:tx>
          <c:spPr>
            <a:solidFill>
              <a:srgbClr val="009BB4"/>
            </a:solidFill>
            <a:ln w="25400">
              <a:noFill/>
            </a:ln>
          </c:spPr>
          <c:invertIfNegative val="0"/>
          <c:dLbls>
            <c:dLbl>
              <c:idx val="0"/>
              <c:layout/>
              <c:numFmt formatCode="#,##0.0" sourceLinked="0"/>
              <c:spPr/>
              <c:txPr>
                <a:bodyPr/>
                <a:lstStyle/>
                <a:p>
                  <a:pPr>
                    <a:defRPr b="1">
                      <a:solidFill>
                        <a:sysClr val="windowText" lastClr="000000"/>
                      </a:solidFill>
                    </a:defRPr>
                  </a:pPr>
                  <a:endParaRPr lang="cs-CZ"/>
                </a:p>
              </c:txPr>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numFmt formatCode="#,##0.0" sourceLinked="0"/>
            <c:txPr>
              <a:bodyPr/>
              <a:lstStyle/>
              <a:p>
                <a:pPr>
                  <a:defRPr b="1">
                    <a:solidFill>
                      <a:schemeClr val="bg1"/>
                    </a:solidFill>
                  </a:defRPr>
                </a:pPr>
                <a:endParaRPr lang="cs-CZ"/>
              </a:p>
            </c:txPr>
            <c:dLblPos val="inEnd"/>
            <c:showLegendKey val="0"/>
            <c:showVal val="1"/>
            <c:showCatName val="0"/>
            <c:showSerName val="0"/>
            <c:showPercent val="0"/>
            <c:showBubbleSize val="0"/>
            <c:showLeaderLines val="0"/>
          </c:dLbls>
          <c:cat>
            <c:numRef>
              <c:f>C_CZ!$B$521:$H$521</c:f>
              <c:numCache>
                <c:formatCode>0</c:formatCode>
                <c:ptCount val="7"/>
                <c:pt idx="0">
                  <c:v>2005</c:v>
                </c:pt>
                <c:pt idx="1">
                  <c:v>2007</c:v>
                </c:pt>
                <c:pt idx="2">
                  <c:v>2009</c:v>
                </c:pt>
                <c:pt idx="3">
                  <c:v>2011</c:v>
                </c:pt>
                <c:pt idx="4">
                  <c:v>2013</c:v>
                </c:pt>
                <c:pt idx="5">
                  <c:v>2015</c:v>
                </c:pt>
                <c:pt idx="6">
                  <c:v>2017</c:v>
                </c:pt>
              </c:numCache>
            </c:numRef>
          </c:cat>
          <c:val>
            <c:numRef>
              <c:f>C_CZ!$B$522:$H$522</c:f>
              <c:numCache>
                <c:formatCode>#,##0.0</c:formatCode>
                <c:ptCount val="7"/>
                <c:pt idx="0">
                  <c:v>0.44811757580999995</c:v>
                </c:pt>
                <c:pt idx="1">
                  <c:v>0.92945517273200196</c:v>
                </c:pt>
                <c:pt idx="2">
                  <c:v>1.5146266972800002</c:v>
                </c:pt>
                <c:pt idx="3">
                  <c:v>2.4229343014812015</c:v>
                </c:pt>
                <c:pt idx="4">
                  <c:v>3.3744733123746626</c:v>
                </c:pt>
                <c:pt idx="5" formatCode="0.0">
                  <c:v>3.9413669816297134</c:v>
                </c:pt>
                <c:pt idx="6" formatCode="0.0">
                  <c:v>4.5323066844575699</c:v>
                </c:pt>
              </c:numCache>
            </c:numRef>
          </c:val>
        </c:ser>
        <c:dLbls>
          <c:showLegendKey val="0"/>
          <c:showVal val="0"/>
          <c:showCatName val="0"/>
          <c:showSerName val="0"/>
          <c:showPercent val="0"/>
          <c:showBubbleSize val="0"/>
        </c:dLbls>
        <c:gapWidth val="50"/>
        <c:axId val="196620800"/>
        <c:axId val="195874752"/>
      </c:barChart>
      <c:lineChart>
        <c:grouping val="standard"/>
        <c:varyColors val="0"/>
        <c:ser>
          <c:idx val="0"/>
          <c:order val="1"/>
          <c:tx>
            <c:strRef>
              <c:f>C_CZ!$A$523</c:f>
              <c:strCache>
                <c:ptCount val="1"/>
                <c:pt idx="0">
                  <c:v> % jednotlivců celkem</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5.6513347763347772E-2"/>
                  <c:y val="-5.9531652639917193E-2"/>
                </c:manualLayout>
              </c:layout>
              <c:dLblPos val="r"/>
              <c:showLegendKey val="0"/>
              <c:showVal val="1"/>
              <c:showCatName val="0"/>
              <c:showSerName val="0"/>
              <c:showPercent val="0"/>
              <c:showBubbleSize val="0"/>
            </c:dLbl>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C_CZ!$B$521:$H$521</c:f>
              <c:numCache>
                <c:formatCode>0</c:formatCode>
                <c:ptCount val="7"/>
                <c:pt idx="0">
                  <c:v>2005</c:v>
                </c:pt>
                <c:pt idx="1">
                  <c:v>2007</c:v>
                </c:pt>
                <c:pt idx="2">
                  <c:v>2009</c:v>
                </c:pt>
                <c:pt idx="3">
                  <c:v>2011</c:v>
                </c:pt>
                <c:pt idx="4">
                  <c:v>2013</c:v>
                </c:pt>
                <c:pt idx="5">
                  <c:v>2015</c:v>
                </c:pt>
                <c:pt idx="6">
                  <c:v>2017</c:v>
                </c:pt>
              </c:numCache>
            </c:numRef>
          </c:cat>
          <c:val>
            <c:numRef>
              <c:f>C_CZ!$B$523:$H$523</c:f>
              <c:numCache>
                <c:formatCode>0.0%</c:formatCode>
                <c:ptCount val="7"/>
                <c:pt idx="0">
                  <c:v>5.1553573090380347E-2</c:v>
                </c:pt>
                <c:pt idx="1">
                  <c:v>0.106711063183973</c:v>
                </c:pt>
                <c:pt idx="2">
                  <c:v>0.17046735968315982</c:v>
                </c:pt>
                <c:pt idx="3">
                  <c:v>0.27438677778646003</c:v>
                </c:pt>
                <c:pt idx="4">
                  <c:v>0.3838153759402102</c:v>
                </c:pt>
                <c:pt idx="5">
                  <c:v>0.44925882406249512</c:v>
                </c:pt>
                <c:pt idx="6">
                  <c:v>0.517699710037412</c:v>
                </c:pt>
              </c:numCache>
            </c:numRef>
          </c:val>
          <c:smooth val="0"/>
        </c:ser>
        <c:ser>
          <c:idx val="1"/>
          <c:order val="2"/>
          <c:tx>
            <c:strRef>
              <c:f>C_CZ!$A$524</c:f>
              <c:strCache>
                <c:ptCount val="1"/>
                <c:pt idx="0">
                  <c:v> % uživatelů internetu</c:v>
                </c:pt>
              </c:strCache>
            </c:strRef>
          </c:tx>
          <c:spPr>
            <a:ln w="19050">
              <a:solidFill>
                <a:srgbClr val="007D92"/>
              </a:solidFill>
            </a:ln>
          </c:spPr>
          <c:marker>
            <c:symbol val="circle"/>
            <c:size val="4"/>
            <c:spPr>
              <a:solidFill>
                <a:srgbClr val="47E5FF"/>
              </a:solidFill>
              <a:ln>
                <a:solidFill>
                  <a:srgbClr val="007D92"/>
                </a:solidFill>
              </a:ln>
            </c:spPr>
          </c:marker>
          <c:dLbls>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C_CZ!$B$521:$H$521</c:f>
              <c:numCache>
                <c:formatCode>0</c:formatCode>
                <c:ptCount val="7"/>
                <c:pt idx="0">
                  <c:v>2005</c:v>
                </c:pt>
                <c:pt idx="1">
                  <c:v>2007</c:v>
                </c:pt>
                <c:pt idx="2">
                  <c:v>2009</c:v>
                </c:pt>
                <c:pt idx="3">
                  <c:v>2011</c:v>
                </c:pt>
                <c:pt idx="4">
                  <c:v>2013</c:v>
                </c:pt>
                <c:pt idx="5">
                  <c:v>2015</c:v>
                </c:pt>
                <c:pt idx="6">
                  <c:v>2017</c:v>
                </c:pt>
              </c:numCache>
            </c:numRef>
          </c:cat>
          <c:val>
            <c:numRef>
              <c:f>C_CZ!$B$524:$H$524</c:f>
              <c:numCache>
                <c:formatCode>0.0%</c:formatCode>
                <c:ptCount val="7"/>
                <c:pt idx="0">
                  <c:v>0.16057451629725764</c:v>
                </c:pt>
                <c:pt idx="1">
                  <c:v>0.23703344038074486</c:v>
                </c:pt>
                <c:pt idx="2">
                  <c:v>0.30472820445952437</c:v>
                </c:pt>
                <c:pt idx="3">
                  <c:v>0.41920663839950445</c:v>
                </c:pt>
                <c:pt idx="4">
                  <c:v>0.55799304587539922</c:v>
                </c:pt>
                <c:pt idx="5">
                  <c:v>0.59371724301482565</c:v>
                </c:pt>
                <c:pt idx="6">
                  <c:v>0.65765396117644903</c:v>
                </c:pt>
              </c:numCache>
            </c:numRef>
          </c:val>
          <c:smooth val="0"/>
        </c:ser>
        <c:dLbls>
          <c:showLegendKey val="0"/>
          <c:showVal val="0"/>
          <c:showCatName val="0"/>
          <c:showSerName val="0"/>
          <c:showPercent val="0"/>
          <c:showBubbleSize val="0"/>
        </c:dLbls>
        <c:marker val="1"/>
        <c:smooth val="0"/>
        <c:axId val="196779008"/>
        <c:axId val="195875328"/>
      </c:lineChart>
      <c:catAx>
        <c:axId val="196620800"/>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cs-CZ"/>
          </a:p>
        </c:txPr>
        <c:crossAx val="195874752"/>
        <c:crosses val="autoZero"/>
        <c:auto val="1"/>
        <c:lblAlgn val="ctr"/>
        <c:lblOffset val="140"/>
        <c:tickLblSkip val="1"/>
        <c:tickMarkSkip val="1"/>
        <c:noMultiLvlLbl val="0"/>
      </c:catAx>
      <c:valAx>
        <c:axId val="195874752"/>
        <c:scaling>
          <c:orientation val="minMax"/>
          <c:max val="8"/>
          <c:min val="0"/>
        </c:scaling>
        <c:delete val="0"/>
        <c:axPos val="l"/>
        <c:majorGridlines>
          <c:spPr>
            <a:ln w="12700">
              <a:noFill/>
              <a:prstDash val="dash"/>
            </a:ln>
          </c:spPr>
        </c:majorGridlines>
        <c:numFmt formatCode="#,##0.0" sourceLinked="1"/>
        <c:majorTickMark val="none"/>
        <c:minorTickMark val="none"/>
        <c:tickLblPos val="none"/>
        <c:spPr>
          <a:ln w="9525">
            <a:noFill/>
          </a:ln>
        </c:spPr>
        <c:crossAx val="196620800"/>
        <c:crosses val="autoZero"/>
        <c:crossBetween val="between"/>
        <c:majorUnit val="1"/>
        <c:minorUnit val="2.0000000000000011E-2"/>
      </c:valAx>
      <c:catAx>
        <c:axId val="196779008"/>
        <c:scaling>
          <c:orientation val="minMax"/>
        </c:scaling>
        <c:delete val="1"/>
        <c:axPos val="b"/>
        <c:numFmt formatCode="0" sourceLinked="1"/>
        <c:majorTickMark val="out"/>
        <c:minorTickMark val="none"/>
        <c:tickLblPos val="none"/>
        <c:crossAx val="195875328"/>
        <c:crosses val="autoZero"/>
        <c:auto val="1"/>
        <c:lblAlgn val="ctr"/>
        <c:lblOffset val="100"/>
        <c:noMultiLvlLbl val="0"/>
      </c:catAx>
      <c:valAx>
        <c:axId val="195875328"/>
        <c:scaling>
          <c:orientation val="minMax"/>
          <c:max val="0.8"/>
          <c:min val="0"/>
        </c:scaling>
        <c:delete val="0"/>
        <c:axPos val="r"/>
        <c:numFmt formatCode="0.0%" sourceLinked="1"/>
        <c:majorTickMark val="none"/>
        <c:minorTickMark val="none"/>
        <c:tickLblPos val="none"/>
        <c:spPr>
          <a:ln>
            <a:solidFill>
              <a:schemeClr val="bg1">
                <a:lumMod val="65000"/>
              </a:schemeClr>
            </a:solidFill>
          </a:ln>
        </c:spPr>
        <c:crossAx val="196779008"/>
        <c:crosses val="max"/>
        <c:crossBetween val="between"/>
        <c:majorUnit val="5.0000000000000024E-2"/>
        <c:minorUnit val="1.0000000000000005E-2"/>
      </c:valAx>
      <c:spPr>
        <a:noFill/>
        <a:ln w="12700">
          <a:solidFill>
            <a:srgbClr val="A6A6A6"/>
          </a:solidFill>
          <a:prstDash val="solid"/>
        </a:ln>
      </c:spPr>
    </c:plotArea>
    <c:legend>
      <c:legendPos val="l"/>
      <c:legendEntry>
        <c:idx val="1"/>
        <c:txPr>
          <a:bodyPr/>
          <a:lstStyle/>
          <a:p>
            <a:pPr>
              <a:defRPr i="0"/>
            </a:pPr>
            <a:endParaRPr lang="cs-CZ"/>
          </a:p>
        </c:txPr>
      </c:legendEntry>
      <c:legendEntry>
        <c:idx val="2"/>
        <c:txPr>
          <a:bodyPr/>
          <a:lstStyle/>
          <a:p>
            <a:pPr>
              <a:defRPr i="0"/>
            </a:pPr>
            <a:endParaRPr lang="cs-CZ"/>
          </a:p>
        </c:txPr>
      </c:legendEntry>
      <c:layout>
        <c:manualLayout>
          <c:xMode val="edge"/>
          <c:yMode val="edge"/>
          <c:x val="2.7864159891598923E-2"/>
          <c:y val="0.15001358024691369"/>
          <c:w val="0.52594579945799469"/>
          <c:h val="0.13343425925925925"/>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C29 Jednotlivci v Česku </a:t>
            </a:r>
          </a:p>
          <a:p>
            <a:pPr>
              <a:defRPr sz="800" b="1"/>
            </a:pPr>
            <a:r>
              <a:rPr lang="cs-CZ" sz="800" b="1"/>
              <a:t>používající internetová úložiště</a:t>
            </a:r>
            <a:r>
              <a:rPr lang="cs-CZ" sz="800" b="1" baseline="0"/>
              <a:t> v roce 2017</a:t>
            </a:r>
            <a:r>
              <a:rPr lang="cs-CZ" sz="800" b="1"/>
              <a:t> (%)</a:t>
            </a:r>
            <a:endParaRPr lang="en-US" sz="800" b="1"/>
          </a:p>
        </c:rich>
      </c:tx>
      <c:layout>
        <c:manualLayout>
          <c:xMode val="edge"/>
          <c:yMode val="edge"/>
          <c:x val="0.12602498820139596"/>
          <c:y val="1.9109464258144204E-2"/>
        </c:manualLayout>
      </c:layout>
      <c:overlay val="1"/>
    </c:title>
    <c:autoTitleDeleted val="0"/>
    <c:plotArea>
      <c:layout>
        <c:manualLayout>
          <c:layoutTarget val="inner"/>
          <c:xMode val="edge"/>
          <c:yMode val="edge"/>
          <c:x val="0.16302083333333334"/>
          <c:y val="0.11672027777777783"/>
          <c:w val="0.79678839940588342"/>
          <c:h val="0.7669070987654325"/>
        </c:manualLayout>
      </c:layout>
      <c:barChart>
        <c:barDir val="bar"/>
        <c:grouping val="clustered"/>
        <c:varyColors val="0"/>
        <c:ser>
          <c:idx val="0"/>
          <c:order val="0"/>
          <c:tx>
            <c:strRef>
              <c:f>C_CZ!$B$527</c:f>
              <c:strCache>
                <c:ptCount val="1"/>
                <c:pt idx="0">
                  <c:v> % uživatelů internetu</c:v>
                </c:pt>
              </c:strCache>
            </c:strRef>
          </c:tx>
          <c:spPr>
            <a:solidFill>
              <a:srgbClr val="47E5FF"/>
            </a:solidFill>
          </c:spPr>
          <c:invertIfNegative val="0"/>
          <c:dLbls>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dLbls>
          <c:cat>
            <c:strRef>
              <c:f>C_CZ!$A$528:$A$538</c:f>
              <c:strCache>
                <c:ptCount val="11"/>
                <c:pt idx="0">
                  <c:v>  65+</c:v>
                </c:pt>
                <c:pt idx="1">
                  <c:v>  55–64</c:v>
                </c:pt>
                <c:pt idx="2">
                  <c:v>  45–54</c:v>
                </c:pt>
                <c:pt idx="3">
                  <c:v>  35–44</c:v>
                </c:pt>
                <c:pt idx="4">
                  <c:v>  25–34</c:v>
                </c:pt>
                <c:pt idx="5">
                  <c:v>  16–24</c:v>
                </c:pt>
                <c:pt idx="7">
                  <c:v>ženy</c:v>
                </c:pt>
                <c:pt idx="8">
                  <c:v>muži</c:v>
                </c:pt>
                <c:pt idx="10">
                  <c:v>Celkem</c:v>
                </c:pt>
              </c:strCache>
            </c:strRef>
          </c:cat>
          <c:val>
            <c:numRef>
              <c:f>C_CZ!$B$528:$B$538</c:f>
              <c:numCache>
                <c:formatCode>0%</c:formatCode>
                <c:ptCount val="11"/>
                <c:pt idx="0">
                  <c:v>9.7068497025008776E-2</c:v>
                </c:pt>
                <c:pt idx="1">
                  <c:v>0.1578293899367981</c:v>
                </c:pt>
                <c:pt idx="2">
                  <c:v>0.20556148721628109</c:v>
                </c:pt>
                <c:pt idx="3">
                  <c:v>0.27485091590420574</c:v>
                </c:pt>
                <c:pt idx="4">
                  <c:v>0.40854477286598656</c:v>
                </c:pt>
                <c:pt idx="5">
                  <c:v>0.48184277886014903</c:v>
                </c:pt>
                <c:pt idx="7">
                  <c:v>0.24740271550041379</c:v>
                </c:pt>
                <c:pt idx="8">
                  <c:v>0.31178256425962081</c:v>
                </c:pt>
                <c:pt idx="10">
                  <c:v>0.27718818258988298</c:v>
                </c:pt>
              </c:numCache>
            </c:numRef>
          </c:val>
        </c:ser>
        <c:ser>
          <c:idx val="1"/>
          <c:order val="1"/>
          <c:tx>
            <c:strRef>
              <c:f>C_CZ!$C$527</c:f>
              <c:strCache>
                <c:ptCount val="1"/>
                <c:pt idx="0">
                  <c:v> % jednotlivců celkem</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C_CZ!$A$528:$A$538</c:f>
              <c:strCache>
                <c:ptCount val="11"/>
                <c:pt idx="0">
                  <c:v>  65+</c:v>
                </c:pt>
                <c:pt idx="1">
                  <c:v>  55–64</c:v>
                </c:pt>
                <c:pt idx="2">
                  <c:v>  45–54</c:v>
                </c:pt>
                <c:pt idx="3">
                  <c:v>  35–44</c:v>
                </c:pt>
                <c:pt idx="4">
                  <c:v>  25–34</c:v>
                </c:pt>
                <c:pt idx="5">
                  <c:v>  16–24</c:v>
                </c:pt>
                <c:pt idx="7">
                  <c:v>ženy</c:v>
                </c:pt>
                <c:pt idx="8">
                  <c:v>muži</c:v>
                </c:pt>
                <c:pt idx="10">
                  <c:v>Celkem</c:v>
                </c:pt>
              </c:strCache>
            </c:strRef>
          </c:cat>
          <c:val>
            <c:numRef>
              <c:f>C_CZ!$C$528:$C$538</c:f>
              <c:numCache>
                <c:formatCode>0%</c:formatCode>
                <c:ptCount val="11"/>
                <c:pt idx="0">
                  <c:v>3.2574019569823122E-2</c:v>
                </c:pt>
                <c:pt idx="1">
                  <c:v>0.11881179156111905</c:v>
                </c:pt>
                <c:pt idx="2">
                  <c:v>0.18812693496256649</c:v>
                </c:pt>
                <c:pt idx="3">
                  <c:v>0.26626210671007872</c:v>
                </c:pt>
                <c:pt idx="4">
                  <c:v>0.39346096160783001</c:v>
                </c:pt>
                <c:pt idx="5">
                  <c:v>0.47704283583117729</c:v>
                </c:pt>
                <c:pt idx="7">
                  <c:v>0.18765665427362294</c:v>
                </c:pt>
                <c:pt idx="8">
                  <c:v>0.2537710749035883</c:v>
                </c:pt>
                <c:pt idx="10">
                  <c:v>0.218200224166336</c:v>
                </c:pt>
              </c:numCache>
            </c:numRef>
          </c:val>
        </c:ser>
        <c:dLbls>
          <c:showLegendKey val="0"/>
          <c:showVal val="0"/>
          <c:showCatName val="0"/>
          <c:showSerName val="0"/>
          <c:showPercent val="0"/>
          <c:showBubbleSize val="0"/>
        </c:dLbls>
        <c:gapWidth val="30"/>
        <c:axId val="196869120"/>
        <c:axId val="195877056"/>
      </c:barChart>
      <c:catAx>
        <c:axId val="196869120"/>
        <c:scaling>
          <c:orientation val="minMax"/>
        </c:scaling>
        <c:delete val="0"/>
        <c:axPos val="l"/>
        <c:numFmt formatCode="General" sourceLinked="1"/>
        <c:majorTickMark val="out"/>
        <c:minorTickMark val="none"/>
        <c:tickLblPos val="nextTo"/>
        <c:spPr>
          <a:ln>
            <a:solidFill>
              <a:schemeClr val="tx1"/>
            </a:solidFill>
          </a:ln>
        </c:spPr>
        <c:crossAx val="195877056"/>
        <c:crosses val="autoZero"/>
        <c:auto val="1"/>
        <c:lblAlgn val="ctr"/>
        <c:lblOffset val="100"/>
        <c:noMultiLvlLbl val="0"/>
      </c:catAx>
      <c:valAx>
        <c:axId val="195877056"/>
        <c:scaling>
          <c:orientation val="minMax"/>
          <c:max val="0.60000000000000053"/>
        </c:scaling>
        <c:delete val="0"/>
        <c:axPos val="b"/>
        <c:numFmt formatCode="0%" sourceLinked="1"/>
        <c:majorTickMark val="none"/>
        <c:minorTickMark val="none"/>
        <c:tickLblPos val="none"/>
        <c:crossAx val="196869120"/>
        <c:crosses val="autoZero"/>
        <c:crossBetween val="between"/>
        <c:majorUnit val="5.0000000000000024E-2"/>
        <c:minorUnit val="1.0000000000000005E-2"/>
      </c:valAx>
      <c:spPr>
        <a:ln w="12700">
          <a:solidFill>
            <a:schemeClr val="bg1">
              <a:lumMod val="65000"/>
            </a:schemeClr>
          </a:solidFill>
        </a:ln>
      </c:spPr>
    </c:plotArea>
    <c:legend>
      <c:legendPos val="r"/>
      <c:layout>
        <c:manualLayout>
          <c:xMode val="edge"/>
          <c:yMode val="edge"/>
          <c:x val="0.50601686507936428"/>
          <c:y val="0.73096989346919983"/>
          <c:w val="0.43393253968253981"/>
          <c:h val="0.1359277443260769"/>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813516798106587E-2"/>
          <c:y val="0.12904148148148176"/>
          <c:w val="0.96948369216085761"/>
          <c:h val="0.7040259259259255"/>
        </c:manualLayout>
      </c:layout>
      <c:barChart>
        <c:barDir val="col"/>
        <c:grouping val="clustered"/>
        <c:varyColors val="0"/>
        <c:ser>
          <c:idx val="2"/>
          <c:order val="0"/>
          <c:tx>
            <c:strRef>
              <c:f>C_CZ!$A$51</c:f>
              <c:strCache>
                <c:ptCount val="1"/>
                <c:pt idx="0">
                  <c:v>miliony jednotlivců</c:v>
                </c:pt>
              </c:strCache>
            </c:strRef>
          </c:tx>
          <c:spPr>
            <a:solidFill>
              <a:srgbClr val="009BB4"/>
            </a:solidFill>
            <a:ln w="25400">
              <a:noFill/>
            </a:ln>
          </c:spPr>
          <c:invertIfNegative val="0"/>
          <c:dLbls>
            <c:numFmt formatCode="#,##0.0" sourceLinked="0"/>
            <c:txPr>
              <a:bodyPr/>
              <a:lstStyle/>
              <a:p>
                <a:pPr>
                  <a:defRPr b="1">
                    <a:solidFill>
                      <a:schemeClr val="bg1"/>
                    </a:solidFill>
                  </a:defRPr>
                </a:pPr>
                <a:endParaRPr lang="cs-CZ"/>
              </a:p>
            </c:txPr>
            <c:dLblPos val="inEnd"/>
            <c:showLegendKey val="0"/>
            <c:showVal val="1"/>
            <c:showCatName val="0"/>
            <c:showSerName val="0"/>
            <c:showPercent val="0"/>
            <c:showBubbleSize val="0"/>
            <c:showLeaderLines val="0"/>
          </c:dLbls>
          <c:cat>
            <c:numRef>
              <c:f>C_CZ!$B$50:$I$50</c:f>
              <c:numCache>
                <c:formatCode>0</c:formatCode>
                <c:ptCount val="8"/>
                <c:pt idx="0">
                  <c:v>2000</c:v>
                </c:pt>
                <c:pt idx="1">
                  <c:v>2005</c:v>
                </c:pt>
                <c:pt idx="2">
                  <c:v>2007</c:v>
                </c:pt>
                <c:pt idx="3">
                  <c:v>2009</c:v>
                </c:pt>
                <c:pt idx="4">
                  <c:v>2011</c:v>
                </c:pt>
                <c:pt idx="5">
                  <c:v>2013</c:v>
                </c:pt>
                <c:pt idx="6">
                  <c:v>2015</c:v>
                </c:pt>
                <c:pt idx="7">
                  <c:v>2017</c:v>
                </c:pt>
              </c:numCache>
            </c:numRef>
          </c:cat>
          <c:val>
            <c:numRef>
              <c:f>C_CZ!$B$51:$I$51</c:f>
              <c:numCache>
                <c:formatCode>#,##0.0</c:formatCode>
                <c:ptCount val="8"/>
                <c:pt idx="0">
                  <c:v>0.84261771765280002</c:v>
                </c:pt>
                <c:pt idx="1">
                  <c:v>2.7907141565380078</c:v>
                </c:pt>
                <c:pt idx="2">
                  <c:v>3.9211985078519964</c:v>
                </c:pt>
                <c:pt idx="3">
                  <c:v>4.9704184749370022</c:v>
                </c:pt>
                <c:pt idx="4">
                  <c:v>5.7798090000000002</c:v>
                </c:pt>
                <c:pt idx="5" formatCode="0.0">
                  <c:v>6.0475185798788393</c:v>
                </c:pt>
                <c:pt idx="6">
                  <c:v>6.638458</c:v>
                </c:pt>
                <c:pt idx="7">
                  <c:v>6.8916283517093397</c:v>
                </c:pt>
              </c:numCache>
            </c:numRef>
          </c:val>
        </c:ser>
        <c:dLbls>
          <c:showLegendKey val="0"/>
          <c:showVal val="0"/>
          <c:showCatName val="0"/>
          <c:showSerName val="0"/>
          <c:showPercent val="0"/>
          <c:showBubbleSize val="0"/>
        </c:dLbls>
        <c:gapWidth val="50"/>
        <c:axId val="188856320"/>
        <c:axId val="41175872"/>
      </c:barChart>
      <c:lineChart>
        <c:grouping val="standard"/>
        <c:varyColors val="0"/>
        <c:ser>
          <c:idx val="0"/>
          <c:order val="1"/>
          <c:tx>
            <c:strRef>
              <c:f>C_CZ!$A$52</c:f>
              <c:strCache>
                <c:ptCount val="1"/>
                <c:pt idx="0">
                  <c:v> % jednotlivců celkem</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5.6513347763347772E-2"/>
                  <c:y val="-5.9531652639917193E-2"/>
                </c:manualLayout>
              </c:layout>
              <c:dLblPos val="r"/>
              <c:showLegendKey val="0"/>
              <c:showVal val="1"/>
              <c:showCatName val="0"/>
              <c:showSerName val="0"/>
              <c:showPercent val="0"/>
              <c:showBubbleSize val="0"/>
            </c:dLbl>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C_CZ!$B$50:$I$50</c:f>
              <c:numCache>
                <c:formatCode>0</c:formatCode>
                <c:ptCount val="8"/>
                <c:pt idx="0">
                  <c:v>2000</c:v>
                </c:pt>
                <c:pt idx="1">
                  <c:v>2005</c:v>
                </c:pt>
                <c:pt idx="2">
                  <c:v>2007</c:v>
                </c:pt>
                <c:pt idx="3">
                  <c:v>2009</c:v>
                </c:pt>
                <c:pt idx="4">
                  <c:v>2011</c:v>
                </c:pt>
                <c:pt idx="5">
                  <c:v>2013</c:v>
                </c:pt>
                <c:pt idx="6">
                  <c:v>2015</c:v>
                </c:pt>
                <c:pt idx="7">
                  <c:v>2017</c:v>
                </c:pt>
              </c:numCache>
            </c:numRef>
          </c:cat>
          <c:val>
            <c:numRef>
              <c:f>C_CZ!$B$52:$I$52</c:f>
              <c:numCache>
                <c:formatCode>0.0%</c:formatCode>
                <c:ptCount val="8"/>
                <c:pt idx="0">
                  <c:v>9.7805278883439289E-2</c:v>
                </c:pt>
                <c:pt idx="1">
                  <c:v>0.32105700380839819</c:v>
                </c:pt>
                <c:pt idx="2">
                  <c:v>0.45019412878016296</c:v>
                </c:pt>
                <c:pt idx="3">
                  <c:v>0.55940788279018727</c:v>
                </c:pt>
                <c:pt idx="4">
                  <c:v>0.65453824594487131</c:v>
                </c:pt>
                <c:pt idx="5">
                  <c:v>0.687849747908716</c:v>
                </c:pt>
                <c:pt idx="6">
                  <c:v>0.75668835925877931</c:v>
                </c:pt>
                <c:pt idx="7">
                  <c:v>0.78719165488081599</c:v>
                </c:pt>
              </c:numCache>
            </c:numRef>
          </c:val>
          <c:smooth val="0"/>
        </c:ser>
        <c:dLbls>
          <c:showLegendKey val="0"/>
          <c:showVal val="0"/>
          <c:showCatName val="0"/>
          <c:showSerName val="0"/>
          <c:showPercent val="0"/>
          <c:showBubbleSize val="0"/>
        </c:dLbls>
        <c:marker val="1"/>
        <c:smooth val="0"/>
        <c:axId val="188857856"/>
        <c:axId val="41176448"/>
      </c:lineChart>
      <c:catAx>
        <c:axId val="188856320"/>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cs-CZ"/>
          </a:p>
        </c:txPr>
        <c:crossAx val="41175872"/>
        <c:crosses val="autoZero"/>
        <c:auto val="1"/>
        <c:lblAlgn val="ctr"/>
        <c:lblOffset val="140"/>
        <c:tickLblSkip val="1"/>
        <c:tickMarkSkip val="1"/>
        <c:noMultiLvlLbl val="0"/>
      </c:catAx>
      <c:valAx>
        <c:axId val="41175872"/>
        <c:scaling>
          <c:orientation val="minMax"/>
          <c:max val="9"/>
          <c:min val="0"/>
        </c:scaling>
        <c:delete val="0"/>
        <c:axPos val="l"/>
        <c:majorGridlines>
          <c:spPr>
            <a:ln w="12700">
              <a:noFill/>
              <a:prstDash val="dash"/>
            </a:ln>
          </c:spPr>
        </c:majorGridlines>
        <c:numFmt formatCode="#,##0.0" sourceLinked="1"/>
        <c:majorTickMark val="none"/>
        <c:minorTickMark val="none"/>
        <c:tickLblPos val="none"/>
        <c:spPr>
          <a:ln w="9525">
            <a:noFill/>
          </a:ln>
        </c:spPr>
        <c:crossAx val="188856320"/>
        <c:crosses val="autoZero"/>
        <c:crossBetween val="between"/>
        <c:majorUnit val="1"/>
        <c:minorUnit val="2.0000000000000011E-2"/>
      </c:valAx>
      <c:catAx>
        <c:axId val="188857856"/>
        <c:scaling>
          <c:orientation val="minMax"/>
        </c:scaling>
        <c:delete val="1"/>
        <c:axPos val="b"/>
        <c:numFmt formatCode="0" sourceLinked="1"/>
        <c:majorTickMark val="out"/>
        <c:minorTickMark val="none"/>
        <c:tickLblPos val="none"/>
        <c:crossAx val="41176448"/>
        <c:crosses val="autoZero"/>
        <c:auto val="1"/>
        <c:lblAlgn val="ctr"/>
        <c:lblOffset val="100"/>
        <c:noMultiLvlLbl val="0"/>
      </c:catAx>
      <c:valAx>
        <c:axId val="41176448"/>
        <c:scaling>
          <c:orientation val="minMax"/>
          <c:max val="0.9"/>
          <c:min val="0"/>
        </c:scaling>
        <c:delete val="0"/>
        <c:axPos val="r"/>
        <c:numFmt formatCode="0.0%" sourceLinked="1"/>
        <c:majorTickMark val="none"/>
        <c:minorTickMark val="none"/>
        <c:tickLblPos val="none"/>
        <c:spPr>
          <a:ln>
            <a:solidFill>
              <a:schemeClr val="bg1">
                <a:lumMod val="65000"/>
              </a:schemeClr>
            </a:solidFill>
          </a:ln>
        </c:spPr>
        <c:crossAx val="188857856"/>
        <c:crosses val="max"/>
        <c:crossBetween val="between"/>
        <c:majorUnit val="5.0000000000000024E-2"/>
        <c:minorUnit val="1.0000000000000005E-2"/>
      </c:valAx>
      <c:spPr>
        <a:noFill/>
        <a:ln w="12700">
          <a:solidFill>
            <a:srgbClr val="A6A6A6"/>
          </a:solidFill>
          <a:prstDash val="solid"/>
        </a:ln>
      </c:spPr>
    </c:plotArea>
    <c:legend>
      <c:legendPos val="l"/>
      <c:legendEntry>
        <c:idx val="1"/>
        <c:txPr>
          <a:bodyPr/>
          <a:lstStyle/>
          <a:p>
            <a:pPr>
              <a:defRPr i="0"/>
            </a:pPr>
            <a:endParaRPr lang="cs-CZ"/>
          </a:p>
        </c:txPr>
      </c:legendEntry>
      <c:layout>
        <c:manualLayout>
          <c:xMode val="edge"/>
          <c:yMode val="edge"/>
          <c:x val="4.3021680216802173E-2"/>
          <c:y val="0.15471740740740772"/>
          <c:w val="0.46708202614379085"/>
          <c:h val="0.13421814814814828"/>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C</a:t>
            </a:r>
            <a:r>
              <a:rPr lang="cs-CZ" sz="800"/>
              <a:t>30</a:t>
            </a:r>
            <a:r>
              <a:rPr lang="en-US" sz="800"/>
              <a:t> Jednotlivci v zemích EU </a:t>
            </a:r>
            <a:r>
              <a:rPr lang="cs-CZ" sz="800"/>
              <a:t>ve věku 16 až 74 let </a:t>
            </a:r>
            <a:r>
              <a:rPr lang="en-US" sz="800"/>
              <a:t>používající internet</a:t>
            </a:r>
            <a:r>
              <a:rPr lang="cs-CZ" sz="800"/>
              <a:t>ové bankovnictví</a:t>
            </a:r>
            <a:r>
              <a:rPr lang="en-US" sz="800"/>
              <a:t> (%)</a:t>
            </a:r>
            <a:r>
              <a:rPr lang="cs-CZ" sz="800"/>
              <a:t>*</a:t>
            </a:r>
            <a:endParaRPr lang="en-US" sz="800"/>
          </a:p>
        </c:rich>
      </c:tx>
      <c:layout/>
      <c:overlay val="0"/>
    </c:title>
    <c:autoTitleDeleted val="0"/>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C_CZ!$B$546</c:f>
              <c:strCache>
                <c:ptCount val="1"/>
                <c:pt idx="0">
                  <c:v> 2017</c:v>
                </c:pt>
              </c:strCache>
            </c:strRef>
          </c:tx>
          <c:spPr>
            <a:solidFill>
              <a:srgbClr val="009BB4"/>
            </a:solidFill>
            <a:ln>
              <a:noFill/>
            </a:ln>
          </c:spPr>
          <c:invertIfNegative val="0"/>
          <c:dPt>
            <c:idx val="8"/>
            <c:invertIfNegative val="0"/>
            <c:bubble3D val="0"/>
            <c:spPr>
              <a:solidFill>
                <a:srgbClr val="009BB4"/>
              </a:solidFill>
              <a:ln w="19050">
                <a:noFill/>
              </a:ln>
            </c:spPr>
          </c:dPt>
          <c:dPt>
            <c:idx val="12"/>
            <c:invertIfNegative val="0"/>
            <c:bubble3D val="0"/>
            <c:spPr>
              <a:solidFill>
                <a:srgbClr val="009BB4"/>
              </a:solidFill>
              <a:ln>
                <a:solidFill>
                  <a:srgbClr val="FF0000"/>
                </a:solidFill>
              </a:ln>
            </c:spPr>
          </c:dPt>
          <c:dPt>
            <c:idx val="13"/>
            <c:invertIfNegative val="0"/>
            <c:bubble3D val="0"/>
            <c:spPr>
              <a:solidFill>
                <a:srgbClr val="009BB4"/>
              </a:solidFill>
              <a:ln w="19050">
                <a:noFill/>
              </a:ln>
            </c:spPr>
          </c:dPt>
          <c:dPt>
            <c:idx val="15"/>
            <c:invertIfNegative val="0"/>
            <c:bubble3D val="0"/>
            <c:spPr>
              <a:solidFill>
                <a:srgbClr val="009BB4"/>
              </a:solidFill>
              <a:ln>
                <a:solidFill>
                  <a:srgbClr val="FF0000"/>
                </a:solidFill>
              </a:ln>
            </c:spPr>
          </c:dPt>
          <c:dPt>
            <c:idx val="16"/>
            <c:invertIfNegative val="0"/>
            <c:bubble3D val="0"/>
            <c:spPr>
              <a:solidFill>
                <a:srgbClr val="009BB4"/>
              </a:solidFill>
              <a:ln w="19050">
                <a:noFill/>
              </a:ln>
            </c:spPr>
          </c:dPt>
          <c:dLbls>
            <c:dLbl>
              <c:idx val="0"/>
              <c:layout>
                <c:manualLayout>
                  <c:x val="0"/>
                  <c:y val="0.11759259259259255"/>
                </c:manualLayout>
              </c:layout>
              <c:dLblPos val="outEnd"/>
              <c:showLegendKey val="0"/>
              <c:showVal val="1"/>
              <c:showCatName val="0"/>
              <c:showSerName val="0"/>
              <c:showPercent val="0"/>
              <c:showBubbleSize val="0"/>
            </c:dLbl>
            <c:dLbl>
              <c:idx val="1"/>
              <c:layout>
                <c:manualLayout>
                  <c:x val="0"/>
                  <c:y val="0.12151234567901231"/>
                </c:manualLayout>
              </c:layout>
              <c:dLblPos val="outEnd"/>
              <c:showLegendKey val="0"/>
              <c:showVal val="1"/>
              <c:showCatName val="0"/>
              <c:showSerName val="0"/>
              <c:showPercent val="0"/>
              <c:showBubbleSize val="0"/>
            </c:dLbl>
            <c:dLbl>
              <c:idx val="25"/>
              <c:layout>
                <c:manualLayout>
                  <c:x val="0"/>
                  <c:y val="1.1817901234567829E-2"/>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26"/>
              <c:layout>
                <c:manualLayout>
                  <c:x val="0"/>
                  <c:y val="3.978395061728395E-3"/>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27"/>
              <c:layout>
                <c:manualLayout>
                  <c:x val="0"/>
                  <c:y val="-2.1417592592592665E-2"/>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dLbl>
            <c:dLbl>
              <c:idx val="28"/>
              <c:layout>
                <c:manualLayout>
                  <c:x val="-2.0426709128487219E-3"/>
                  <c:y val="-2.5649999999999999E-2"/>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dLbl>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C_CZ!$A$547:$A$575</c:f>
              <c:strCache>
                <c:ptCount val="29"/>
                <c:pt idx="0">
                  <c:v>Dánsko</c:v>
                </c:pt>
                <c:pt idx="1">
                  <c:v>Nizozemsko</c:v>
                </c:pt>
                <c:pt idx="2">
                  <c:v>Finsko</c:v>
                </c:pt>
                <c:pt idx="3">
                  <c:v>Švédsko</c:v>
                </c:pt>
                <c:pt idx="4">
                  <c:v>Estonsko</c:v>
                </c:pt>
                <c:pt idx="5">
                  <c:v>Lucembursko</c:v>
                </c:pt>
                <c:pt idx="6">
                  <c:v>Velká Británie</c:v>
                </c:pt>
                <c:pt idx="7">
                  <c:v>Belgie</c:v>
                </c:pt>
                <c:pt idx="8">
                  <c:v>Francie</c:v>
                </c:pt>
                <c:pt idx="9">
                  <c:v>Lotyšsko</c:v>
                </c:pt>
                <c:pt idx="10">
                  <c:v>Irsko</c:v>
                </c:pt>
                <c:pt idx="11">
                  <c:v>Rakousko</c:v>
                </c:pt>
                <c:pt idx="12">
                  <c:v>Česko</c:v>
                </c:pt>
                <c:pt idx="13">
                  <c:v>Litva</c:v>
                </c:pt>
                <c:pt idx="14">
                  <c:v>Německo</c:v>
                </c:pt>
                <c:pt idx="15">
                  <c:v>EU28</c:v>
                </c:pt>
                <c:pt idx="16">
                  <c:v>Slovensko</c:v>
                </c:pt>
                <c:pt idx="17">
                  <c:v>Malta</c:v>
                </c:pt>
                <c:pt idx="18">
                  <c:v>Španělsko</c:v>
                </c:pt>
                <c:pt idx="19">
                  <c:v>Polsko</c:v>
                </c:pt>
                <c:pt idx="20">
                  <c:v>Slovinsko</c:v>
                </c:pt>
                <c:pt idx="21">
                  <c:v>Maďarsko</c:v>
                </c:pt>
                <c:pt idx="22">
                  <c:v>Chorvatsko</c:v>
                </c:pt>
                <c:pt idx="23">
                  <c:v>Portugalsko</c:v>
                </c:pt>
                <c:pt idx="24">
                  <c:v>Itálie</c:v>
                </c:pt>
                <c:pt idx="25">
                  <c:v>Kypr</c:v>
                </c:pt>
                <c:pt idx="26">
                  <c:v>Řecko</c:v>
                </c:pt>
                <c:pt idx="27">
                  <c:v>Rumunsko</c:v>
                </c:pt>
                <c:pt idx="28">
                  <c:v>Bulharsko</c:v>
                </c:pt>
              </c:strCache>
            </c:strRef>
          </c:cat>
          <c:val>
            <c:numRef>
              <c:f>C_CZ!$B$547:$B$575</c:f>
              <c:numCache>
                <c:formatCode>0%</c:formatCode>
                <c:ptCount val="29"/>
                <c:pt idx="0">
                  <c:v>0.89771999999999996</c:v>
                </c:pt>
                <c:pt idx="1">
                  <c:v>0.88912000000000002</c:v>
                </c:pt>
                <c:pt idx="2">
                  <c:v>0.87412500000000004</c:v>
                </c:pt>
                <c:pt idx="3">
                  <c:v>0.86472300000000002</c:v>
                </c:pt>
                <c:pt idx="4">
                  <c:v>0.79228299999999996</c:v>
                </c:pt>
                <c:pt idx="5">
                  <c:v>0.76420399999999999</c:v>
                </c:pt>
                <c:pt idx="6">
                  <c:v>0.68352199999999996</c:v>
                </c:pt>
                <c:pt idx="7">
                  <c:v>0.66629899999999997</c:v>
                </c:pt>
                <c:pt idx="8">
                  <c:v>0.62007800000000002</c:v>
                </c:pt>
                <c:pt idx="9">
                  <c:v>0.61187000000000002</c:v>
                </c:pt>
                <c:pt idx="10">
                  <c:v>0.57638100000000003</c:v>
                </c:pt>
                <c:pt idx="11">
                  <c:v>0.57493899999999998</c:v>
                </c:pt>
                <c:pt idx="12">
                  <c:v>0.56551499999999999</c:v>
                </c:pt>
                <c:pt idx="13">
                  <c:v>0.561886</c:v>
                </c:pt>
                <c:pt idx="14">
                  <c:v>0.55562999999999996</c:v>
                </c:pt>
                <c:pt idx="15">
                  <c:v>0.51344400000000001</c:v>
                </c:pt>
                <c:pt idx="16">
                  <c:v>0.51107400000000003</c:v>
                </c:pt>
                <c:pt idx="17">
                  <c:v>0.49118899999999999</c:v>
                </c:pt>
                <c:pt idx="18">
                  <c:v>0.46176800000000001</c:v>
                </c:pt>
                <c:pt idx="19">
                  <c:v>0.39765400000000001</c:v>
                </c:pt>
                <c:pt idx="20">
                  <c:v>0.39054</c:v>
                </c:pt>
                <c:pt idx="21">
                  <c:v>0.376994</c:v>
                </c:pt>
                <c:pt idx="22">
                  <c:v>0.33299299999999998</c:v>
                </c:pt>
                <c:pt idx="23">
                  <c:v>0.31290299999999999</c:v>
                </c:pt>
                <c:pt idx="24">
                  <c:v>0.308313</c:v>
                </c:pt>
                <c:pt idx="25">
                  <c:v>0.27587600000000001</c:v>
                </c:pt>
                <c:pt idx="26">
                  <c:v>0.251218</c:v>
                </c:pt>
                <c:pt idx="27">
                  <c:v>6.8346000000000004E-2</c:v>
                </c:pt>
                <c:pt idx="28">
                  <c:v>5.4855000000000001E-2</c:v>
                </c:pt>
              </c:numCache>
            </c:numRef>
          </c:val>
        </c:ser>
        <c:dLbls>
          <c:showLegendKey val="0"/>
          <c:showVal val="0"/>
          <c:showCatName val="0"/>
          <c:showSerName val="0"/>
          <c:showPercent val="0"/>
          <c:showBubbleSize val="0"/>
        </c:dLbls>
        <c:gapWidth val="50"/>
        <c:axId val="197005312"/>
        <c:axId val="195878208"/>
      </c:barChart>
      <c:barChart>
        <c:barDir val="col"/>
        <c:grouping val="clustered"/>
        <c:varyColors val="0"/>
        <c:ser>
          <c:idx val="1"/>
          <c:order val="1"/>
          <c:tx>
            <c:strRef>
              <c:f>C_CZ!$C$546</c:f>
              <c:strCache>
                <c:ptCount val="1"/>
                <c:pt idx="0">
                  <c:v> 2007</c:v>
                </c:pt>
              </c:strCache>
            </c:strRef>
          </c:tx>
          <c:spPr>
            <a:solidFill>
              <a:srgbClr val="47E5FF"/>
            </a:solidFill>
          </c:spPr>
          <c:invertIfNegative val="0"/>
          <c:dLbls>
            <c:dLbl>
              <c:idx val="27"/>
              <c:layout>
                <c:manualLayout>
                  <c:x val="-2.0426709128487219E-3"/>
                  <c:y val="1.4103086419753087E-2"/>
                </c:manualLayout>
              </c:layout>
              <c:dLblPos val="outEnd"/>
              <c:showLegendKey val="0"/>
              <c:showVal val="1"/>
              <c:showCatName val="0"/>
              <c:showSerName val="0"/>
              <c:showPercent val="0"/>
              <c:showBubbleSize val="0"/>
            </c:dLbl>
            <c:dLbl>
              <c:idx val="28"/>
              <c:layout>
                <c:manualLayout>
                  <c:x val="-2.0426709128487219E-3"/>
                  <c:y val="1.3928703703703704E-2"/>
                </c:manualLayout>
              </c:layout>
              <c:dLblPos val="outEnd"/>
              <c:showLegendKey val="0"/>
              <c:showVal val="1"/>
              <c:showCatName val="0"/>
              <c:showSerName val="0"/>
              <c:showPercent val="0"/>
              <c:showBubbleSize val="0"/>
            </c:dLbl>
            <c:txPr>
              <a:bodyPr rot="-5400000" vert="horz"/>
              <a:lstStyle/>
              <a:p>
                <a:pPr>
                  <a:defRPr b="1"/>
                </a:pPr>
                <a:endParaRPr lang="cs-CZ"/>
              </a:p>
            </c:txPr>
            <c:dLblPos val="inBase"/>
            <c:showLegendKey val="0"/>
            <c:showVal val="1"/>
            <c:showCatName val="0"/>
            <c:showSerName val="0"/>
            <c:showPercent val="0"/>
            <c:showBubbleSize val="0"/>
            <c:showLeaderLines val="0"/>
          </c:dLbls>
          <c:cat>
            <c:strRef>
              <c:f>C_CZ!$A$547:$A$575</c:f>
              <c:strCache>
                <c:ptCount val="29"/>
                <c:pt idx="0">
                  <c:v>Dánsko</c:v>
                </c:pt>
                <c:pt idx="1">
                  <c:v>Nizozemsko</c:v>
                </c:pt>
                <c:pt idx="2">
                  <c:v>Finsko</c:v>
                </c:pt>
                <c:pt idx="3">
                  <c:v>Švédsko</c:v>
                </c:pt>
                <c:pt idx="4">
                  <c:v>Estonsko</c:v>
                </c:pt>
                <c:pt idx="5">
                  <c:v>Lucembursko</c:v>
                </c:pt>
                <c:pt idx="6">
                  <c:v>Velká Británie</c:v>
                </c:pt>
                <c:pt idx="7">
                  <c:v>Belgie</c:v>
                </c:pt>
                <c:pt idx="8">
                  <c:v>Francie</c:v>
                </c:pt>
                <c:pt idx="9">
                  <c:v>Lotyšsko</c:v>
                </c:pt>
                <c:pt idx="10">
                  <c:v>Irsko</c:v>
                </c:pt>
                <c:pt idx="11">
                  <c:v>Rakousko</c:v>
                </c:pt>
                <c:pt idx="12">
                  <c:v>Česko</c:v>
                </c:pt>
                <c:pt idx="13">
                  <c:v>Litva</c:v>
                </c:pt>
                <c:pt idx="14">
                  <c:v>Německo</c:v>
                </c:pt>
                <c:pt idx="15">
                  <c:v>EU28</c:v>
                </c:pt>
                <c:pt idx="16">
                  <c:v>Slovensko</c:v>
                </c:pt>
                <c:pt idx="17">
                  <c:v>Malta</c:v>
                </c:pt>
                <c:pt idx="18">
                  <c:v>Španělsko</c:v>
                </c:pt>
                <c:pt idx="19">
                  <c:v>Polsko</c:v>
                </c:pt>
                <c:pt idx="20">
                  <c:v>Slovinsko</c:v>
                </c:pt>
                <c:pt idx="21">
                  <c:v>Maďarsko</c:v>
                </c:pt>
                <c:pt idx="22">
                  <c:v>Chorvatsko</c:v>
                </c:pt>
                <c:pt idx="23">
                  <c:v>Portugalsko</c:v>
                </c:pt>
                <c:pt idx="24">
                  <c:v>Itálie</c:v>
                </c:pt>
                <c:pt idx="25">
                  <c:v>Kypr</c:v>
                </c:pt>
                <c:pt idx="26">
                  <c:v>Řecko</c:v>
                </c:pt>
                <c:pt idx="27">
                  <c:v>Rumunsko</c:v>
                </c:pt>
                <c:pt idx="28">
                  <c:v>Bulharsko</c:v>
                </c:pt>
              </c:strCache>
            </c:strRef>
          </c:cat>
          <c:val>
            <c:numRef>
              <c:f>C_CZ!$C$547:$C$575</c:f>
              <c:numCache>
                <c:formatCode>0%</c:formatCode>
                <c:ptCount val="29"/>
                <c:pt idx="0">
                  <c:v>0.56803700000000001</c:v>
                </c:pt>
                <c:pt idx="1">
                  <c:v>0.65059100000000003</c:v>
                </c:pt>
                <c:pt idx="2">
                  <c:v>0.66454500000000005</c:v>
                </c:pt>
                <c:pt idx="3">
                  <c:v>0.56689400000000001</c:v>
                </c:pt>
                <c:pt idx="4">
                  <c:v>0.52593599999999996</c:v>
                </c:pt>
                <c:pt idx="5">
                  <c:v>0.45614700000000002</c:v>
                </c:pt>
                <c:pt idx="6">
                  <c:v>0.321766</c:v>
                </c:pt>
                <c:pt idx="7">
                  <c:v>0.34764600000000001</c:v>
                </c:pt>
                <c:pt idx="8">
                  <c:v>0.34269899999999998</c:v>
                </c:pt>
                <c:pt idx="9">
                  <c:v>0.27844099999999999</c:v>
                </c:pt>
                <c:pt idx="10">
                  <c:v>0.245945</c:v>
                </c:pt>
                <c:pt idx="11">
                  <c:v>0.29746600000000001</c:v>
                </c:pt>
                <c:pt idx="12">
                  <c:v>0.115443</c:v>
                </c:pt>
                <c:pt idx="13">
                  <c:v>0.20959900000000001</c:v>
                </c:pt>
                <c:pt idx="14">
                  <c:v>0.35452800000000001</c:v>
                </c:pt>
                <c:pt idx="15">
                  <c:v>0.252716</c:v>
                </c:pt>
                <c:pt idx="16">
                  <c:v>0.15190100000000001</c:v>
                </c:pt>
                <c:pt idx="17">
                  <c:v>0.21845000000000001</c:v>
                </c:pt>
                <c:pt idx="18">
                  <c:v>0.15889400000000001</c:v>
                </c:pt>
                <c:pt idx="19">
                  <c:v>0.12793099999999999</c:v>
                </c:pt>
                <c:pt idx="20">
                  <c:v>0.19133800000000001</c:v>
                </c:pt>
                <c:pt idx="21">
                  <c:v>0.114236</c:v>
                </c:pt>
                <c:pt idx="22">
                  <c:v>9.0319999999999998E-2</c:v>
                </c:pt>
                <c:pt idx="23">
                  <c:v>0.116658</c:v>
                </c:pt>
                <c:pt idx="24">
                  <c:v>0.118797</c:v>
                </c:pt>
                <c:pt idx="25">
                  <c:v>0.11928800000000001</c:v>
                </c:pt>
                <c:pt idx="26">
                  <c:v>3.9031999999999997E-2</c:v>
                </c:pt>
                <c:pt idx="27">
                  <c:v>1.6853E-2</c:v>
                </c:pt>
                <c:pt idx="28">
                  <c:v>1.6563999999999999E-2</c:v>
                </c:pt>
              </c:numCache>
            </c:numRef>
          </c:val>
        </c:ser>
        <c:dLbls>
          <c:showLegendKey val="0"/>
          <c:showVal val="0"/>
          <c:showCatName val="0"/>
          <c:showSerName val="0"/>
          <c:showPercent val="0"/>
          <c:showBubbleSize val="0"/>
        </c:dLbls>
        <c:gapWidth val="200"/>
        <c:axId val="197008384"/>
        <c:axId val="196517888"/>
      </c:barChart>
      <c:catAx>
        <c:axId val="197005312"/>
        <c:scaling>
          <c:orientation val="minMax"/>
        </c:scaling>
        <c:delete val="0"/>
        <c:axPos val="b"/>
        <c:majorTickMark val="out"/>
        <c:minorTickMark val="none"/>
        <c:tickLblPos val="nextTo"/>
        <c:spPr>
          <a:ln>
            <a:solidFill>
              <a:schemeClr val="tx1"/>
            </a:solidFill>
          </a:ln>
        </c:spPr>
        <c:crossAx val="195878208"/>
        <c:crosses val="autoZero"/>
        <c:auto val="1"/>
        <c:lblAlgn val="ctr"/>
        <c:lblOffset val="100"/>
        <c:noMultiLvlLbl val="0"/>
      </c:catAx>
      <c:valAx>
        <c:axId val="195878208"/>
        <c:scaling>
          <c:orientation val="minMax"/>
          <c:max val="1"/>
          <c:min val="0"/>
        </c:scaling>
        <c:delete val="1"/>
        <c:axPos val="l"/>
        <c:numFmt formatCode="0%" sourceLinked="1"/>
        <c:majorTickMark val="out"/>
        <c:minorTickMark val="none"/>
        <c:tickLblPos val="nextTo"/>
        <c:crossAx val="197005312"/>
        <c:crosses val="autoZero"/>
        <c:crossBetween val="between"/>
        <c:majorUnit val="0.1"/>
        <c:minorUnit val="5.0000000000000024E-2"/>
      </c:valAx>
      <c:valAx>
        <c:axId val="196517888"/>
        <c:scaling>
          <c:orientation val="minMax"/>
          <c:max val="1"/>
        </c:scaling>
        <c:delete val="0"/>
        <c:axPos val="r"/>
        <c:numFmt formatCode="0%" sourceLinked="1"/>
        <c:majorTickMark val="none"/>
        <c:minorTickMark val="none"/>
        <c:tickLblPos val="none"/>
        <c:crossAx val="197008384"/>
        <c:crosses val="max"/>
        <c:crossBetween val="between"/>
      </c:valAx>
      <c:catAx>
        <c:axId val="197008384"/>
        <c:scaling>
          <c:orientation val="minMax"/>
        </c:scaling>
        <c:delete val="1"/>
        <c:axPos val="b"/>
        <c:majorTickMark val="out"/>
        <c:minorTickMark val="none"/>
        <c:tickLblPos val="none"/>
        <c:crossAx val="196517888"/>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8343184797381535"/>
          <c:y val="0.12077129629629629"/>
          <c:w val="6.9586721030664239E-2"/>
          <c:h val="0.1163820987654321"/>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i="0" baseline="0">
                <a:effectLst/>
              </a:rPr>
              <a:t>Graf C31 Jednotlivci v Česku  ve věku 16 let </a:t>
            </a: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i="0" baseline="0">
                <a:effectLst/>
              </a:rPr>
              <a:t>a starší nakupující na internetu </a:t>
            </a:r>
            <a:endParaRPr lang="en-US" sz="800" b="1"/>
          </a:p>
        </c:rich>
      </c:tx>
      <c:layout>
        <c:manualLayout>
          <c:xMode val="edge"/>
          <c:yMode val="edge"/>
          <c:x val="0.15395381526104421"/>
          <c:y val="2.6654320987654356E-2"/>
        </c:manualLayout>
      </c:layout>
      <c:overlay val="1"/>
    </c:title>
    <c:autoTitleDeleted val="0"/>
    <c:plotArea>
      <c:layout>
        <c:manualLayout>
          <c:layoutTarget val="inner"/>
          <c:xMode val="edge"/>
          <c:yMode val="edge"/>
          <c:x val="1.3813516798106587E-2"/>
          <c:y val="0.12904148148148176"/>
          <c:w val="0.96948369216085761"/>
          <c:h val="0.7040259259259255"/>
        </c:manualLayout>
      </c:layout>
      <c:barChart>
        <c:barDir val="col"/>
        <c:grouping val="clustered"/>
        <c:varyColors val="0"/>
        <c:ser>
          <c:idx val="2"/>
          <c:order val="0"/>
          <c:tx>
            <c:strRef>
              <c:f>C_CZ!$A$580</c:f>
              <c:strCache>
                <c:ptCount val="1"/>
                <c:pt idx="0">
                  <c:v> miliony jednotlivců</c:v>
                </c:pt>
              </c:strCache>
            </c:strRef>
          </c:tx>
          <c:spPr>
            <a:solidFill>
              <a:srgbClr val="009BB4"/>
            </a:solidFill>
            <a:ln w="25400">
              <a:noFill/>
            </a:ln>
          </c:spPr>
          <c:invertIfNegative val="0"/>
          <c:dLbls>
            <c:dLbl>
              <c:idx val="0"/>
              <c:layout/>
              <c:numFmt formatCode="#,##0.0" sourceLinked="0"/>
              <c:spPr/>
              <c:txPr>
                <a:bodyPr/>
                <a:lstStyle/>
                <a:p>
                  <a:pPr>
                    <a:defRPr b="1">
                      <a:solidFill>
                        <a:sysClr val="windowText" lastClr="000000"/>
                      </a:solidFill>
                    </a:defRPr>
                  </a:pPr>
                  <a:endParaRPr lang="cs-CZ"/>
                </a:p>
              </c:txPr>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numFmt formatCode="#,##0.0" sourceLinked="0"/>
            <c:txPr>
              <a:bodyPr/>
              <a:lstStyle/>
              <a:p>
                <a:pPr>
                  <a:defRPr b="1">
                    <a:solidFill>
                      <a:schemeClr val="bg1"/>
                    </a:solidFill>
                  </a:defRPr>
                </a:pPr>
                <a:endParaRPr lang="cs-CZ"/>
              </a:p>
            </c:txPr>
            <c:dLblPos val="inEnd"/>
            <c:showLegendKey val="0"/>
            <c:showVal val="1"/>
            <c:showCatName val="0"/>
            <c:showSerName val="0"/>
            <c:showPercent val="0"/>
            <c:showBubbleSize val="0"/>
            <c:showLeaderLines val="0"/>
          </c:dLbls>
          <c:cat>
            <c:numRef>
              <c:f>C_CZ!$B$579:$H$579</c:f>
              <c:numCache>
                <c:formatCode>0</c:formatCode>
                <c:ptCount val="7"/>
                <c:pt idx="0">
                  <c:v>2005</c:v>
                </c:pt>
                <c:pt idx="1">
                  <c:v>2007</c:v>
                </c:pt>
                <c:pt idx="2">
                  <c:v>2009</c:v>
                </c:pt>
                <c:pt idx="3">
                  <c:v>2011</c:v>
                </c:pt>
                <c:pt idx="4">
                  <c:v>2013</c:v>
                </c:pt>
                <c:pt idx="5">
                  <c:v>2015</c:v>
                </c:pt>
                <c:pt idx="6">
                  <c:v>2017</c:v>
                </c:pt>
              </c:numCache>
            </c:numRef>
          </c:cat>
          <c:val>
            <c:numRef>
              <c:f>C_CZ!$B$580:$H$580</c:f>
              <c:numCache>
                <c:formatCode>#,##0.0</c:formatCode>
                <c:ptCount val="7"/>
                <c:pt idx="0">
                  <c:v>0.47589966372599857</c:v>
                </c:pt>
                <c:pt idx="1">
                  <c:v>1.3312421759300039</c:v>
                </c:pt>
                <c:pt idx="2">
                  <c:v>1.9503761920609999</c:v>
                </c:pt>
                <c:pt idx="3">
                  <c:v>2.4687650000000003</c:v>
                </c:pt>
                <c:pt idx="4">
                  <c:v>2.9576641488246898</c:v>
                </c:pt>
                <c:pt idx="5" formatCode="0.0">
                  <c:v>3.6718000000000002</c:v>
                </c:pt>
                <c:pt idx="6" formatCode="0.0">
                  <c:v>4.4785634698510899</c:v>
                </c:pt>
              </c:numCache>
            </c:numRef>
          </c:val>
        </c:ser>
        <c:dLbls>
          <c:showLegendKey val="0"/>
          <c:showVal val="0"/>
          <c:showCatName val="0"/>
          <c:showSerName val="0"/>
          <c:showPercent val="0"/>
          <c:showBubbleSize val="0"/>
        </c:dLbls>
        <c:gapWidth val="50"/>
        <c:axId val="199459328"/>
        <c:axId val="196520192"/>
      </c:barChart>
      <c:lineChart>
        <c:grouping val="standard"/>
        <c:varyColors val="0"/>
        <c:ser>
          <c:idx val="0"/>
          <c:order val="1"/>
          <c:tx>
            <c:strRef>
              <c:f>C_CZ!$A$581</c:f>
              <c:strCache>
                <c:ptCount val="1"/>
                <c:pt idx="0">
                  <c:v> % jednotlivců celkem</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5.6513347763347772E-2"/>
                  <c:y val="-5.9531652639917193E-2"/>
                </c:manualLayout>
              </c:layout>
              <c:dLblPos val="r"/>
              <c:showLegendKey val="0"/>
              <c:showVal val="1"/>
              <c:showCatName val="0"/>
              <c:showSerName val="0"/>
              <c:showPercent val="0"/>
              <c:showBubbleSize val="0"/>
            </c:dLbl>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C_CZ!$B$579:$H$579</c:f>
              <c:numCache>
                <c:formatCode>0</c:formatCode>
                <c:ptCount val="7"/>
                <c:pt idx="0">
                  <c:v>2005</c:v>
                </c:pt>
                <c:pt idx="1">
                  <c:v>2007</c:v>
                </c:pt>
                <c:pt idx="2">
                  <c:v>2009</c:v>
                </c:pt>
                <c:pt idx="3">
                  <c:v>2011</c:v>
                </c:pt>
                <c:pt idx="4">
                  <c:v>2013</c:v>
                </c:pt>
                <c:pt idx="5">
                  <c:v>2015</c:v>
                </c:pt>
                <c:pt idx="6">
                  <c:v>2017</c:v>
                </c:pt>
              </c:numCache>
            </c:numRef>
          </c:cat>
          <c:val>
            <c:numRef>
              <c:f>C_CZ!$B$581:$H$581</c:f>
              <c:numCache>
                <c:formatCode>0.0%</c:formatCode>
                <c:ptCount val="7"/>
                <c:pt idx="0">
                  <c:v>5.4749756363022345E-2</c:v>
                </c:pt>
                <c:pt idx="1">
                  <c:v>0.15284036510472868</c:v>
                </c:pt>
                <c:pt idx="2">
                  <c:v>0.21950985047774277</c:v>
                </c:pt>
                <c:pt idx="3">
                  <c:v>0.27957690517975425</c:v>
                </c:pt>
                <c:pt idx="4">
                  <c:v>0.33640715812541899</c:v>
                </c:pt>
                <c:pt idx="5">
                  <c:v>0.41899999999999998</c:v>
                </c:pt>
                <c:pt idx="6">
                  <c:v>0.51156092717135704</c:v>
                </c:pt>
              </c:numCache>
            </c:numRef>
          </c:val>
          <c:smooth val="0"/>
        </c:ser>
        <c:ser>
          <c:idx val="1"/>
          <c:order val="2"/>
          <c:tx>
            <c:strRef>
              <c:f>C_CZ!$A$582</c:f>
              <c:strCache>
                <c:ptCount val="1"/>
                <c:pt idx="0">
                  <c:v> % uživatelů internetu</c:v>
                </c:pt>
              </c:strCache>
            </c:strRef>
          </c:tx>
          <c:spPr>
            <a:ln w="19050">
              <a:solidFill>
                <a:srgbClr val="007D92"/>
              </a:solidFill>
            </a:ln>
          </c:spPr>
          <c:marker>
            <c:symbol val="circle"/>
            <c:size val="4"/>
            <c:spPr>
              <a:solidFill>
                <a:srgbClr val="47E5FF"/>
              </a:solidFill>
              <a:ln>
                <a:solidFill>
                  <a:srgbClr val="007D92"/>
                </a:solidFill>
              </a:ln>
            </c:spPr>
          </c:marker>
          <c:dLbls>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C_CZ!$B$579:$H$579</c:f>
              <c:numCache>
                <c:formatCode>0</c:formatCode>
                <c:ptCount val="7"/>
                <c:pt idx="0">
                  <c:v>2005</c:v>
                </c:pt>
                <c:pt idx="1">
                  <c:v>2007</c:v>
                </c:pt>
                <c:pt idx="2">
                  <c:v>2009</c:v>
                </c:pt>
                <c:pt idx="3">
                  <c:v>2011</c:v>
                </c:pt>
                <c:pt idx="4">
                  <c:v>2013</c:v>
                </c:pt>
                <c:pt idx="5">
                  <c:v>2015</c:v>
                </c:pt>
                <c:pt idx="6">
                  <c:v>2017</c:v>
                </c:pt>
              </c:numCache>
            </c:numRef>
          </c:cat>
          <c:val>
            <c:numRef>
              <c:f>C_CZ!$B$582:$H$582</c:f>
              <c:numCache>
                <c:formatCode>0.0%</c:formatCode>
                <c:ptCount val="7"/>
                <c:pt idx="0">
                  <c:v>0.17052970567088499</c:v>
                </c:pt>
                <c:pt idx="1">
                  <c:v>0.33949879692758744</c:v>
                </c:pt>
                <c:pt idx="2">
                  <c:v>0.39239677743345747</c:v>
                </c:pt>
                <c:pt idx="3">
                  <c:v>0.42713608702294492</c:v>
                </c:pt>
                <c:pt idx="4">
                  <c:v>0.48907070061187741</c:v>
                </c:pt>
                <c:pt idx="5">
                  <c:v>0.55311037593368828</c:v>
                </c:pt>
                <c:pt idx="6">
                  <c:v>0.64985562791415852</c:v>
                </c:pt>
              </c:numCache>
            </c:numRef>
          </c:val>
          <c:smooth val="0"/>
        </c:ser>
        <c:dLbls>
          <c:showLegendKey val="0"/>
          <c:showVal val="0"/>
          <c:showCatName val="0"/>
          <c:showSerName val="0"/>
          <c:showPercent val="0"/>
          <c:showBubbleSize val="0"/>
        </c:dLbls>
        <c:marker val="1"/>
        <c:smooth val="0"/>
        <c:axId val="199459840"/>
        <c:axId val="196520768"/>
      </c:lineChart>
      <c:catAx>
        <c:axId val="199459328"/>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cs-CZ"/>
          </a:p>
        </c:txPr>
        <c:crossAx val="196520192"/>
        <c:crosses val="autoZero"/>
        <c:auto val="1"/>
        <c:lblAlgn val="ctr"/>
        <c:lblOffset val="140"/>
        <c:tickLblSkip val="1"/>
        <c:tickMarkSkip val="1"/>
        <c:noMultiLvlLbl val="0"/>
      </c:catAx>
      <c:valAx>
        <c:axId val="196520192"/>
        <c:scaling>
          <c:orientation val="minMax"/>
          <c:max val="8"/>
          <c:min val="0"/>
        </c:scaling>
        <c:delete val="0"/>
        <c:axPos val="l"/>
        <c:majorGridlines>
          <c:spPr>
            <a:ln w="12700">
              <a:noFill/>
              <a:prstDash val="dash"/>
            </a:ln>
          </c:spPr>
        </c:majorGridlines>
        <c:numFmt formatCode="#,##0.0" sourceLinked="1"/>
        <c:majorTickMark val="none"/>
        <c:minorTickMark val="none"/>
        <c:tickLblPos val="none"/>
        <c:spPr>
          <a:ln w="9525">
            <a:noFill/>
          </a:ln>
        </c:spPr>
        <c:crossAx val="199459328"/>
        <c:crosses val="autoZero"/>
        <c:crossBetween val="between"/>
        <c:majorUnit val="1"/>
        <c:minorUnit val="2.0000000000000011E-2"/>
      </c:valAx>
      <c:catAx>
        <c:axId val="199459840"/>
        <c:scaling>
          <c:orientation val="minMax"/>
        </c:scaling>
        <c:delete val="1"/>
        <c:axPos val="b"/>
        <c:numFmt formatCode="0" sourceLinked="1"/>
        <c:majorTickMark val="out"/>
        <c:minorTickMark val="none"/>
        <c:tickLblPos val="none"/>
        <c:crossAx val="196520768"/>
        <c:crosses val="autoZero"/>
        <c:auto val="1"/>
        <c:lblAlgn val="ctr"/>
        <c:lblOffset val="100"/>
        <c:noMultiLvlLbl val="0"/>
      </c:catAx>
      <c:valAx>
        <c:axId val="196520768"/>
        <c:scaling>
          <c:orientation val="minMax"/>
          <c:max val="0.8"/>
          <c:min val="0"/>
        </c:scaling>
        <c:delete val="0"/>
        <c:axPos val="r"/>
        <c:numFmt formatCode="0.0%" sourceLinked="1"/>
        <c:majorTickMark val="none"/>
        <c:minorTickMark val="none"/>
        <c:tickLblPos val="none"/>
        <c:spPr>
          <a:ln>
            <a:solidFill>
              <a:schemeClr val="bg1">
                <a:lumMod val="65000"/>
              </a:schemeClr>
            </a:solidFill>
          </a:ln>
        </c:spPr>
        <c:crossAx val="199459840"/>
        <c:crosses val="max"/>
        <c:crossBetween val="between"/>
        <c:majorUnit val="5.0000000000000024E-2"/>
        <c:minorUnit val="1.0000000000000005E-2"/>
      </c:valAx>
      <c:spPr>
        <a:noFill/>
        <a:ln w="12700">
          <a:solidFill>
            <a:srgbClr val="A6A6A6"/>
          </a:solidFill>
          <a:prstDash val="solid"/>
        </a:ln>
      </c:spPr>
    </c:plotArea>
    <c:legend>
      <c:legendPos val="l"/>
      <c:legendEntry>
        <c:idx val="1"/>
        <c:txPr>
          <a:bodyPr/>
          <a:lstStyle/>
          <a:p>
            <a:pPr>
              <a:defRPr i="0"/>
            </a:pPr>
            <a:endParaRPr lang="cs-CZ"/>
          </a:p>
        </c:txPr>
      </c:legendEntry>
      <c:legendEntry>
        <c:idx val="2"/>
        <c:txPr>
          <a:bodyPr/>
          <a:lstStyle/>
          <a:p>
            <a:pPr>
              <a:defRPr i="0"/>
            </a:pPr>
            <a:endParaRPr lang="cs-CZ"/>
          </a:p>
        </c:txPr>
      </c:legendEntry>
      <c:layout>
        <c:manualLayout>
          <c:xMode val="edge"/>
          <c:yMode val="edge"/>
          <c:x val="2.7864159891598923E-2"/>
          <c:y val="0.15001358024691369"/>
          <c:w val="0.52594579945799469"/>
          <c:h val="0.13343425925925925"/>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02083333333334"/>
          <c:y val="0.11672027777777783"/>
          <c:w val="0.79678839940588342"/>
          <c:h val="0.7669070987654325"/>
        </c:manualLayout>
      </c:layout>
      <c:barChart>
        <c:barDir val="bar"/>
        <c:grouping val="clustered"/>
        <c:varyColors val="0"/>
        <c:ser>
          <c:idx val="0"/>
          <c:order val="0"/>
          <c:tx>
            <c:strRef>
              <c:f>C_CZ!$B$585</c:f>
              <c:strCache>
                <c:ptCount val="1"/>
                <c:pt idx="0">
                  <c:v> % uživatelů internetu</c:v>
                </c:pt>
              </c:strCache>
            </c:strRef>
          </c:tx>
          <c:spPr>
            <a:solidFill>
              <a:srgbClr val="47E5FF"/>
            </a:solidFill>
          </c:spPr>
          <c:invertIfNegative val="0"/>
          <c:dLbls>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dLbls>
          <c:cat>
            <c:strRef>
              <c:f>C_CZ!$A$586:$A$596</c:f>
              <c:strCache>
                <c:ptCount val="11"/>
                <c:pt idx="0">
                  <c:v>  65+</c:v>
                </c:pt>
                <c:pt idx="1">
                  <c:v>  55–64</c:v>
                </c:pt>
                <c:pt idx="2">
                  <c:v>  45–54</c:v>
                </c:pt>
                <c:pt idx="3">
                  <c:v>  35–44</c:v>
                </c:pt>
                <c:pt idx="4">
                  <c:v>  25–34</c:v>
                </c:pt>
                <c:pt idx="5">
                  <c:v>  16–24</c:v>
                </c:pt>
                <c:pt idx="7">
                  <c:v>ženy</c:v>
                </c:pt>
                <c:pt idx="8">
                  <c:v>muži</c:v>
                </c:pt>
                <c:pt idx="10">
                  <c:v>Celkem</c:v>
                </c:pt>
              </c:strCache>
            </c:strRef>
          </c:cat>
          <c:val>
            <c:numRef>
              <c:f>C_CZ!$B$586:$B$596</c:f>
              <c:numCache>
                <c:formatCode>0%</c:formatCode>
                <c:ptCount val="11"/>
                <c:pt idx="0">
                  <c:v>0.37545453166937082</c:v>
                </c:pt>
                <c:pt idx="1">
                  <c:v>0.51349909670536498</c:v>
                </c:pt>
                <c:pt idx="2">
                  <c:v>0.61430397399870085</c:v>
                </c:pt>
                <c:pt idx="3">
                  <c:v>0.73195221975334412</c:v>
                </c:pt>
                <c:pt idx="4">
                  <c:v>0.81981907708133206</c:v>
                </c:pt>
                <c:pt idx="5">
                  <c:v>0.70530804636325495</c:v>
                </c:pt>
                <c:pt idx="7">
                  <c:v>0.6634056427360514</c:v>
                </c:pt>
                <c:pt idx="8">
                  <c:v>0.65072433263636897</c:v>
                </c:pt>
                <c:pt idx="10">
                  <c:v>0.6496879179187719</c:v>
                </c:pt>
              </c:numCache>
            </c:numRef>
          </c:val>
        </c:ser>
        <c:ser>
          <c:idx val="1"/>
          <c:order val="1"/>
          <c:tx>
            <c:strRef>
              <c:f>C_CZ!$C$585</c:f>
              <c:strCache>
                <c:ptCount val="1"/>
                <c:pt idx="0">
                  <c:v> % jednotlivců celkem</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C_CZ!$A$586:$A$596</c:f>
              <c:strCache>
                <c:ptCount val="11"/>
                <c:pt idx="0">
                  <c:v>  65+</c:v>
                </c:pt>
                <c:pt idx="1">
                  <c:v>  55–64</c:v>
                </c:pt>
                <c:pt idx="2">
                  <c:v>  45–54</c:v>
                </c:pt>
                <c:pt idx="3">
                  <c:v>  35–44</c:v>
                </c:pt>
                <c:pt idx="4">
                  <c:v>  25–34</c:v>
                </c:pt>
                <c:pt idx="5">
                  <c:v>  16–24</c:v>
                </c:pt>
                <c:pt idx="7">
                  <c:v>ženy</c:v>
                </c:pt>
                <c:pt idx="8">
                  <c:v>muži</c:v>
                </c:pt>
                <c:pt idx="10">
                  <c:v>Celkem</c:v>
                </c:pt>
              </c:strCache>
            </c:strRef>
          </c:cat>
          <c:val>
            <c:numRef>
              <c:f>C_CZ!$C$586:$C$596</c:f>
              <c:numCache>
                <c:formatCode>0%</c:formatCode>
                <c:ptCount val="11"/>
                <c:pt idx="0">
                  <c:v>0.1268149965282982</c:v>
                </c:pt>
                <c:pt idx="1">
                  <c:v>0.38613923581205756</c:v>
                </c:pt>
                <c:pt idx="2">
                  <c:v>0.56212544180025126</c:v>
                </c:pt>
                <c:pt idx="3">
                  <c:v>0.70900218987802544</c:v>
                </c:pt>
                <c:pt idx="4">
                  <c:v>0.79054157543648262</c:v>
                </c:pt>
                <c:pt idx="5">
                  <c:v>0.69826803871735743</c:v>
                </c:pt>
                <c:pt idx="7">
                  <c:v>0.50314063319075852</c:v>
                </c:pt>
                <c:pt idx="8">
                  <c:v>0.52981857055877812</c:v>
                </c:pt>
                <c:pt idx="10">
                  <c:v>0.51156092717135748</c:v>
                </c:pt>
              </c:numCache>
            </c:numRef>
          </c:val>
        </c:ser>
        <c:dLbls>
          <c:showLegendKey val="0"/>
          <c:showVal val="0"/>
          <c:showCatName val="0"/>
          <c:showSerName val="0"/>
          <c:showPercent val="0"/>
          <c:showBubbleSize val="0"/>
        </c:dLbls>
        <c:gapWidth val="30"/>
        <c:axId val="199460352"/>
        <c:axId val="196521920"/>
      </c:barChart>
      <c:catAx>
        <c:axId val="199460352"/>
        <c:scaling>
          <c:orientation val="minMax"/>
        </c:scaling>
        <c:delete val="0"/>
        <c:axPos val="l"/>
        <c:numFmt formatCode="General" sourceLinked="1"/>
        <c:majorTickMark val="out"/>
        <c:minorTickMark val="none"/>
        <c:tickLblPos val="nextTo"/>
        <c:spPr>
          <a:ln>
            <a:solidFill>
              <a:schemeClr val="tx1"/>
            </a:solidFill>
          </a:ln>
        </c:spPr>
        <c:crossAx val="196521920"/>
        <c:crosses val="autoZero"/>
        <c:auto val="1"/>
        <c:lblAlgn val="ctr"/>
        <c:lblOffset val="100"/>
        <c:noMultiLvlLbl val="0"/>
      </c:catAx>
      <c:valAx>
        <c:axId val="196521920"/>
        <c:scaling>
          <c:orientation val="minMax"/>
          <c:max val="1"/>
        </c:scaling>
        <c:delete val="0"/>
        <c:axPos val="b"/>
        <c:numFmt formatCode="0%" sourceLinked="1"/>
        <c:majorTickMark val="none"/>
        <c:minorTickMark val="none"/>
        <c:tickLblPos val="none"/>
        <c:crossAx val="199460352"/>
        <c:crosses val="autoZero"/>
        <c:crossBetween val="between"/>
        <c:majorUnit val="0.1"/>
        <c:minorUnit val="1.0000000000000005E-2"/>
      </c:valAx>
      <c:spPr>
        <a:ln w="12700">
          <a:solidFill>
            <a:schemeClr val="bg1">
              <a:lumMod val="65000"/>
            </a:schemeClr>
          </a:solidFill>
        </a:ln>
      </c:spPr>
    </c:plotArea>
    <c:legend>
      <c:legendPos val="r"/>
      <c:layout>
        <c:manualLayout>
          <c:xMode val="edge"/>
          <c:yMode val="edge"/>
          <c:x val="0.66980654761904812"/>
          <c:y val="0.69567577582213991"/>
          <c:w val="0.27014285714285746"/>
          <c:h val="0.17514343060058671"/>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C</a:t>
            </a:r>
            <a:r>
              <a:rPr lang="cs-CZ" sz="800"/>
              <a:t>33</a:t>
            </a:r>
            <a:r>
              <a:rPr lang="en-US" sz="800"/>
              <a:t> Jednotlivci v zemích EU </a:t>
            </a:r>
            <a:r>
              <a:rPr lang="cs-CZ" sz="800"/>
              <a:t>ve věku 16 až 74 let nakupující na internetu</a:t>
            </a:r>
            <a:r>
              <a:rPr lang="cs-CZ" sz="800" baseline="0"/>
              <a:t> </a:t>
            </a:r>
            <a:r>
              <a:rPr lang="en-US" sz="800"/>
              <a:t>(%)</a:t>
            </a:r>
            <a:r>
              <a:rPr lang="cs-CZ" sz="800"/>
              <a:t>*</a:t>
            </a:r>
            <a:endParaRPr lang="en-US" sz="800"/>
          </a:p>
        </c:rich>
      </c:tx>
      <c:layout/>
      <c:overlay val="0"/>
    </c:title>
    <c:autoTitleDeleted val="0"/>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C_CZ!$B$618</c:f>
              <c:strCache>
                <c:ptCount val="1"/>
                <c:pt idx="0">
                  <c:v> 2017</c:v>
                </c:pt>
              </c:strCache>
            </c:strRef>
          </c:tx>
          <c:spPr>
            <a:solidFill>
              <a:srgbClr val="009BB4"/>
            </a:solidFill>
            <a:ln>
              <a:noFill/>
            </a:ln>
          </c:spPr>
          <c:invertIfNegative val="0"/>
          <c:dPt>
            <c:idx val="8"/>
            <c:invertIfNegative val="0"/>
            <c:bubble3D val="0"/>
            <c:spPr>
              <a:solidFill>
                <a:srgbClr val="009BB4"/>
              </a:solidFill>
              <a:ln w="19050">
                <a:noFill/>
              </a:ln>
            </c:spPr>
          </c:dPt>
          <c:dPt>
            <c:idx val="12"/>
            <c:invertIfNegative val="0"/>
            <c:bubble3D val="0"/>
            <c:spPr>
              <a:solidFill>
                <a:srgbClr val="009BB4"/>
              </a:solidFill>
              <a:ln>
                <a:solidFill>
                  <a:srgbClr val="FF0000"/>
                </a:solidFill>
              </a:ln>
            </c:spPr>
          </c:dPt>
          <c:dPt>
            <c:idx val="13"/>
            <c:invertIfNegative val="0"/>
            <c:bubble3D val="0"/>
            <c:spPr>
              <a:solidFill>
                <a:srgbClr val="009BB4"/>
              </a:solidFill>
              <a:ln w="9525">
                <a:solidFill>
                  <a:srgbClr val="FF0000"/>
                </a:solidFill>
              </a:ln>
            </c:spPr>
          </c:dPt>
          <c:dPt>
            <c:idx val="15"/>
            <c:invertIfNegative val="0"/>
            <c:bubble3D val="0"/>
            <c:spPr>
              <a:solidFill>
                <a:srgbClr val="009BB4"/>
              </a:solidFill>
              <a:ln w="19050">
                <a:noFill/>
              </a:ln>
            </c:spPr>
          </c:dPt>
          <c:dPt>
            <c:idx val="16"/>
            <c:invertIfNegative val="0"/>
            <c:bubble3D val="0"/>
            <c:spPr>
              <a:solidFill>
                <a:srgbClr val="009BB4"/>
              </a:solidFill>
              <a:ln w="19050">
                <a:noFill/>
              </a:ln>
            </c:spPr>
          </c:dPt>
          <c:dLbls>
            <c:dLbl>
              <c:idx val="0"/>
              <c:layout>
                <c:manualLayout>
                  <c:x val="-9.3621335317245146E-18"/>
                  <c:y val="0.1175925925925926"/>
                </c:manualLayout>
              </c:layout>
              <c:dLblPos val="outEnd"/>
              <c:showLegendKey val="0"/>
              <c:showVal val="1"/>
              <c:showCatName val="0"/>
              <c:showSerName val="0"/>
              <c:showPercent val="0"/>
              <c:showBubbleSize val="0"/>
            </c:dLbl>
            <c:dLbl>
              <c:idx val="1"/>
              <c:layout>
                <c:manualLayout>
                  <c:x val="0"/>
                  <c:y val="0.11759259259259255"/>
                </c:manualLayout>
              </c:layout>
              <c:dLblPos val="outEnd"/>
              <c:showLegendKey val="0"/>
              <c:showVal val="1"/>
              <c:showCatName val="0"/>
              <c:showSerName val="0"/>
              <c:showPercent val="0"/>
              <c:showBubbleSize val="0"/>
            </c:dLbl>
            <c:dLbl>
              <c:idx val="27"/>
              <c:layout>
                <c:manualLayout>
                  <c:x val="0"/>
                  <c:y val="1.2999999999999282E-3"/>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28"/>
              <c:layout>
                <c:manualLayout>
                  <c:x val="-2.0426709128488715E-3"/>
                  <c:y val="-8.7842592592593319E-3"/>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C_CZ!$A$619:$A$647</c:f>
              <c:strCache>
                <c:ptCount val="29"/>
                <c:pt idx="0">
                  <c:v>Velká Británie</c:v>
                </c:pt>
                <c:pt idx="1">
                  <c:v>Švédsko</c:v>
                </c:pt>
                <c:pt idx="2">
                  <c:v>Dánsko</c:v>
                </c:pt>
                <c:pt idx="3">
                  <c:v>Lucembursko</c:v>
                </c:pt>
                <c:pt idx="4">
                  <c:v>Nizozemsko</c:v>
                </c:pt>
                <c:pt idx="5">
                  <c:v>Německo</c:v>
                </c:pt>
                <c:pt idx="6">
                  <c:v>Finsko</c:v>
                </c:pt>
                <c:pt idx="7">
                  <c:v>Francie</c:v>
                </c:pt>
                <c:pt idx="8">
                  <c:v>Rakousko</c:v>
                </c:pt>
                <c:pt idx="9">
                  <c:v>Belgie</c:v>
                </c:pt>
                <c:pt idx="10">
                  <c:v>Slovensko</c:v>
                </c:pt>
                <c:pt idx="11">
                  <c:v>Estonsko</c:v>
                </c:pt>
                <c:pt idx="12">
                  <c:v>EU28</c:v>
                </c:pt>
                <c:pt idx="13">
                  <c:v>Česko</c:v>
                </c:pt>
                <c:pt idx="14">
                  <c:v>Irsko</c:v>
                </c:pt>
                <c:pt idx="15">
                  <c:v>Malta</c:v>
                </c:pt>
                <c:pt idx="16">
                  <c:v>Španělsko</c:v>
                </c:pt>
                <c:pt idx="17">
                  <c:v>Slovinsko</c:v>
                </c:pt>
                <c:pt idx="18">
                  <c:v>Lotyšsko</c:v>
                </c:pt>
                <c:pt idx="19">
                  <c:v>Polsko</c:v>
                </c:pt>
                <c:pt idx="20">
                  <c:v>Maďarsko</c:v>
                </c:pt>
                <c:pt idx="21">
                  <c:v>Litva</c:v>
                </c:pt>
                <c:pt idx="22">
                  <c:v>Portugalsko</c:v>
                </c:pt>
                <c:pt idx="23">
                  <c:v>Itálie</c:v>
                </c:pt>
                <c:pt idx="24">
                  <c:v>Řecko</c:v>
                </c:pt>
                <c:pt idx="25">
                  <c:v>Kypr</c:v>
                </c:pt>
                <c:pt idx="26">
                  <c:v>Chorvatsko</c:v>
                </c:pt>
                <c:pt idx="27">
                  <c:v>Bulharsko</c:v>
                </c:pt>
                <c:pt idx="28">
                  <c:v>Rumunsko</c:v>
                </c:pt>
              </c:strCache>
            </c:strRef>
          </c:cat>
          <c:val>
            <c:numRef>
              <c:f>C_CZ!$B$619:$B$647</c:f>
              <c:numCache>
                <c:formatCode>0%</c:formatCode>
                <c:ptCount val="29"/>
                <c:pt idx="0">
                  <c:v>0.81986999999999999</c:v>
                </c:pt>
                <c:pt idx="1">
                  <c:v>0.80881099999999995</c:v>
                </c:pt>
                <c:pt idx="2">
                  <c:v>0.80188099999999995</c:v>
                </c:pt>
                <c:pt idx="3">
                  <c:v>0.79985099999999998</c:v>
                </c:pt>
                <c:pt idx="4">
                  <c:v>0.78903199999999996</c:v>
                </c:pt>
                <c:pt idx="5">
                  <c:v>0.748641</c:v>
                </c:pt>
                <c:pt idx="6">
                  <c:v>0.70822300000000005</c:v>
                </c:pt>
                <c:pt idx="7">
                  <c:v>0.667018</c:v>
                </c:pt>
                <c:pt idx="8">
                  <c:v>0.61564700000000006</c:v>
                </c:pt>
                <c:pt idx="9">
                  <c:v>0.59627399999999997</c:v>
                </c:pt>
                <c:pt idx="10">
                  <c:v>0.58533599999999997</c:v>
                </c:pt>
                <c:pt idx="11">
                  <c:v>0.58158500000000002</c:v>
                </c:pt>
                <c:pt idx="12">
                  <c:v>0.57455900000000004</c:v>
                </c:pt>
                <c:pt idx="13">
                  <c:v>0.55584699999999998</c:v>
                </c:pt>
                <c:pt idx="14">
                  <c:v>0.53085300000000002</c:v>
                </c:pt>
                <c:pt idx="15">
                  <c:v>0.51634000000000002</c:v>
                </c:pt>
                <c:pt idx="16">
                  <c:v>0.49860300000000002</c:v>
                </c:pt>
                <c:pt idx="17">
                  <c:v>0.45827000000000001</c:v>
                </c:pt>
                <c:pt idx="18">
                  <c:v>0.45578200000000002</c:v>
                </c:pt>
                <c:pt idx="19">
                  <c:v>0.44980700000000001</c:v>
                </c:pt>
                <c:pt idx="20">
                  <c:v>0.38557200000000003</c:v>
                </c:pt>
                <c:pt idx="21">
                  <c:v>0.38143100000000002</c:v>
                </c:pt>
                <c:pt idx="22">
                  <c:v>0.34077099999999999</c:v>
                </c:pt>
                <c:pt idx="23">
                  <c:v>0.32172800000000001</c:v>
                </c:pt>
                <c:pt idx="24">
                  <c:v>0.32057000000000002</c:v>
                </c:pt>
                <c:pt idx="25">
                  <c:v>0.319073</c:v>
                </c:pt>
                <c:pt idx="26">
                  <c:v>0.28784300000000002</c:v>
                </c:pt>
                <c:pt idx="27">
                  <c:v>0.17729700000000001</c:v>
                </c:pt>
                <c:pt idx="28">
                  <c:v>0.160608</c:v>
                </c:pt>
              </c:numCache>
            </c:numRef>
          </c:val>
        </c:ser>
        <c:dLbls>
          <c:showLegendKey val="0"/>
          <c:showVal val="0"/>
          <c:showCatName val="0"/>
          <c:showSerName val="0"/>
          <c:showPercent val="0"/>
          <c:showBubbleSize val="0"/>
        </c:dLbls>
        <c:gapWidth val="50"/>
        <c:axId val="199460864"/>
        <c:axId val="196524224"/>
      </c:barChart>
      <c:barChart>
        <c:barDir val="col"/>
        <c:grouping val="clustered"/>
        <c:varyColors val="0"/>
        <c:ser>
          <c:idx val="1"/>
          <c:order val="1"/>
          <c:tx>
            <c:strRef>
              <c:f>C_CZ!$C$618</c:f>
              <c:strCache>
                <c:ptCount val="1"/>
                <c:pt idx="0">
                  <c:v> 2007</c:v>
                </c:pt>
              </c:strCache>
            </c:strRef>
          </c:tx>
          <c:spPr>
            <a:solidFill>
              <a:srgbClr val="47E5FF"/>
            </a:solidFill>
          </c:spPr>
          <c:invertIfNegative val="0"/>
          <c:dLbls>
            <c:dLbl>
              <c:idx val="28"/>
              <c:layout>
                <c:manualLayout>
                  <c:x val="-1.6084022935816707E-7"/>
                  <c:y val="-5.3672839506180021E-4"/>
                </c:manualLayout>
              </c:layout>
              <c:dLblPos val="outEnd"/>
              <c:showLegendKey val="0"/>
              <c:showVal val="1"/>
              <c:showCatName val="0"/>
              <c:showSerName val="0"/>
              <c:showPercent val="0"/>
              <c:showBubbleSize val="0"/>
            </c:dLbl>
            <c:txPr>
              <a:bodyPr rot="-5400000" vert="horz"/>
              <a:lstStyle/>
              <a:p>
                <a:pPr>
                  <a:defRPr b="1"/>
                </a:pPr>
                <a:endParaRPr lang="cs-CZ"/>
              </a:p>
            </c:txPr>
            <c:dLblPos val="inBase"/>
            <c:showLegendKey val="0"/>
            <c:showVal val="1"/>
            <c:showCatName val="0"/>
            <c:showSerName val="0"/>
            <c:showPercent val="0"/>
            <c:showBubbleSize val="0"/>
            <c:showLeaderLines val="0"/>
          </c:dLbls>
          <c:cat>
            <c:strRef>
              <c:f>C_CZ!$A$619:$A$647</c:f>
              <c:strCache>
                <c:ptCount val="29"/>
                <c:pt idx="0">
                  <c:v>Velká Británie</c:v>
                </c:pt>
                <c:pt idx="1">
                  <c:v>Švédsko</c:v>
                </c:pt>
                <c:pt idx="2">
                  <c:v>Dánsko</c:v>
                </c:pt>
                <c:pt idx="3">
                  <c:v>Lucembursko</c:v>
                </c:pt>
                <c:pt idx="4">
                  <c:v>Nizozemsko</c:v>
                </c:pt>
                <c:pt idx="5">
                  <c:v>Německo</c:v>
                </c:pt>
                <c:pt idx="6">
                  <c:v>Finsko</c:v>
                </c:pt>
                <c:pt idx="7">
                  <c:v>Francie</c:v>
                </c:pt>
                <c:pt idx="8">
                  <c:v>Rakousko</c:v>
                </c:pt>
                <c:pt idx="9">
                  <c:v>Belgie</c:v>
                </c:pt>
                <c:pt idx="10">
                  <c:v>Slovensko</c:v>
                </c:pt>
                <c:pt idx="11">
                  <c:v>Estonsko</c:v>
                </c:pt>
                <c:pt idx="12">
                  <c:v>EU28</c:v>
                </c:pt>
                <c:pt idx="13">
                  <c:v>Česko</c:v>
                </c:pt>
                <c:pt idx="14">
                  <c:v>Irsko</c:v>
                </c:pt>
                <c:pt idx="15">
                  <c:v>Malta</c:v>
                </c:pt>
                <c:pt idx="16">
                  <c:v>Španělsko</c:v>
                </c:pt>
                <c:pt idx="17">
                  <c:v>Slovinsko</c:v>
                </c:pt>
                <c:pt idx="18">
                  <c:v>Lotyšsko</c:v>
                </c:pt>
                <c:pt idx="19">
                  <c:v>Polsko</c:v>
                </c:pt>
                <c:pt idx="20">
                  <c:v>Maďarsko</c:v>
                </c:pt>
                <c:pt idx="21">
                  <c:v>Litva</c:v>
                </c:pt>
                <c:pt idx="22">
                  <c:v>Portugalsko</c:v>
                </c:pt>
                <c:pt idx="23">
                  <c:v>Itálie</c:v>
                </c:pt>
                <c:pt idx="24">
                  <c:v>Řecko</c:v>
                </c:pt>
                <c:pt idx="25">
                  <c:v>Kypr</c:v>
                </c:pt>
                <c:pt idx="26">
                  <c:v>Chorvatsko</c:v>
                </c:pt>
                <c:pt idx="27">
                  <c:v>Bulharsko</c:v>
                </c:pt>
                <c:pt idx="28">
                  <c:v>Rumunsko</c:v>
                </c:pt>
              </c:strCache>
            </c:strRef>
          </c:cat>
          <c:val>
            <c:numRef>
              <c:f>C_CZ!$C$619:$C$647</c:f>
              <c:numCache>
                <c:formatCode>0%</c:formatCode>
                <c:ptCount val="29"/>
                <c:pt idx="0">
                  <c:v>0.52870099999999998</c:v>
                </c:pt>
                <c:pt idx="1">
                  <c:v>0.53428900000000001</c:v>
                </c:pt>
                <c:pt idx="2">
                  <c:v>0.55699600000000005</c:v>
                </c:pt>
                <c:pt idx="3">
                  <c:v>0.46750999999999998</c:v>
                </c:pt>
                <c:pt idx="4">
                  <c:v>0.548566</c:v>
                </c:pt>
                <c:pt idx="5">
                  <c:v>0.51716300000000004</c:v>
                </c:pt>
                <c:pt idx="6">
                  <c:v>0.47941699999999998</c:v>
                </c:pt>
                <c:pt idx="7">
                  <c:v>0.339476</c:v>
                </c:pt>
                <c:pt idx="8">
                  <c:v>0.35841600000000001</c:v>
                </c:pt>
                <c:pt idx="9">
                  <c:v>0.214337</c:v>
                </c:pt>
                <c:pt idx="10">
                  <c:v>0.160195</c:v>
                </c:pt>
                <c:pt idx="11">
                  <c:v>8.5609000000000005E-2</c:v>
                </c:pt>
                <c:pt idx="12">
                  <c:v>0.29719200000000001</c:v>
                </c:pt>
                <c:pt idx="13">
                  <c:v>0.165269</c:v>
                </c:pt>
                <c:pt idx="14">
                  <c:v>0.33065600000000001</c:v>
                </c:pt>
                <c:pt idx="15">
                  <c:v>0.20328199999999999</c:v>
                </c:pt>
                <c:pt idx="16">
                  <c:v>0.18093699999999999</c:v>
                </c:pt>
                <c:pt idx="17">
                  <c:v>0.163685</c:v>
                </c:pt>
                <c:pt idx="18">
                  <c:v>0.11086799999999999</c:v>
                </c:pt>
                <c:pt idx="19">
                  <c:v>0.15670899999999999</c:v>
                </c:pt>
                <c:pt idx="20">
                  <c:v>0.110651</c:v>
                </c:pt>
                <c:pt idx="21">
                  <c:v>5.5159E-2</c:v>
                </c:pt>
                <c:pt idx="22">
                  <c:v>9.4462000000000004E-2</c:v>
                </c:pt>
                <c:pt idx="23">
                  <c:v>9.5959000000000003E-2</c:v>
                </c:pt>
                <c:pt idx="24">
                  <c:v>7.6141E-2</c:v>
                </c:pt>
                <c:pt idx="25">
                  <c:v>9.8151000000000002E-2</c:v>
                </c:pt>
                <c:pt idx="26">
                  <c:v>7.3649999999999993E-2</c:v>
                </c:pt>
                <c:pt idx="27">
                  <c:v>2.6970000000000001E-2</c:v>
                </c:pt>
                <c:pt idx="28">
                  <c:v>2.5059000000000001E-2</c:v>
                </c:pt>
              </c:numCache>
            </c:numRef>
          </c:val>
        </c:ser>
        <c:dLbls>
          <c:showLegendKey val="0"/>
          <c:showVal val="0"/>
          <c:showCatName val="0"/>
          <c:showSerName val="0"/>
          <c:showPercent val="0"/>
          <c:showBubbleSize val="0"/>
        </c:dLbls>
        <c:gapWidth val="200"/>
        <c:axId val="200172544"/>
        <c:axId val="196524800"/>
      </c:barChart>
      <c:catAx>
        <c:axId val="199460864"/>
        <c:scaling>
          <c:orientation val="minMax"/>
        </c:scaling>
        <c:delete val="0"/>
        <c:axPos val="b"/>
        <c:majorTickMark val="out"/>
        <c:minorTickMark val="none"/>
        <c:tickLblPos val="nextTo"/>
        <c:spPr>
          <a:ln>
            <a:solidFill>
              <a:schemeClr val="tx1"/>
            </a:solidFill>
          </a:ln>
        </c:spPr>
        <c:crossAx val="196524224"/>
        <c:crosses val="autoZero"/>
        <c:auto val="1"/>
        <c:lblAlgn val="ctr"/>
        <c:lblOffset val="100"/>
        <c:noMultiLvlLbl val="0"/>
      </c:catAx>
      <c:valAx>
        <c:axId val="196524224"/>
        <c:scaling>
          <c:orientation val="minMax"/>
          <c:max val="1"/>
          <c:min val="0"/>
        </c:scaling>
        <c:delete val="1"/>
        <c:axPos val="l"/>
        <c:numFmt formatCode="0%" sourceLinked="1"/>
        <c:majorTickMark val="out"/>
        <c:minorTickMark val="none"/>
        <c:tickLblPos val="nextTo"/>
        <c:crossAx val="199460864"/>
        <c:crosses val="autoZero"/>
        <c:crossBetween val="between"/>
        <c:majorUnit val="0.1"/>
        <c:minorUnit val="5.0000000000000024E-2"/>
      </c:valAx>
      <c:valAx>
        <c:axId val="196524800"/>
        <c:scaling>
          <c:orientation val="minMax"/>
          <c:max val="1"/>
        </c:scaling>
        <c:delete val="0"/>
        <c:axPos val="r"/>
        <c:numFmt formatCode="0%" sourceLinked="1"/>
        <c:majorTickMark val="none"/>
        <c:minorTickMark val="none"/>
        <c:tickLblPos val="none"/>
        <c:crossAx val="200172544"/>
        <c:crosses val="max"/>
        <c:crossBetween val="between"/>
      </c:valAx>
      <c:catAx>
        <c:axId val="200172544"/>
        <c:scaling>
          <c:orientation val="minMax"/>
        </c:scaling>
        <c:delete val="1"/>
        <c:axPos val="b"/>
        <c:majorTickMark val="out"/>
        <c:minorTickMark val="none"/>
        <c:tickLblPos val="none"/>
        <c:crossAx val="196524800"/>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8343184797381535"/>
          <c:y val="0.14428981481481484"/>
          <c:w val="6.9586721030664239E-2"/>
          <c:h val="0.1163820987654321"/>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C34 Jednotlivci v Česku, kteří  nakoupili oblečení  na internetu </a:t>
            </a:r>
            <a:r>
              <a:rPr lang="cs-CZ" sz="800" b="1" i="0" u="none" strike="noStrike" baseline="0">
                <a:effectLst/>
              </a:rPr>
              <a:t>v roce 2017 </a:t>
            </a:r>
            <a:r>
              <a:rPr lang="cs-CZ" sz="800" b="1"/>
              <a:t>(%)</a:t>
            </a:r>
            <a:endParaRPr lang="en-US" sz="800" b="1"/>
          </a:p>
        </c:rich>
      </c:tx>
      <c:layout>
        <c:manualLayout>
          <c:xMode val="edge"/>
          <c:yMode val="edge"/>
          <c:x val="0.14716997354497369"/>
          <c:y val="1.9109464258144207E-2"/>
        </c:manualLayout>
      </c:layout>
      <c:overlay val="1"/>
    </c:title>
    <c:autoTitleDeleted val="0"/>
    <c:plotArea>
      <c:layout>
        <c:manualLayout>
          <c:layoutTarget val="inner"/>
          <c:xMode val="edge"/>
          <c:yMode val="edge"/>
          <c:x val="0.16302083333333334"/>
          <c:y val="0.11672027777777783"/>
          <c:w val="0.79678839940588342"/>
          <c:h val="0.7669070987654325"/>
        </c:manualLayout>
      </c:layout>
      <c:barChart>
        <c:barDir val="bar"/>
        <c:grouping val="clustered"/>
        <c:varyColors val="0"/>
        <c:ser>
          <c:idx val="0"/>
          <c:order val="0"/>
          <c:tx>
            <c:strRef>
              <c:f>C_CZ!$B$650</c:f>
              <c:strCache>
                <c:ptCount val="1"/>
                <c:pt idx="0">
                  <c:v> % online nakupujících</c:v>
                </c:pt>
              </c:strCache>
            </c:strRef>
          </c:tx>
          <c:spPr>
            <a:solidFill>
              <a:srgbClr val="47E5FF"/>
            </a:solidFill>
          </c:spPr>
          <c:invertIfNegative val="0"/>
          <c:dLbls>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dLbls>
          <c:cat>
            <c:strRef>
              <c:f>C_CZ!$A$651:$A$661</c:f>
              <c:strCache>
                <c:ptCount val="11"/>
                <c:pt idx="0">
                  <c:v>  65+</c:v>
                </c:pt>
                <c:pt idx="1">
                  <c:v>  55–64</c:v>
                </c:pt>
                <c:pt idx="2">
                  <c:v>  45–54</c:v>
                </c:pt>
                <c:pt idx="3">
                  <c:v>  35–44</c:v>
                </c:pt>
                <c:pt idx="4">
                  <c:v>  25–34</c:v>
                </c:pt>
                <c:pt idx="5">
                  <c:v>  16–24</c:v>
                </c:pt>
                <c:pt idx="7">
                  <c:v>ženy</c:v>
                </c:pt>
                <c:pt idx="8">
                  <c:v>muži</c:v>
                </c:pt>
                <c:pt idx="10">
                  <c:v>Celkem</c:v>
                </c:pt>
              </c:strCache>
            </c:strRef>
          </c:cat>
          <c:val>
            <c:numRef>
              <c:f>C_CZ!$B$651:$B$661</c:f>
              <c:numCache>
                <c:formatCode>0%</c:formatCode>
                <c:ptCount val="11"/>
                <c:pt idx="0">
                  <c:v>0.29200224532630448</c:v>
                </c:pt>
                <c:pt idx="1">
                  <c:v>0.40787528982289972</c:v>
                </c:pt>
                <c:pt idx="2">
                  <c:v>0.47936431550483521</c:v>
                </c:pt>
                <c:pt idx="3">
                  <c:v>0.59685297087784772</c:v>
                </c:pt>
                <c:pt idx="4">
                  <c:v>0.61993921097106097</c:v>
                </c:pt>
                <c:pt idx="5">
                  <c:v>0.63261666079230161</c:v>
                </c:pt>
                <c:pt idx="7">
                  <c:v>0.73472078490014314</c:v>
                </c:pt>
                <c:pt idx="8">
                  <c:v>0.36195722079429127</c:v>
                </c:pt>
                <c:pt idx="10">
                  <c:v>0.54427681157603502</c:v>
                </c:pt>
              </c:numCache>
            </c:numRef>
          </c:val>
        </c:ser>
        <c:ser>
          <c:idx val="1"/>
          <c:order val="1"/>
          <c:tx>
            <c:strRef>
              <c:f>C_CZ!$C$650</c:f>
              <c:strCache>
                <c:ptCount val="1"/>
                <c:pt idx="0">
                  <c:v> % jednotlivců celkem</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C_CZ!$A$651:$A$661</c:f>
              <c:strCache>
                <c:ptCount val="11"/>
                <c:pt idx="0">
                  <c:v>  65+</c:v>
                </c:pt>
                <c:pt idx="1">
                  <c:v>  55–64</c:v>
                </c:pt>
                <c:pt idx="2">
                  <c:v>  45–54</c:v>
                </c:pt>
                <c:pt idx="3">
                  <c:v>  35–44</c:v>
                </c:pt>
                <c:pt idx="4">
                  <c:v>  25–34</c:v>
                </c:pt>
                <c:pt idx="5">
                  <c:v>  16–24</c:v>
                </c:pt>
                <c:pt idx="7">
                  <c:v>ženy</c:v>
                </c:pt>
                <c:pt idx="8">
                  <c:v>muži</c:v>
                </c:pt>
                <c:pt idx="10">
                  <c:v>Celkem</c:v>
                </c:pt>
              </c:strCache>
            </c:strRef>
          </c:cat>
          <c:val>
            <c:numRef>
              <c:f>C_CZ!$C$651:$C$661</c:f>
              <c:numCache>
                <c:formatCode>0%</c:formatCode>
                <c:ptCount val="11"/>
                <c:pt idx="0">
                  <c:v>3.6638563508221436E-2</c:v>
                </c:pt>
                <c:pt idx="1">
                  <c:v>0.15597862341041421</c:v>
                </c:pt>
                <c:pt idx="2">
                  <c:v>0.26764298630697841</c:v>
                </c:pt>
                <c:pt idx="3">
                  <c:v>0.41882759668500369</c:v>
                </c:pt>
                <c:pt idx="4">
                  <c:v>0.47981857352461338</c:v>
                </c:pt>
                <c:pt idx="5">
                  <c:v>0.42932812656453395</c:v>
                </c:pt>
                <c:pt idx="7">
                  <c:v>0.36563240637446631</c:v>
                </c:pt>
                <c:pt idx="8">
                  <c:v>0.18911432745777898</c:v>
                </c:pt>
                <c:pt idx="10">
                  <c:v>0.27843075036770498</c:v>
                </c:pt>
              </c:numCache>
            </c:numRef>
          </c:val>
        </c:ser>
        <c:dLbls>
          <c:showLegendKey val="0"/>
          <c:showVal val="0"/>
          <c:showCatName val="0"/>
          <c:showSerName val="0"/>
          <c:showPercent val="0"/>
          <c:showBubbleSize val="0"/>
        </c:dLbls>
        <c:gapWidth val="30"/>
        <c:axId val="197006336"/>
        <c:axId val="200458816"/>
      </c:barChart>
      <c:catAx>
        <c:axId val="197006336"/>
        <c:scaling>
          <c:orientation val="minMax"/>
        </c:scaling>
        <c:delete val="0"/>
        <c:axPos val="l"/>
        <c:numFmt formatCode="General" sourceLinked="1"/>
        <c:majorTickMark val="out"/>
        <c:minorTickMark val="none"/>
        <c:tickLblPos val="nextTo"/>
        <c:spPr>
          <a:ln>
            <a:solidFill>
              <a:schemeClr val="tx1"/>
            </a:solidFill>
          </a:ln>
        </c:spPr>
        <c:crossAx val="200458816"/>
        <c:crosses val="autoZero"/>
        <c:auto val="1"/>
        <c:lblAlgn val="ctr"/>
        <c:lblOffset val="100"/>
        <c:noMultiLvlLbl val="0"/>
      </c:catAx>
      <c:valAx>
        <c:axId val="200458816"/>
        <c:scaling>
          <c:orientation val="minMax"/>
          <c:max val="0.8"/>
        </c:scaling>
        <c:delete val="0"/>
        <c:axPos val="b"/>
        <c:numFmt formatCode="0%" sourceLinked="1"/>
        <c:majorTickMark val="none"/>
        <c:minorTickMark val="none"/>
        <c:tickLblPos val="none"/>
        <c:crossAx val="197006336"/>
        <c:crosses val="autoZero"/>
        <c:crossBetween val="between"/>
        <c:majorUnit val="0.1"/>
        <c:minorUnit val="5.0000000000000024E-2"/>
      </c:valAx>
      <c:spPr>
        <a:ln w="12700">
          <a:solidFill>
            <a:schemeClr val="bg1">
              <a:lumMod val="65000"/>
            </a:schemeClr>
          </a:solidFill>
        </a:ln>
      </c:spPr>
    </c:plotArea>
    <c:legend>
      <c:legendPos val="r"/>
      <c:layout>
        <c:manualLayout>
          <c:xMode val="edge"/>
          <c:yMode val="edge"/>
          <c:x val="0.54381448412698408"/>
          <c:y val="0.20547259533734766"/>
          <c:w val="0.4003346560846564"/>
          <c:h val="9.6719444444444497E-2"/>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C35 Jednotlivci v Česku, kteří nakoupili vstupenky </a:t>
            </a:r>
            <a:r>
              <a:rPr lang="cs-CZ" sz="800" b="1" i="0" u="none" strike="noStrike" baseline="0">
                <a:effectLst/>
              </a:rPr>
              <a:t>na internetu v roce 2017 </a:t>
            </a:r>
            <a:r>
              <a:rPr lang="cs-CZ" sz="800" b="1"/>
              <a:t>(%)</a:t>
            </a:r>
            <a:endParaRPr lang="en-US" sz="800" b="1"/>
          </a:p>
        </c:rich>
      </c:tx>
      <c:layout>
        <c:manualLayout>
          <c:xMode val="edge"/>
          <c:yMode val="edge"/>
          <c:x val="0.14716997354497369"/>
          <c:y val="1.9109464258144207E-2"/>
        </c:manualLayout>
      </c:layout>
      <c:overlay val="1"/>
    </c:title>
    <c:autoTitleDeleted val="0"/>
    <c:plotArea>
      <c:layout>
        <c:manualLayout>
          <c:layoutTarget val="inner"/>
          <c:xMode val="edge"/>
          <c:yMode val="edge"/>
          <c:x val="0.16302083333333334"/>
          <c:y val="0.11672027777777783"/>
          <c:w val="0.79678839940588342"/>
          <c:h val="0.7669070987654325"/>
        </c:manualLayout>
      </c:layout>
      <c:barChart>
        <c:barDir val="bar"/>
        <c:grouping val="clustered"/>
        <c:varyColors val="0"/>
        <c:ser>
          <c:idx val="0"/>
          <c:order val="0"/>
          <c:tx>
            <c:strRef>
              <c:f>C_CZ!$B$664</c:f>
              <c:strCache>
                <c:ptCount val="1"/>
                <c:pt idx="0">
                  <c:v> % online nakupujících</c:v>
                </c:pt>
              </c:strCache>
            </c:strRef>
          </c:tx>
          <c:spPr>
            <a:solidFill>
              <a:srgbClr val="47E5FF"/>
            </a:solidFill>
          </c:spPr>
          <c:invertIfNegative val="0"/>
          <c:dLbls>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dLbls>
          <c:cat>
            <c:strRef>
              <c:f>C_CZ!$A$665:$A$675</c:f>
              <c:strCache>
                <c:ptCount val="11"/>
                <c:pt idx="0">
                  <c:v>  65+</c:v>
                </c:pt>
                <c:pt idx="1">
                  <c:v>  55–64</c:v>
                </c:pt>
                <c:pt idx="2">
                  <c:v>  45–54</c:v>
                </c:pt>
                <c:pt idx="3">
                  <c:v>  35–44</c:v>
                </c:pt>
                <c:pt idx="4">
                  <c:v>  25–34</c:v>
                </c:pt>
                <c:pt idx="5">
                  <c:v>  16–24</c:v>
                </c:pt>
                <c:pt idx="7">
                  <c:v>ženy</c:v>
                </c:pt>
                <c:pt idx="8">
                  <c:v>muži</c:v>
                </c:pt>
                <c:pt idx="10">
                  <c:v>Celkem</c:v>
                </c:pt>
              </c:strCache>
            </c:strRef>
          </c:cat>
          <c:val>
            <c:numRef>
              <c:f>C_CZ!$B$665:$B$675</c:f>
              <c:numCache>
                <c:formatCode>0%</c:formatCode>
                <c:ptCount val="11"/>
                <c:pt idx="0">
                  <c:v>0.17399999999999999</c:v>
                </c:pt>
                <c:pt idx="1">
                  <c:v>0.24099999999999999</c:v>
                </c:pt>
                <c:pt idx="2">
                  <c:v>0.26400000000000001</c:v>
                </c:pt>
                <c:pt idx="3">
                  <c:v>0.32300000000000001</c:v>
                </c:pt>
                <c:pt idx="4">
                  <c:v>0.40600000000000003</c:v>
                </c:pt>
                <c:pt idx="5">
                  <c:v>0.44600000000000001</c:v>
                </c:pt>
                <c:pt idx="7">
                  <c:v>0.33300000000000002</c:v>
                </c:pt>
                <c:pt idx="8">
                  <c:v>0.33100000000000002</c:v>
                </c:pt>
                <c:pt idx="10">
                  <c:v>0.33200000000000002</c:v>
                </c:pt>
              </c:numCache>
            </c:numRef>
          </c:val>
        </c:ser>
        <c:ser>
          <c:idx val="1"/>
          <c:order val="1"/>
          <c:tx>
            <c:strRef>
              <c:f>C_CZ!$C$664</c:f>
              <c:strCache>
                <c:ptCount val="1"/>
                <c:pt idx="0">
                  <c:v> % jednotlivců celkem</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C_CZ!$A$665:$A$675</c:f>
              <c:strCache>
                <c:ptCount val="11"/>
                <c:pt idx="0">
                  <c:v>  65+</c:v>
                </c:pt>
                <c:pt idx="1">
                  <c:v>  55–64</c:v>
                </c:pt>
                <c:pt idx="2">
                  <c:v>  45–54</c:v>
                </c:pt>
                <c:pt idx="3">
                  <c:v>  35–44</c:v>
                </c:pt>
                <c:pt idx="4">
                  <c:v>  25–34</c:v>
                </c:pt>
                <c:pt idx="5">
                  <c:v>  16–24</c:v>
                </c:pt>
                <c:pt idx="7">
                  <c:v>ženy</c:v>
                </c:pt>
                <c:pt idx="8">
                  <c:v>muži</c:v>
                </c:pt>
                <c:pt idx="10">
                  <c:v>Celkem</c:v>
                </c:pt>
              </c:strCache>
            </c:strRef>
          </c:cat>
          <c:val>
            <c:numRef>
              <c:f>C_CZ!$C$665:$C$675</c:f>
              <c:numCache>
                <c:formatCode>0%</c:formatCode>
                <c:ptCount val="11"/>
                <c:pt idx="0">
                  <c:v>2.2116538123228429E-2</c:v>
                </c:pt>
                <c:pt idx="1">
                  <c:v>9.2723416361964087E-2</c:v>
                </c:pt>
                <c:pt idx="2">
                  <c:v>0.14712660111003689</c:v>
                </c:pt>
                <c:pt idx="3">
                  <c:v>0.22717434227469652</c:v>
                </c:pt>
                <c:pt idx="4">
                  <c:v>0.31216668121452174</c:v>
                </c:pt>
                <c:pt idx="5">
                  <c:v>0.30133676262804665</c:v>
                </c:pt>
                <c:pt idx="7">
                  <c:v>0.16542240317711676</c:v>
                </c:pt>
                <c:pt idx="8">
                  <c:v>0.1730156444933898</c:v>
                </c:pt>
                <c:pt idx="10">
                  <c:v>0.1691</c:v>
                </c:pt>
              </c:numCache>
            </c:numRef>
          </c:val>
        </c:ser>
        <c:dLbls>
          <c:showLegendKey val="0"/>
          <c:showVal val="0"/>
          <c:showCatName val="0"/>
          <c:showSerName val="0"/>
          <c:showPercent val="0"/>
          <c:showBubbleSize val="0"/>
        </c:dLbls>
        <c:gapWidth val="30"/>
        <c:axId val="200174080"/>
        <c:axId val="200460544"/>
      </c:barChart>
      <c:catAx>
        <c:axId val="200174080"/>
        <c:scaling>
          <c:orientation val="minMax"/>
        </c:scaling>
        <c:delete val="0"/>
        <c:axPos val="l"/>
        <c:numFmt formatCode="General" sourceLinked="1"/>
        <c:majorTickMark val="out"/>
        <c:minorTickMark val="none"/>
        <c:tickLblPos val="nextTo"/>
        <c:spPr>
          <a:ln>
            <a:solidFill>
              <a:schemeClr val="tx1"/>
            </a:solidFill>
          </a:ln>
        </c:spPr>
        <c:crossAx val="200460544"/>
        <c:crosses val="autoZero"/>
        <c:auto val="1"/>
        <c:lblAlgn val="ctr"/>
        <c:lblOffset val="100"/>
        <c:noMultiLvlLbl val="0"/>
      </c:catAx>
      <c:valAx>
        <c:axId val="200460544"/>
        <c:scaling>
          <c:orientation val="minMax"/>
          <c:max val="0.70000000000000051"/>
        </c:scaling>
        <c:delete val="0"/>
        <c:axPos val="b"/>
        <c:numFmt formatCode="0%" sourceLinked="1"/>
        <c:majorTickMark val="none"/>
        <c:minorTickMark val="none"/>
        <c:tickLblPos val="none"/>
        <c:crossAx val="200174080"/>
        <c:crosses val="autoZero"/>
        <c:crossBetween val="between"/>
        <c:majorUnit val="0.1"/>
        <c:minorUnit val="5.0000000000000024E-2"/>
      </c:valAx>
      <c:spPr>
        <a:ln w="12700">
          <a:solidFill>
            <a:schemeClr val="bg1">
              <a:lumMod val="65000"/>
            </a:schemeClr>
          </a:solidFill>
        </a:ln>
      </c:spPr>
    </c:plotArea>
    <c:legend>
      <c:legendPos val="r"/>
      <c:layout>
        <c:manualLayout>
          <c:xMode val="edge"/>
          <c:yMode val="edge"/>
          <c:x val="0.54381448412698408"/>
          <c:y val="0.20547259533734766"/>
          <c:w val="0.4003346560846564"/>
          <c:h val="9.6719444444444497E-2"/>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02083333333334"/>
          <c:y val="0.11672027777777783"/>
          <c:w val="0.79678839940588342"/>
          <c:h val="0.70811083333333402"/>
        </c:manualLayout>
      </c:layout>
      <c:barChart>
        <c:barDir val="bar"/>
        <c:grouping val="clustered"/>
        <c:varyColors val="0"/>
        <c:ser>
          <c:idx val="0"/>
          <c:order val="0"/>
          <c:tx>
            <c:strRef>
              <c:f>C_CZ!$B$55</c:f>
              <c:strCache>
                <c:ptCount val="1"/>
                <c:pt idx="0">
                  <c:v> 2007</c:v>
                </c:pt>
              </c:strCache>
            </c:strRef>
          </c:tx>
          <c:spPr>
            <a:solidFill>
              <a:srgbClr val="47E5FF"/>
            </a:solidFill>
          </c:spPr>
          <c:invertIfNegative val="0"/>
          <c:dLbls>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showLeaderLines val="0"/>
          </c:dLbls>
          <c:cat>
            <c:strRef>
              <c:f>C_CZ!$A$56:$A$66</c:f>
              <c:strCache>
                <c:ptCount val="11"/>
                <c:pt idx="0">
                  <c:v>  65+</c:v>
                </c:pt>
                <c:pt idx="1">
                  <c:v>  55–64</c:v>
                </c:pt>
                <c:pt idx="2">
                  <c:v>  45–54</c:v>
                </c:pt>
                <c:pt idx="3">
                  <c:v>  35–44</c:v>
                </c:pt>
                <c:pt idx="4">
                  <c:v>  25–34</c:v>
                </c:pt>
                <c:pt idx="5">
                  <c:v>  16–24</c:v>
                </c:pt>
                <c:pt idx="7">
                  <c:v>ženy</c:v>
                </c:pt>
                <c:pt idx="8">
                  <c:v>muži</c:v>
                </c:pt>
                <c:pt idx="10">
                  <c:v>Celkem</c:v>
                </c:pt>
              </c:strCache>
            </c:strRef>
          </c:cat>
          <c:val>
            <c:numRef>
              <c:f>C_CZ!$B$56:$B$66</c:f>
              <c:numCache>
                <c:formatCode>0%</c:formatCode>
                <c:ptCount val="11"/>
                <c:pt idx="0">
                  <c:v>4.3967906801240547E-2</c:v>
                </c:pt>
                <c:pt idx="1">
                  <c:v>0.24952892096647836</c:v>
                </c:pt>
                <c:pt idx="2">
                  <c:v>0.46899151815639084</c:v>
                </c:pt>
                <c:pt idx="3">
                  <c:v>0.59720598656484325</c:v>
                </c:pt>
                <c:pt idx="4">
                  <c:v>0.56412525432518135</c:v>
                </c:pt>
                <c:pt idx="5">
                  <c:v>0.82048872933223549</c:v>
                </c:pt>
                <c:pt idx="7">
                  <c:v>0.41481298661405464</c:v>
                </c:pt>
                <c:pt idx="8">
                  <c:v>0.4878842599658163</c:v>
                </c:pt>
                <c:pt idx="10">
                  <c:v>0.45019412878016296</c:v>
                </c:pt>
              </c:numCache>
            </c:numRef>
          </c:val>
        </c:ser>
        <c:ser>
          <c:idx val="1"/>
          <c:order val="1"/>
          <c:tx>
            <c:strRef>
              <c:f>C_CZ!$C$55</c:f>
              <c:strCache>
                <c:ptCount val="1"/>
                <c:pt idx="0">
                  <c:v> 2017</c:v>
                </c:pt>
              </c:strCache>
            </c:strRef>
          </c:tx>
          <c:spPr>
            <a:solidFill>
              <a:srgbClr val="009BB4"/>
            </a:solidFill>
          </c:spPr>
          <c:invertIfNegative val="0"/>
          <c:dLbls>
            <c:dLbl>
              <c:idx val="1"/>
              <c:layout>
                <c:manualLayout>
                  <c:x val="-9.5025578099680208E-2"/>
                  <c:y val="0"/>
                </c:manualLayout>
              </c:layout>
              <c:dLblPos val="outEnd"/>
              <c:showLegendKey val="0"/>
              <c:showVal val="1"/>
              <c:showCatName val="0"/>
              <c:showSerName val="0"/>
              <c:showPercent val="0"/>
              <c:showBubbleSize val="0"/>
            </c:dLbl>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C_CZ!$A$56:$A$66</c:f>
              <c:strCache>
                <c:ptCount val="11"/>
                <c:pt idx="0">
                  <c:v>  65+</c:v>
                </c:pt>
                <c:pt idx="1">
                  <c:v>  55–64</c:v>
                </c:pt>
                <c:pt idx="2">
                  <c:v>  45–54</c:v>
                </c:pt>
                <c:pt idx="3">
                  <c:v>  35–44</c:v>
                </c:pt>
                <c:pt idx="4">
                  <c:v>  25–34</c:v>
                </c:pt>
                <c:pt idx="5">
                  <c:v>  16–24</c:v>
                </c:pt>
                <c:pt idx="7">
                  <c:v>ženy</c:v>
                </c:pt>
                <c:pt idx="8">
                  <c:v>muži</c:v>
                </c:pt>
                <c:pt idx="10">
                  <c:v>Celkem</c:v>
                </c:pt>
              </c:strCache>
            </c:strRef>
          </c:cat>
          <c:val>
            <c:numRef>
              <c:f>C_CZ!$C$56:$C$66</c:f>
              <c:numCache>
                <c:formatCode>0%</c:formatCode>
                <c:ptCount val="11"/>
                <c:pt idx="0">
                  <c:v>0.33642061661068484</c:v>
                </c:pt>
                <c:pt idx="1">
                  <c:v>0.75334294733324403</c:v>
                </c:pt>
                <c:pt idx="2">
                  <c:v>0.91607345485144565</c:v>
                </c:pt>
                <c:pt idx="3">
                  <c:v>0.96655258513065556</c:v>
                </c:pt>
                <c:pt idx="4">
                  <c:v>0.9689436905872455</c:v>
                </c:pt>
                <c:pt idx="5">
                  <c:v>0.99025539676034202</c:v>
                </c:pt>
                <c:pt idx="7">
                  <c:v>0.76029244372832228</c:v>
                </c:pt>
                <c:pt idx="8">
                  <c:v>0.81626444461178038</c:v>
                </c:pt>
                <c:pt idx="10">
                  <c:v>0.78719165488081599</c:v>
                </c:pt>
              </c:numCache>
            </c:numRef>
          </c:val>
        </c:ser>
        <c:dLbls>
          <c:showLegendKey val="0"/>
          <c:showVal val="0"/>
          <c:showCatName val="0"/>
          <c:showSerName val="0"/>
          <c:showPercent val="0"/>
          <c:showBubbleSize val="0"/>
        </c:dLbls>
        <c:gapWidth val="30"/>
        <c:axId val="183754752"/>
        <c:axId val="41178176"/>
      </c:barChart>
      <c:catAx>
        <c:axId val="183754752"/>
        <c:scaling>
          <c:orientation val="minMax"/>
        </c:scaling>
        <c:delete val="0"/>
        <c:axPos val="l"/>
        <c:numFmt formatCode="General" sourceLinked="1"/>
        <c:majorTickMark val="out"/>
        <c:minorTickMark val="none"/>
        <c:tickLblPos val="nextTo"/>
        <c:spPr>
          <a:ln>
            <a:solidFill>
              <a:schemeClr val="tx1"/>
            </a:solidFill>
          </a:ln>
        </c:spPr>
        <c:crossAx val="41178176"/>
        <c:crosses val="autoZero"/>
        <c:auto val="1"/>
        <c:lblAlgn val="ctr"/>
        <c:lblOffset val="100"/>
        <c:noMultiLvlLbl val="0"/>
      </c:catAx>
      <c:valAx>
        <c:axId val="41178176"/>
        <c:scaling>
          <c:orientation val="minMax"/>
          <c:max val="1"/>
        </c:scaling>
        <c:delete val="0"/>
        <c:axPos val="b"/>
        <c:numFmt formatCode="0%" sourceLinked="1"/>
        <c:majorTickMark val="none"/>
        <c:minorTickMark val="none"/>
        <c:tickLblPos val="none"/>
        <c:crossAx val="183754752"/>
        <c:crosses val="autoZero"/>
        <c:crossBetween val="between"/>
        <c:majorUnit val="0.1"/>
        <c:minorUnit val="5.0000000000000024E-2"/>
      </c:valAx>
      <c:spPr>
        <a:ln w="12700">
          <a:solidFill>
            <a:schemeClr val="bg1">
              <a:lumMod val="65000"/>
            </a:schemeClr>
          </a:solidFill>
        </a:ln>
      </c:spPr>
    </c:plotArea>
    <c:legend>
      <c:legendPos val="r"/>
      <c:layout>
        <c:manualLayout>
          <c:xMode val="edge"/>
          <c:yMode val="edge"/>
          <c:x val="0.63620866402116405"/>
          <c:y val="0.16653641975308642"/>
          <c:w val="0.30374074074074076"/>
          <c:h val="6.1441666666666658E-2"/>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C_CZ!$B$88</c:f>
              <c:strCache>
                <c:ptCount val="1"/>
                <c:pt idx="0">
                  <c:v> 2017</c:v>
                </c:pt>
              </c:strCache>
            </c:strRef>
          </c:tx>
          <c:spPr>
            <a:solidFill>
              <a:schemeClr val="accent5">
                <a:lumMod val="75000"/>
              </a:schemeClr>
            </a:solidFill>
          </c:spPr>
          <c:invertIfNegative val="0"/>
          <c:dPt>
            <c:idx val="11"/>
            <c:invertIfNegative val="0"/>
            <c:bubble3D val="0"/>
            <c:spPr>
              <a:solidFill>
                <a:schemeClr val="accent5">
                  <a:lumMod val="75000"/>
                </a:schemeClr>
              </a:solidFill>
              <a:ln>
                <a:solidFill>
                  <a:srgbClr val="FF0000"/>
                </a:solidFill>
              </a:ln>
            </c:spPr>
          </c:dPt>
          <c:dPt>
            <c:idx val="13"/>
            <c:invertIfNegative val="0"/>
            <c:bubble3D val="0"/>
            <c:spPr>
              <a:solidFill>
                <a:schemeClr val="accent5">
                  <a:lumMod val="75000"/>
                </a:schemeClr>
              </a:solidFill>
              <a:ln>
                <a:solidFill>
                  <a:srgbClr val="FF0000"/>
                </a:solidFill>
              </a:ln>
            </c:spPr>
          </c:dPt>
          <c:dLbls>
            <c:dLbl>
              <c:idx val="3"/>
              <c:layout>
                <c:manualLayout>
                  <c:x val="0"/>
                  <c:y val="8.2373456790123478E-2"/>
                </c:manualLayout>
              </c:layout>
              <c:dLblPos val="outEnd"/>
              <c:showLegendKey val="0"/>
              <c:showVal val="1"/>
              <c:showCatName val="0"/>
              <c:showSerName val="0"/>
              <c:showPercent val="0"/>
              <c:showBubbleSize val="0"/>
            </c:dLbl>
            <c:dLbl>
              <c:idx val="5"/>
              <c:layout>
                <c:manualLayout>
                  <c:x val="0"/>
                  <c:y val="9.0212962962962967E-2"/>
                </c:manualLayout>
              </c:layout>
              <c:dLblPos val="outEnd"/>
              <c:showLegendKey val="0"/>
              <c:showVal val="1"/>
              <c:showCatName val="0"/>
              <c:showSerName val="0"/>
              <c:showPercent val="0"/>
              <c:showBubbleSize val="0"/>
            </c:dLbl>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C_CZ!$A$89:$A$117</c:f>
              <c:strCache>
                <c:ptCount val="29"/>
                <c:pt idx="0">
                  <c:v>Lucembursko</c:v>
                </c:pt>
                <c:pt idx="1">
                  <c:v>Dánsko</c:v>
                </c:pt>
                <c:pt idx="2">
                  <c:v>Švédsko</c:v>
                </c:pt>
                <c:pt idx="3">
                  <c:v>Nizozemsko</c:v>
                </c:pt>
                <c:pt idx="4">
                  <c:v>Velká Británie</c:v>
                </c:pt>
                <c:pt idx="5">
                  <c:v>Finsko</c:v>
                </c:pt>
                <c:pt idx="6">
                  <c:v>Německo</c:v>
                </c:pt>
                <c:pt idx="7">
                  <c:v>Estonsko</c:v>
                </c:pt>
                <c:pt idx="8">
                  <c:v>Rakousko</c:v>
                </c:pt>
                <c:pt idx="9">
                  <c:v>Belgie</c:v>
                </c:pt>
                <c:pt idx="10">
                  <c:v>Francie</c:v>
                </c:pt>
                <c:pt idx="11">
                  <c:v>Česko</c:v>
                </c:pt>
                <c:pt idx="12">
                  <c:v>Španělsko</c:v>
                </c:pt>
                <c:pt idx="13">
                  <c:v>EU28</c:v>
                </c:pt>
                <c:pt idx="14">
                  <c:v>Slovensko</c:v>
                </c:pt>
                <c:pt idx="15">
                  <c:v>Lotyšsko</c:v>
                </c:pt>
                <c:pt idx="16">
                  <c:v>Irsko</c:v>
                </c:pt>
                <c:pt idx="17">
                  <c:v>Kypr</c:v>
                </c:pt>
                <c:pt idx="18">
                  <c:v>Malta</c:v>
                </c:pt>
                <c:pt idx="19">
                  <c:v>Slovinsko</c:v>
                </c:pt>
                <c:pt idx="20">
                  <c:v>Litva</c:v>
                </c:pt>
                <c:pt idx="21">
                  <c:v>Maďarsko</c:v>
                </c:pt>
                <c:pt idx="22">
                  <c:v>Polsko</c:v>
                </c:pt>
                <c:pt idx="23">
                  <c:v>Portugalsko</c:v>
                </c:pt>
                <c:pt idx="24">
                  <c:v>Itálie</c:v>
                </c:pt>
                <c:pt idx="25">
                  <c:v>Řecko</c:v>
                </c:pt>
                <c:pt idx="26">
                  <c:v>Chorvatsko</c:v>
                </c:pt>
                <c:pt idx="27">
                  <c:v>Rumunsko</c:v>
                </c:pt>
                <c:pt idx="28">
                  <c:v>Bulharsko</c:v>
                </c:pt>
              </c:strCache>
            </c:strRef>
          </c:cat>
          <c:val>
            <c:numRef>
              <c:f>C_CZ!$B$89:$B$117</c:f>
              <c:numCache>
                <c:formatCode>0%</c:formatCode>
                <c:ptCount val="29"/>
                <c:pt idx="0">
                  <c:v>0.97363</c:v>
                </c:pt>
                <c:pt idx="1">
                  <c:v>0.97099400000000002</c:v>
                </c:pt>
                <c:pt idx="2">
                  <c:v>0.96190299999999995</c:v>
                </c:pt>
                <c:pt idx="3">
                  <c:v>0.95329799999999998</c:v>
                </c:pt>
                <c:pt idx="4">
                  <c:v>0.94618000000000002</c:v>
                </c:pt>
                <c:pt idx="5">
                  <c:v>0.93679100000000004</c:v>
                </c:pt>
                <c:pt idx="6">
                  <c:v>0.90253399999999995</c:v>
                </c:pt>
                <c:pt idx="7">
                  <c:v>0.88104400000000005</c:v>
                </c:pt>
                <c:pt idx="8">
                  <c:v>0.87935600000000003</c:v>
                </c:pt>
                <c:pt idx="9">
                  <c:v>0.87679700000000005</c:v>
                </c:pt>
                <c:pt idx="10">
                  <c:v>0.86555599999999999</c:v>
                </c:pt>
                <c:pt idx="11">
                  <c:v>0.84637200000000001</c:v>
                </c:pt>
                <c:pt idx="12">
                  <c:v>0.84602200000000005</c:v>
                </c:pt>
                <c:pt idx="13">
                  <c:v>0.83610700000000004</c:v>
                </c:pt>
                <c:pt idx="14">
                  <c:v>0.81625700000000001</c:v>
                </c:pt>
                <c:pt idx="15">
                  <c:v>0.81315800000000005</c:v>
                </c:pt>
                <c:pt idx="16">
                  <c:v>0.81239499999999998</c:v>
                </c:pt>
                <c:pt idx="17">
                  <c:v>0.80743100000000001</c:v>
                </c:pt>
                <c:pt idx="18">
                  <c:v>0.800736</c:v>
                </c:pt>
                <c:pt idx="19">
                  <c:v>0.78885400000000006</c:v>
                </c:pt>
                <c:pt idx="20">
                  <c:v>0.77615299999999998</c:v>
                </c:pt>
                <c:pt idx="21">
                  <c:v>0.76750499999999999</c:v>
                </c:pt>
                <c:pt idx="22">
                  <c:v>0.75985400000000003</c:v>
                </c:pt>
                <c:pt idx="23">
                  <c:v>0.73791200000000001</c:v>
                </c:pt>
                <c:pt idx="24">
                  <c:v>0.70970200000000006</c:v>
                </c:pt>
                <c:pt idx="25">
                  <c:v>0.69893000000000005</c:v>
                </c:pt>
                <c:pt idx="26">
                  <c:v>0.67096199999999995</c:v>
                </c:pt>
                <c:pt idx="27">
                  <c:v>0.63749500000000003</c:v>
                </c:pt>
                <c:pt idx="28">
                  <c:v>0.63410100000000003</c:v>
                </c:pt>
              </c:numCache>
            </c:numRef>
          </c:val>
        </c:ser>
        <c:dLbls>
          <c:showLegendKey val="0"/>
          <c:showVal val="0"/>
          <c:showCatName val="0"/>
          <c:showSerName val="0"/>
          <c:showPercent val="0"/>
          <c:showBubbleSize val="0"/>
        </c:dLbls>
        <c:gapWidth val="50"/>
        <c:axId val="192181248"/>
        <c:axId val="63884096"/>
      </c:barChart>
      <c:barChart>
        <c:barDir val="col"/>
        <c:grouping val="clustered"/>
        <c:varyColors val="0"/>
        <c:ser>
          <c:idx val="1"/>
          <c:order val="1"/>
          <c:tx>
            <c:strRef>
              <c:f>C_CZ!$C$88</c:f>
              <c:strCache>
                <c:ptCount val="1"/>
                <c:pt idx="0">
                  <c:v> 2007</c:v>
                </c:pt>
              </c:strCache>
            </c:strRef>
          </c:tx>
          <c:spPr>
            <a:solidFill>
              <a:srgbClr val="47E5FF"/>
            </a:solidFill>
          </c:spPr>
          <c:invertIfNegative val="0"/>
          <c:dLbls>
            <c:txPr>
              <a:bodyPr rot="-5400000" vert="horz"/>
              <a:lstStyle/>
              <a:p>
                <a:pPr>
                  <a:defRPr b="1"/>
                </a:pPr>
                <a:endParaRPr lang="cs-CZ"/>
              </a:p>
            </c:txPr>
            <c:dLblPos val="inBase"/>
            <c:showLegendKey val="0"/>
            <c:showVal val="1"/>
            <c:showCatName val="0"/>
            <c:showSerName val="0"/>
            <c:showPercent val="0"/>
            <c:showBubbleSize val="0"/>
            <c:showLeaderLines val="0"/>
          </c:dLbls>
          <c:cat>
            <c:strRef>
              <c:f>C_CZ!$A$89:$A$117</c:f>
              <c:strCache>
                <c:ptCount val="29"/>
                <c:pt idx="0">
                  <c:v>Lucembursko</c:v>
                </c:pt>
                <c:pt idx="1">
                  <c:v>Dánsko</c:v>
                </c:pt>
                <c:pt idx="2">
                  <c:v>Švédsko</c:v>
                </c:pt>
                <c:pt idx="3">
                  <c:v>Nizozemsko</c:v>
                </c:pt>
                <c:pt idx="4">
                  <c:v>Velká Británie</c:v>
                </c:pt>
                <c:pt idx="5">
                  <c:v>Finsko</c:v>
                </c:pt>
                <c:pt idx="6">
                  <c:v>Německo</c:v>
                </c:pt>
                <c:pt idx="7">
                  <c:v>Estonsko</c:v>
                </c:pt>
                <c:pt idx="8">
                  <c:v>Rakousko</c:v>
                </c:pt>
                <c:pt idx="9">
                  <c:v>Belgie</c:v>
                </c:pt>
                <c:pt idx="10">
                  <c:v>Francie</c:v>
                </c:pt>
                <c:pt idx="11">
                  <c:v>Česko</c:v>
                </c:pt>
                <c:pt idx="12">
                  <c:v>Španělsko</c:v>
                </c:pt>
                <c:pt idx="13">
                  <c:v>EU28</c:v>
                </c:pt>
                <c:pt idx="14">
                  <c:v>Slovensko</c:v>
                </c:pt>
                <c:pt idx="15">
                  <c:v>Lotyšsko</c:v>
                </c:pt>
                <c:pt idx="16">
                  <c:v>Irsko</c:v>
                </c:pt>
                <c:pt idx="17">
                  <c:v>Kypr</c:v>
                </c:pt>
                <c:pt idx="18">
                  <c:v>Malta</c:v>
                </c:pt>
                <c:pt idx="19">
                  <c:v>Slovinsko</c:v>
                </c:pt>
                <c:pt idx="20">
                  <c:v>Litva</c:v>
                </c:pt>
                <c:pt idx="21">
                  <c:v>Maďarsko</c:v>
                </c:pt>
                <c:pt idx="22">
                  <c:v>Polsko</c:v>
                </c:pt>
                <c:pt idx="23">
                  <c:v>Portugalsko</c:v>
                </c:pt>
                <c:pt idx="24">
                  <c:v>Itálie</c:v>
                </c:pt>
                <c:pt idx="25">
                  <c:v>Řecko</c:v>
                </c:pt>
                <c:pt idx="26">
                  <c:v>Chorvatsko</c:v>
                </c:pt>
                <c:pt idx="27">
                  <c:v>Rumunsko</c:v>
                </c:pt>
                <c:pt idx="28">
                  <c:v>Bulharsko</c:v>
                </c:pt>
              </c:strCache>
            </c:strRef>
          </c:cat>
          <c:val>
            <c:numRef>
              <c:f>C_CZ!$C$89:$C$117</c:f>
              <c:numCache>
                <c:formatCode>0%</c:formatCode>
                <c:ptCount val="29"/>
                <c:pt idx="0">
                  <c:v>0.78140100000000001</c:v>
                </c:pt>
                <c:pt idx="1">
                  <c:v>0.81369000000000002</c:v>
                </c:pt>
                <c:pt idx="2">
                  <c:v>0.80045100000000002</c:v>
                </c:pt>
                <c:pt idx="3">
                  <c:v>0.84380299999999997</c:v>
                </c:pt>
                <c:pt idx="4">
                  <c:v>0.71874199999999999</c:v>
                </c:pt>
                <c:pt idx="5">
                  <c:v>0.790825</c:v>
                </c:pt>
                <c:pt idx="6">
                  <c:v>0.72414999999999996</c:v>
                </c:pt>
                <c:pt idx="7">
                  <c:v>0.63249</c:v>
                </c:pt>
                <c:pt idx="8">
                  <c:v>0.66870700000000005</c:v>
                </c:pt>
                <c:pt idx="9">
                  <c:v>0.66760399999999998</c:v>
                </c:pt>
                <c:pt idx="10">
                  <c:v>0.61690699999999998</c:v>
                </c:pt>
                <c:pt idx="11">
                  <c:v>0.48636800000000002</c:v>
                </c:pt>
                <c:pt idx="12">
                  <c:v>0.51481500000000002</c:v>
                </c:pt>
                <c:pt idx="13">
                  <c:v>0.56946799999999997</c:v>
                </c:pt>
                <c:pt idx="14">
                  <c:v>0.56251200000000001</c:v>
                </c:pt>
                <c:pt idx="15">
                  <c:v>0.55485200000000001</c:v>
                </c:pt>
                <c:pt idx="16">
                  <c:v>0.57609399999999999</c:v>
                </c:pt>
                <c:pt idx="17">
                  <c:v>0.381191</c:v>
                </c:pt>
                <c:pt idx="18">
                  <c:v>0.45332499999999998</c:v>
                </c:pt>
                <c:pt idx="19">
                  <c:v>0.53298500000000004</c:v>
                </c:pt>
                <c:pt idx="20">
                  <c:v>0.48695899999999998</c:v>
                </c:pt>
                <c:pt idx="21">
                  <c:v>0.51098600000000005</c:v>
                </c:pt>
                <c:pt idx="22">
                  <c:v>0.44123299999999999</c:v>
                </c:pt>
                <c:pt idx="23">
                  <c:v>0.396231</c:v>
                </c:pt>
                <c:pt idx="24">
                  <c:v>0.38283699999999998</c:v>
                </c:pt>
                <c:pt idx="25">
                  <c:v>0.334036</c:v>
                </c:pt>
                <c:pt idx="26">
                  <c:v>0.38032899999999997</c:v>
                </c:pt>
                <c:pt idx="27">
                  <c:v>0.24404200000000001</c:v>
                </c:pt>
                <c:pt idx="28">
                  <c:v>0.30783199999999999</c:v>
                </c:pt>
              </c:numCache>
            </c:numRef>
          </c:val>
        </c:ser>
        <c:dLbls>
          <c:showLegendKey val="0"/>
          <c:showVal val="0"/>
          <c:showCatName val="0"/>
          <c:showSerName val="0"/>
          <c:showPercent val="0"/>
          <c:showBubbleSize val="0"/>
        </c:dLbls>
        <c:gapWidth val="200"/>
        <c:axId val="192271360"/>
        <c:axId val="63887552"/>
      </c:barChart>
      <c:catAx>
        <c:axId val="192181248"/>
        <c:scaling>
          <c:orientation val="minMax"/>
        </c:scaling>
        <c:delete val="0"/>
        <c:axPos val="b"/>
        <c:majorTickMark val="out"/>
        <c:minorTickMark val="none"/>
        <c:tickLblPos val="nextTo"/>
        <c:spPr>
          <a:ln>
            <a:solidFill>
              <a:schemeClr val="tx1"/>
            </a:solidFill>
          </a:ln>
        </c:spPr>
        <c:crossAx val="63884096"/>
        <c:crosses val="autoZero"/>
        <c:auto val="1"/>
        <c:lblAlgn val="ctr"/>
        <c:lblOffset val="100"/>
        <c:noMultiLvlLbl val="0"/>
      </c:catAx>
      <c:valAx>
        <c:axId val="63884096"/>
        <c:scaling>
          <c:orientation val="minMax"/>
          <c:max val="1"/>
          <c:min val="0"/>
        </c:scaling>
        <c:delete val="1"/>
        <c:axPos val="l"/>
        <c:numFmt formatCode="0%" sourceLinked="1"/>
        <c:majorTickMark val="out"/>
        <c:minorTickMark val="none"/>
        <c:tickLblPos val="nextTo"/>
        <c:crossAx val="192181248"/>
        <c:crosses val="autoZero"/>
        <c:crossBetween val="between"/>
        <c:majorUnit val="0.1"/>
        <c:minorUnit val="5.0000000000000024E-2"/>
      </c:valAx>
      <c:valAx>
        <c:axId val="63887552"/>
        <c:scaling>
          <c:orientation val="minMax"/>
          <c:max val="1"/>
        </c:scaling>
        <c:delete val="0"/>
        <c:axPos val="r"/>
        <c:numFmt formatCode="0%" sourceLinked="1"/>
        <c:majorTickMark val="none"/>
        <c:minorTickMark val="none"/>
        <c:tickLblPos val="none"/>
        <c:crossAx val="192271360"/>
        <c:crosses val="max"/>
        <c:crossBetween val="between"/>
      </c:valAx>
      <c:catAx>
        <c:axId val="192271360"/>
        <c:scaling>
          <c:orientation val="minMax"/>
        </c:scaling>
        <c:delete val="1"/>
        <c:axPos val="b"/>
        <c:majorTickMark val="out"/>
        <c:minorTickMark val="none"/>
        <c:tickLblPos val="none"/>
        <c:crossAx val="63887552"/>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7321849340957158"/>
          <c:y val="0.14037006172839508"/>
          <c:w val="6.9586721030664239E-2"/>
          <c:h val="0.1163820987654321"/>
        </c:manualLayout>
      </c:layout>
      <c:overlay val="0"/>
      <c:spPr>
        <a:ln>
          <a:solidFill>
            <a:schemeClr val="bg1">
              <a:lumMod val="50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C6 Jednotlivci v Česku</a:t>
            </a:r>
            <a:r>
              <a:rPr lang="cs-CZ" sz="800" b="1" baseline="0"/>
              <a:t> </a:t>
            </a:r>
            <a:r>
              <a:rPr lang="cs-CZ" sz="800" b="1"/>
              <a:t>ve věku 16 let </a:t>
            </a:r>
          </a:p>
          <a:p>
            <a:pPr>
              <a:defRPr sz="800" b="1"/>
            </a:pPr>
            <a:r>
              <a:rPr lang="cs-CZ" sz="800" b="1"/>
              <a:t>a starší ,</a:t>
            </a:r>
            <a:r>
              <a:rPr lang="cs-CZ" sz="800" b="1" baseline="0"/>
              <a:t> </a:t>
            </a:r>
            <a:r>
              <a:rPr lang="cs-CZ" sz="800" b="1"/>
              <a:t>kteří nikdy nepoužili internet</a:t>
            </a:r>
            <a:endParaRPr lang="en-US" sz="800" b="1"/>
          </a:p>
        </c:rich>
      </c:tx>
      <c:layout>
        <c:manualLayout>
          <c:xMode val="edge"/>
          <c:yMode val="edge"/>
          <c:x val="0.13602810846560848"/>
          <c:y val="1.8618749999999996E-2"/>
        </c:manualLayout>
      </c:layout>
      <c:overlay val="1"/>
    </c:title>
    <c:autoTitleDeleted val="0"/>
    <c:plotArea>
      <c:layout>
        <c:manualLayout>
          <c:layoutTarget val="inner"/>
          <c:xMode val="edge"/>
          <c:yMode val="edge"/>
          <c:x val="1.3813516798106587E-2"/>
          <c:y val="0.12904148148148176"/>
          <c:w val="0.96948369216085761"/>
          <c:h val="0.7040259259259255"/>
        </c:manualLayout>
      </c:layout>
      <c:barChart>
        <c:barDir val="col"/>
        <c:grouping val="clustered"/>
        <c:varyColors val="0"/>
        <c:ser>
          <c:idx val="2"/>
          <c:order val="0"/>
          <c:tx>
            <c:strRef>
              <c:f>C_CZ!$A$122</c:f>
              <c:strCache>
                <c:ptCount val="1"/>
                <c:pt idx="0">
                  <c:v> miliony jednotlivců</c:v>
                </c:pt>
              </c:strCache>
            </c:strRef>
          </c:tx>
          <c:spPr>
            <a:solidFill>
              <a:srgbClr val="009BB4"/>
            </a:solidFill>
            <a:ln w="25400">
              <a:noFill/>
            </a:ln>
          </c:spPr>
          <c:invertIfNegative val="0"/>
          <c:dLbls>
            <c:numFmt formatCode="#,##0.0" sourceLinked="0"/>
            <c:txPr>
              <a:bodyPr/>
              <a:lstStyle/>
              <a:p>
                <a:pPr>
                  <a:defRPr b="1">
                    <a:solidFill>
                      <a:schemeClr val="bg1"/>
                    </a:solidFill>
                  </a:defRPr>
                </a:pPr>
                <a:endParaRPr lang="cs-CZ"/>
              </a:p>
            </c:txPr>
            <c:dLblPos val="inEnd"/>
            <c:showLegendKey val="0"/>
            <c:showVal val="1"/>
            <c:showCatName val="0"/>
            <c:showSerName val="0"/>
            <c:showPercent val="0"/>
            <c:showBubbleSize val="0"/>
            <c:showLeaderLines val="0"/>
          </c:dLbls>
          <c:cat>
            <c:numRef>
              <c:f>C_CZ!$B$121:$H$121</c:f>
              <c:numCache>
                <c:formatCode>0</c:formatCode>
                <c:ptCount val="7"/>
                <c:pt idx="0">
                  <c:v>2005</c:v>
                </c:pt>
                <c:pt idx="1">
                  <c:v>2007</c:v>
                </c:pt>
                <c:pt idx="2">
                  <c:v>2009</c:v>
                </c:pt>
                <c:pt idx="3">
                  <c:v>2011</c:v>
                </c:pt>
                <c:pt idx="4">
                  <c:v>2013</c:v>
                </c:pt>
                <c:pt idx="5">
                  <c:v>2015</c:v>
                </c:pt>
                <c:pt idx="6">
                  <c:v>2017</c:v>
                </c:pt>
              </c:numCache>
            </c:numRef>
          </c:cat>
          <c:val>
            <c:numRef>
              <c:f>C_CZ!$B$122:$H$122</c:f>
              <c:numCache>
                <c:formatCode>#,##0.0</c:formatCode>
                <c:ptCount val="7"/>
                <c:pt idx="0">
                  <c:v>5.4199982441820804</c:v>
                </c:pt>
                <c:pt idx="1">
                  <c:v>4.3003544975749897</c:v>
                </c:pt>
                <c:pt idx="2">
                  <c:v>3.3308058215009999</c:v>
                </c:pt>
                <c:pt idx="3">
                  <c:v>2.5664814521317969</c:v>
                </c:pt>
                <c:pt idx="4">
                  <c:v>2.0134216418149999</c:v>
                </c:pt>
                <c:pt idx="5" formatCode="0.0">
                  <c:v>1.6436317256108319</c:v>
                </c:pt>
                <c:pt idx="6">
                  <c:v>1.4454347711733202</c:v>
                </c:pt>
              </c:numCache>
            </c:numRef>
          </c:val>
        </c:ser>
        <c:dLbls>
          <c:showLegendKey val="0"/>
          <c:showVal val="0"/>
          <c:showCatName val="0"/>
          <c:showSerName val="0"/>
          <c:showPercent val="0"/>
          <c:showBubbleSize val="0"/>
        </c:dLbls>
        <c:gapWidth val="50"/>
        <c:axId val="192183808"/>
        <c:axId val="181943040"/>
      </c:barChart>
      <c:lineChart>
        <c:grouping val="standard"/>
        <c:varyColors val="0"/>
        <c:ser>
          <c:idx val="0"/>
          <c:order val="1"/>
          <c:tx>
            <c:strRef>
              <c:f>C_CZ!$A$123</c:f>
              <c:strCache>
                <c:ptCount val="1"/>
                <c:pt idx="0">
                  <c:v>  % jednotlivců celkem</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5.6513347763347772E-2"/>
                  <c:y val="-5.9531652639917193E-2"/>
                </c:manualLayout>
              </c:layout>
              <c:dLblPos val="r"/>
              <c:showLegendKey val="0"/>
              <c:showVal val="1"/>
              <c:showCatName val="0"/>
              <c:showSerName val="0"/>
              <c:showPercent val="0"/>
              <c:showBubbleSize val="0"/>
            </c:dLbl>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C_CZ!$B$121:$H$121</c:f>
              <c:numCache>
                <c:formatCode>0</c:formatCode>
                <c:ptCount val="7"/>
                <c:pt idx="0">
                  <c:v>2005</c:v>
                </c:pt>
                <c:pt idx="1">
                  <c:v>2007</c:v>
                </c:pt>
                <c:pt idx="2">
                  <c:v>2009</c:v>
                </c:pt>
                <c:pt idx="3">
                  <c:v>2011</c:v>
                </c:pt>
                <c:pt idx="4">
                  <c:v>2013</c:v>
                </c:pt>
                <c:pt idx="5">
                  <c:v>2015</c:v>
                </c:pt>
                <c:pt idx="6">
                  <c:v>2017</c:v>
                </c:pt>
              </c:numCache>
            </c:numRef>
          </c:cat>
          <c:val>
            <c:numRef>
              <c:f>C_CZ!$B$123:$H$123</c:f>
              <c:numCache>
                <c:formatCode>0.0%</c:formatCode>
                <c:ptCount val="7"/>
                <c:pt idx="0">
                  <c:v>0.62354232619889205</c:v>
                </c:pt>
                <c:pt idx="1">
                  <c:v>0.49372515637881698</c:v>
                </c:pt>
                <c:pt idx="2">
                  <c:v>0.37487367351191403</c:v>
                </c:pt>
                <c:pt idx="3">
                  <c:v>0.290642868636041</c:v>
                </c:pt>
                <c:pt idx="4">
                  <c:v>0.22900823709149593</c:v>
                </c:pt>
                <c:pt idx="5">
                  <c:v>0.18735024159927727</c:v>
                </c:pt>
                <c:pt idx="6">
                  <c:v>0.16510382328727602</c:v>
                </c:pt>
              </c:numCache>
            </c:numRef>
          </c:val>
          <c:smooth val="0"/>
        </c:ser>
        <c:dLbls>
          <c:showLegendKey val="0"/>
          <c:showVal val="0"/>
          <c:showCatName val="0"/>
          <c:showSerName val="0"/>
          <c:showPercent val="0"/>
          <c:showBubbleSize val="0"/>
        </c:dLbls>
        <c:marker val="1"/>
        <c:smooth val="0"/>
        <c:axId val="192273920"/>
        <c:axId val="181943616"/>
      </c:lineChart>
      <c:catAx>
        <c:axId val="192183808"/>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cs-CZ"/>
          </a:p>
        </c:txPr>
        <c:crossAx val="181943040"/>
        <c:crosses val="autoZero"/>
        <c:auto val="1"/>
        <c:lblAlgn val="ctr"/>
        <c:lblOffset val="140"/>
        <c:tickLblSkip val="1"/>
        <c:tickMarkSkip val="1"/>
        <c:noMultiLvlLbl val="0"/>
      </c:catAx>
      <c:valAx>
        <c:axId val="181943040"/>
        <c:scaling>
          <c:orientation val="minMax"/>
          <c:max val="8"/>
          <c:min val="0"/>
        </c:scaling>
        <c:delete val="0"/>
        <c:axPos val="l"/>
        <c:majorGridlines>
          <c:spPr>
            <a:ln w="12700">
              <a:noFill/>
              <a:prstDash val="dash"/>
            </a:ln>
          </c:spPr>
        </c:majorGridlines>
        <c:numFmt formatCode="#,##0.0" sourceLinked="1"/>
        <c:majorTickMark val="none"/>
        <c:minorTickMark val="none"/>
        <c:tickLblPos val="none"/>
        <c:spPr>
          <a:ln w="9525">
            <a:noFill/>
          </a:ln>
        </c:spPr>
        <c:crossAx val="192183808"/>
        <c:crosses val="autoZero"/>
        <c:crossBetween val="between"/>
        <c:majorUnit val="1"/>
        <c:minorUnit val="2.0000000000000011E-2"/>
      </c:valAx>
      <c:catAx>
        <c:axId val="192273920"/>
        <c:scaling>
          <c:orientation val="minMax"/>
        </c:scaling>
        <c:delete val="1"/>
        <c:axPos val="b"/>
        <c:numFmt formatCode="0" sourceLinked="1"/>
        <c:majorTickMark val="out"/>
        <c:minorTickMark val="none"/>
        <c:tickLblPos val="none"/>
        <c:crossAx val="181943616"/>
        <c:crosses val="autoZero"/>
        <c:auto val="1"/>
        <c:lblAlgn val="ctr"/>
        <c:lblOffset val="100"/>
        <c:noMultiLvlLbl val="0"/>
      </c:catAx>
      <c:valAx>
        <c:axId val="181943616"/>
        <c:scaling>
          <c:orientation val="minMax"/>
          <c:max val="0.8"/>
          <c:min val="0"/>
        </c:scaling>
        <c:delete val="0"/>
        <c:axPos val="r"/>
        <c:numFmt formatCode="0.0%" sourceLinked="1"/>
        <c:majorTickMark val="none"/>
        <c:minorTickMark val="none"/>
        <c:tickLblPos val="none"/>
        <c:spPr>
          <a:ln>
            <a:solidFill>
              <a:schemeClr val="bg1">
                <a:lumMod val="65000"/>
              </a:schemeClr>
            </a:solidFill>
          </a:ln>
        </c:spPr>
        <c:crossAx val="192273920"/>
        <c:crosses val="max"/>
        <c:crossBetween val="between"/>
        <c:majorUnit val="5.0000000000000024E-2"/>
        <c:minorUnit val="1.0000000000000005E-2"/>
      </c:valAx>
      <c:spPr>
        <a:noFill/>
        <a:ln w="12700">
          <a:solidFill>
            <a:srgbClr val="A6A6A6"/>
          </a:solidFill>
          <a:prstDash val="solid"/>
        </a:ln>
      </c:spPr>
    </c:plotArea>
    <c:legend>
      <c:legendPos val="l"/>
      <c:legendEntry>
        <c:idx val="1"/>
        <c:txPr>
          <a:bodyPr/>
          <a:lstStyle/>
          <a:p>
            <a:pPr>
              <a:defRPr i="0"/>
            </a:pPr>
            <a:endParaRPr lang="cs-CZ"/>
          </a:p>
        </c:txPr>
      </c:legendEntry>
      <c:layout>
        <c:manualLayout>
          <c:xMode val="edge"/>
          <c:yMode val="edge"/>
          <c:x val="0.44975359477124183"/>
          <c:y val="0.15471728395061743"/>
          <c:w val="0.5044349593495937"/>
          <c:h val="0.13421814814814828"/>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C</a:t>
            </a:r>
            <a:r>
              <a:rPr lang="cs-CZ" sz="800"/>
              <a:t>7</a:t>
            </a:r>
            <a:r>
              <a:rPr lang="en-US" sz="800"/>
              <a:t> Používání internetu jednotlivci </a:t>
            </a:r>
            <a:r>
              <a:rPr lang="cs-CZ" sz="800"/>
              <a:t>v Česku </a:t>
            </a:r>
            <a:r>
              <a:rPr lang="en-US" sz="800"/>
              <a:t>ve věku 55 až 74 let</a:t>
            </a:r>
            <a:r>
              <a:rPr lang="cs-CZ" sz="800"/>
              <a:t>  (%)</a:t>
            </a:r>
            <a:r>
              <a:rPr lang="en-US" sz="800"/>
              <a:t> </a:t>
            </a:r>
          </a:p>
        </c:rich>
      </c:tx>
      <c:layout/>
      <c:overlay val="1"/>
    </c:title>
    <c:autoTitleDeleted val="0"/>
    <c:plotArea>
      <c:layout>
        <c:manualLayout>
          <c:layoutTarget val="inner"/>
          <c:xMode val="edge"/>
          <c:yMode val="edge"/>
          <c:x val="1.319550408030986E-2"/>
          <c:y val="0.15072976190476189"/>
          <c:w val="0.97150662756452844"/>
          <c:h val="0.49697301587301612"/>
        </c:manualLayout>
      </c:layout>
      <c:barChart>
        <c:barDir val="col"/>
        <c:grouping val="percentStacked"/>
        <c:varyColors val="0"/>
        <c:ser>
          <c:idx val="2"/>
          <c:order val="0"/>
          <c:tx>
            <c:strRef>
              <c:f>C_CZ!$A$127</c:f>
              <c:strCache>
                <c:ptCount val="1"/>
                <c:pt idx="0">
                  <c:v> internet používají pravidelně (1x týdně a častěji)</c:v>
                </c:pt>
              </c:strCache>
            </c:strRef>
          </c:tx>
          <c:spPr>
            <a:solidFill>
              <a:srgbClr val="009BB4"/>
            </a:solidFill>
          </c:spPr>
          <c:invertIfNegative val="0"/>
          <c:dLbls>
            <c:txPr>
              <a:bodyPr rot="0" vert="horz"/>
              <a:lstStyle/>
              <a:p>
                <a:pPr>
                  <a:defRPr b="1">
                    <a:solidFill>
                      <a:schemeClr val="bg1"/>
                    </a:solidFill>
                  </a:defRPr>
                </a:pPr>
                <a:endParaRPr lang="cs-CZ"/>
              </a:p>
            </c:txPr>
            <c:dLblPos val="ctr"/>
            <c:showLegendKey val="0"/>
            <c:showVal val="1"/>
            <c:showCatName val="0"/>
            <c:showSerName val="0"/>
            <c:showPercent val="0"/>
            <c:showBubbleSize val="0"/>
            <c:showLeaderLines val="0"/>
          </c:dLbls>
          <c:cat>
            <c:numRef>
              <c:f>C_CZ!$B$126:$H$126</c:f>
              <c:numCache>
                <c:formatCode>General</c:formatCode>
                <c:ptCount val="7"/>
                <c:pt idx="0">
                  <c:v>2005</c:v>
                </c:pt>
                <c:pt idx="1">
                  <c:v>2007</c:v>
                </c:pt>
                <c:pt idx="2">
                  <c:v>2009</c:v>
                </c:pt>
                <c:pt idx="3">
                  <c:v>2011</c:v>
                </c:pt>
                <c:pt idx="4">
                  <c:v>2013</c:v>
                </c:pt>
                <c:pt idx="5">
                  <c:v>2015</c:v>
                </c:pt>
                <c:pt idx="6">
                  <c:v>2017</c:v>
                </c:pt>
              </c:numCache>
            </c:numRef>
          </c:cat>
          <c:val>
            <c:numRef>
              <c:f>C_CZ!$B$127:$H$127</c:f>
              <c:numCache>
                <c:formatCode>0%</c:formatCode>
                <c:ptCount val="7"/>
                <c:pt idx="0">
                  <c:v>5.208000000000005E-2</c:v>
                </c:pt>
                <c:pt idx="1">
                  <c:v>0.15567399999999998</c:v>
                </c:pt>
                <c:pt idx="2">
                  <c:v>0.23078399999999999</c:v>
                </c:pt>
                <c:pt idx="3">
                  <c:v>0.306259</c:v>
                </c:pt>
                <c:pt idx="4">
                  <c:v>0.39108500000000002</c:v>
                </c:pt>
                <c:pt idx="5">
                  <c:v>0.48489699999999997</c:v>
                </c:pt>
                <c:pt idx="6">
                  <c:v>0.53968078255215945</c:v>
                </c:pt>
              </c:numCache>
            </c:numRef>
          </c:val>
        </c:ser>
        <c:ser>
          <c:idx val="1"/>
          <c:order val="1"/>
          <c:tx>
            <c:strRef>
              <c:f>C_CZ!$A$128</c:f>
              <c:strCache>
                <c:ptCount val="1"/>
                <c:pt idx="0">
                  <c:v> internet používají příležitostně (méně než 1x za týden)</c:v>
                </c:pt>
              </c:strCache>
            </c:strRef>
          </c:tx>
          <c:spPr>
            <a:solidFill>
              <a:srgbClr val="47E5FF"/>
            </a:solidFill>
          </c:spPr>
          <c:invertIfNegative val="0"/>
          <c:dLbls>
            <c:dLbl>
              <c:idx val="0"/>
              <c:layout>
                <c:manualLayout>
                  <c:x val="4.5945418821693824E-3"/>
                  <c:y val="-3.0507402663810411E-3"/>
                </c:manualLayout>
              </c:layout>
              <c:showLegendKey val="0"/>
              <c:showVal val="1"/>
              <c:showCatName val="0"/>
              <c:showSerName val="0"/>
              <c:showPercent val="0"/>
              <c:showBubbleSize val="0"/>
            </c:dLbl>
            <c:txPr>
              <a:bodyPr rot="0" vert="horz"/>
              <a:lstStyle/>
              <a:p>
                <a:pPr algn="ctr">
                  <a:defRPr b="1"/>
                </a:pPr>
                <a:endParaRPr lang="cs-CZ"/>
              </a:p>
            </c:txPr>
            <c:showLegendKey val="0"/>
            <c:showVal val="1"/>
            <c:showCatName val="0"/>
            <c:showSerName val="0"/>
            <c:showPercent val="0"/>
            <c:showBubbleSize val="0"/>
            <c:showLeaderLines val="0"/>
          </c:dLbls>
          <c:cat>
            <c:numRef>
              <c:f>C_CZ!$B$126:$H$126</c:f>
              <c:numCache>
                <c:formatCode>General</c:formatCode>
                <c:ptCount val="7"/>
                <c:pt idx="0">
                  <c:v>2005</c:v>
                </c:pt>
                <c:pt idx="1">
                  <c:v>2007</c:v>
                </c:pt>
                <c:pt idx="2">
                  <c:v>2009</c:v>
                </c:pt>
                <c:pt idx="3">
                  <c:v>2011</c:v>
                </c:pt>
                <c:pt idx="4">
                  <c:v>2013</c:v>
                </c:pt>
                <c:pt idx="5">
                  <c:v>2015</c:v>
                </c:pt>
                <c:pt idx="6">
                  <c:v>2017</c:v>
                </c:pt>
              </c:numCache>
            </c:numRef>
          </c:cat>
          <c:val>
            <c:numRef>
              <c:f>C_CZ!$B$128:$H$128</c:f>
              <c:numCache>
                <c:formatCode>0%</c:formatCode>
                <c:ptCount val="7"/>
                <c:pt idx="0">
                  <c:v>6.1199999999999997E-2</c:v>
                </c:pt>
                <c:pt idx="1">
                  <c:v>6.5676000000000068E-2</c:v>
                </c:pt>
                <c:pt idx="2">
                  <c:v>0.10360599999999998</c:v>
                </c:pt>
                <c:pt idx="3">
                  <c:v>0.15998700000000005</c:v>
                </c:pt>
                <c:pt idx="4">
                  <c:v>0.17742400000000003</c:v>
                </c:pt>
                <c:pt idx="5">
                  <c:v>0.17747600000000002</c:v>
                </c:pt>
                <c:pt idx="6">
                  <c:v>6.7783879999999991E-2</c:v>
                </c:pt>
              </c:numCache>
            </c:numRef>
          </c:val>
        </c:ser>
        <c:ser>
          <c:idx val="0"/>
          <c:order val="2"/>
          <c:tx>
            <c:strRef>
              <c:f>C_CZ!$A$129</c:f>
              <c:strCache>
                <c:ptCount val="1"/>
                <c:pt idx="0">
                  <c:v> nikdy nepoužili internet </c:v>
                </c:pt>
              </c:strCache>
            </c:strRef>
          </c:tx>
          <c:spPr>
            <a:solidFill>
              <a:srgbClr val="ABF3FF"/>
            </a:solidFill>
          </c:spPr>
          <c:invertIfNegative val="0"/>
          <c:dLbls>
            <c:txPr>
              <a:bodyPr rot="0" vert="horz"/>
              <a:lstStyle/>
              <a:p>
                <a:pPr>
                  <a:defRPr b="1"/>
                </a:pPr>
                <a:endParaRPr lang="cs-CZ"/>
              </a:p>
            </c:txPr>
            <c:dLblPos val="ctr"/>
            <c:showLegendKey val="0"/>
            <c:showVal val="1"/>
            <c:showCatName val="0"/>
            <c:showSerName val="0"/>
            <c:showPercent val="0"/>
            <c:showBubbleSize val="0"/>
            <c:showLeaderLines val="0"/>
          </c:dLbls>
          <c:cat>
            <c:numRef>
              <c:f>C_CZ!$B$126:$H$126</c:f>
              <c:numCache>
                <c:formatCode>General</c:formatCode>
                <c:ptCount val="7"/>
                <c:pt idx="0">
                  <c:v>2005</c:v>
                </c:pt>
                <c:pt idx="1">
                  <c:v>2007</c:v>
                </c:pt>
                <c:pt idx="2">
                  <c:v>2009</c:v>
                </c:pt>
                <c:pt idx="3">
                  <c:v>2011</c:v>
                </c:pt>
                <c:pt idx="4">
                  <c:v>2013</c:v>
                </c:pt>
                <c:pt idx="5">
                  <c:v>2015</c:v>
                </c:pt>
                <c:pt idx="6">
                  <c:v>2017</c:v>
                </c:pt>
              </c:numCache>
            </c:numRef>
          </c:cat>
          <c:val>
            <c:numRef>
              <c:f>C_CZ!$B$129:$H$129</c:f>
              <c:numCache>
                <c:formatCode>0%</c:formatCode>
                <c:ptCount val="7"/>
                <c:pt idx="0">
                  <c:v>0.88671999999999995</c:v>
                </c:pt>
                <c:pt idx="1">
                  <c:v>0.77864999999999995</c:v>
                </c:pt>
                <c:pt idx="2">
                  <c:v>0.66561000000000003</c:v>
                </c:pt>
                <c:pt idx="3">
                  <c:v>0.53375399999999995</c:v>
                </c:pt>
                <c:pt idx="4">
                  <c:v>0.43149099999999996</c:v>
                </c:pt>
                <c:pt idx="5">
                  <c:v>0.33762700000000001</c:v>
                </c:pt>
                <c:pt idx="6">
                  <c:v>0.29231139</c:v>
                </c:pt>
              </c:numCache>
            </c:numRef>
          </c:val>
        </c:ser>
        <c:dLbls>
          <c:showLegendKey val="0"/>
          <c:showVal val="0"/>
          <c:showCatName val="0"/>
          <c:showSerName val="0"/>
          <c:showPercent val="0"/>
          <c:showBubbleSize val="0"/>
        </c:dLbls>
        <c:gapWidth val="69"/>
        <c:overlap val="100"/>
        <c:axId val="192183296"/>
        <c:axId val="187982400"/>
      </c:barChart>
      <c:catAx>
        <c:axId val="192183296"/>
        <c:scaling>
          <c:orientation val="minMax"/>
        </c:scaling>
        <c:delete val="0"/>
        <c:axPos val="b"/>
        <c:numFmt formatCode="General" sourceLinked="1"/>
        <c:majorTickMark val="out"/>
        <c:minorTickMark val="none"/>
        <c:tickLblPos val="nextTo"/>
        <c:spPr>
          <a:ln>
            <a:solidFill>
              <a:schemeClr val="tx1"/>
            </a:solidFill>
          </a:ln>
        </c:spPr>
        <c:crossAx val="187982400"/>
        <c:crosses val="autoZero"/>
        <c:auto val="1"/>
        <c:lblAlgn val="ctr"/>
        <c:lblOffset val="100"/>
        <c:noMultiLvlLbl val="0"/>
      </c:catAx>
      <c:valAx>
        <c:axId val="187982400"/>
        <c:scaling>
          <c:orientation val="minMax"/>
        </c:scaling>
        <c:delete val="0"/>
        <c:axPos val="l"/>
        <c:numFmt formatCode="0%" sourceLinked="1"/>
        <c:majorTickMark val="none"/>
        <c:minorTickMark val="none"/>
        <c:tickLblPos val="none"/>
        <c:crossAx val="192183296"/>
        <c:crosses val="autoZero"/>
        <c:crossBetween val="between"/>
      </c:valAx>
      <c:spPr>
        <a:ln>
          <a:solidFill>
            <a:srgbClr val="A6A6A6"/>
          </a:solidFill>
        </a:ln>
      </c:spPr>
    </c:plotArea>
    <c:legend>
      <c:legendPos val="t"/>
      <c:layout>
        <c:manualLayout>
          <c:xMode val="edge"/>
          <c:yMode val="edge"/>
          <c:x val="3.3981481481481481E-2"/>
          <c:y val="0.74814722222222252"/>
          <c:w val="0.92353455284552843"/>
          <c:h val="0.14601904761904771"/>
        </c:manualLayout>
      </c:layout>
      <c:overlay val="0"/>
      <c:spPr>
        <a:ln>
          <a:solidFill>
            <a:schemeClr val="tx1">
              <a:tint val="75000"/>
              <a:shade val="95000"/>
              <a:satMod val="105000"/>
            </a:schemeClr>
          </a:solidFill>
        </a:ln>
      </c:spPr>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C</a:t>
            </a:r>
            <a:r>
              <a:rPr lang="cs-CZ" sz="800"/>
              <a:t>8</a:t>
            </a:r>
            <a:r>
              <a:rPr lang="en-US" sz="800"/>
              <a:t> Jednotlivci v zemích EU </a:t>
            </a:r>
            <a:r>
              <a:rPr lang="cs-CZ" sz="800"/>
              <a:t>ve věku 16 až 74 let, kteří nikdy nepoužili </a:t>
            </a:r>
            <a:r>
              <a:rPr lang="en-US" sz="800"/>
              <a:t>internet</a:t>
            </a:r>
            <a:r>
              <a:rPr lang="cs-CZ" sz="800"/>
              <a:t> </a:t>
            </a:r>
            <a:r>
              <a:rPr lang="en-US" sz="800"/>
              <a:t> (%)</a:t>
            </a:r>
            <a:r>
              <a:rPr lang="cs-CZ" sz="800"/>
              <a:t>*</a:t>
            </a:r>
            <a:endParaRPr lang="en-US" sz="800"/>
          </a:p>
        </c:rich>
      </c:tx>
      <c:layout/>
      <c:overlay val="0"/>
    </c:title>
    <c:autoTitleDeleted val="0"/>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C_CZ!$B$150</c:f>
              <c:strCache>
                <c:ptCount val="1"/>
                <c:pt idx="0">
                  <c:v> 2017</c:v>
                </c:pt>
              </c:strCache>
            </c:strRef>
          </c:tx>
          <c:spPr>
            <a:solidFill>
              <a:srgbClr val="009BB4"/>
            </a:solidFill>
            <a:ln>
              <a:noFill/>
            </a:ln>
          </c:spPr>
          <c:invertIfNegative val="0"/>
          <c:dPt>
            <c:idx val="8"/>
            <c:invertIfNegative val="0"/>
            <c:bubble3D val="0"/>
            <c:spPr>
              <a:solidFill>
                <a:srgbClr val="009BB4"/>
              </a:solidFill>
              <a:ln w="19050">
                <a:noFill/>
              </a:ln>
            </c:spPr>
          </c:dPt>
          <c:dPt>
            <c:idx val="11"/>
            <c:invertIfNegative val="0"/>
            <c:bubble3D val="0"/>
          </c:dPt>
          <c:dPt>
            <c:idx val="12"/>
            <c:invertIfNegative val="0"/>
            <c:bubble3D val="0"/>
          </c:dPt>
          <c:dPt>
            <c:idx val="13"/>
            <c:invertIfNegative val="0"/>
            <c:bubble3D val="0"/>
            <c:spPr>
              <a:solidFill>
                <a:srgbClr val="009BB4"/>
              </a:solidFill>
              <a:ln w="19050">
                <a:noFill/>
              </a:ln>
            </c:spPr>
          </c:dPt>
          <c:dPt>
            <c:idx val="16"/>
            <c:invertIfNegative val="0"/>
            <c:bubble3D val="0"/>
            <c:spPr>
              <a:solidFill>
                <a:srgbClr val="009BB4"/>
              </a:solidFill>
              <a:ln>
                <a:solidFill>
                  <a:srgbClr val="FF0000"/>
                </a:solidFill>
              </a:ln>
            </c:spPr>
          </c:dPt>
          <c:dPt>
            <c:idx val="17"/>
            <c:invertIfNegative val="0"/>
            <c:bubble3D val="0"/>
            <c:spPr>
              <a:solidFill>
                <a:srgbClr val="009BB4"/>
              </a:solidFill>
              <a:ln>
                <a:solidFill>
                  <a:srgbClr val="FF0000"/>
                </a:solidFill>
              </a:ln>
            </c:spPr>
          </c:dPt>
          <c:dLbls>
            <c:spPr>
              <a:solidFill>
                <a:schemeClr val="accent5">
                  <a:lumMod val="75000"/>
                  <a:alpha val="58000"/>
                </a:schemeClr>
              </a:solidFill>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showLeaderLines val="0"/>
          </c:dLbls>
          <c:cat>
            <c:strRef>
              <c:f>C_CZ!$A$151:$A$179</c:f>
              <c:strCache>
                <c:ptCount val="29"/>
                <c:pt idx="0">
                  <c:v>Bulharsko</c:v>
                </c:pt>
                <c:pt idx="1">
                  <c:v>Chorvatsko</c:v>
                </c:pt>
                <c:pt idx="2">
                  <c:v>Řecko</c:v>
                </c:pt>
                <c:pt idx="3">
                  <c:v>Rumunsko</c:v>
                </c:pt>
                <c:pt idx="4">
                  <c:v>Portugalsko</c:v>
                </c:pt>
                <c:pt idx="5">
                  <c:v>Itálie</c:v>
                </c:pt>
                <c:pt idx="6">
                  <c:v>Polsko</c:v>
                </c:pt>
                <c:pt idx="7">
                  <c:v>Litva</c:v>
                </c:pt>
                <c:pt idx="8">
                  <c:v>Malta</c:v>
                </c:pt>
                <c:pt idx="9">
                  <c:v>Kypr</c:v>
                </c:pt>
                <c:pt idx="10">
                  <c:v>Slovinsko</c:v>
                </c:pt>
                <c:pt idx="11">
                  <c:v>Maďarsko</c:v>
                </c:pt>
                <c:pt idx="12">
                  <c:v>Irsko</c:v>
                </c:pt>
                <c:pt idx="13">
                  <c:v>Lotyšsko</c:v>
                </c:pt>
                <c:pt idx="14">
                  <c:v>Slovensko</c:v>
                </c:pt>
                <c:pt idx="15">
                  <c:v>Španělsko</c:v>
                </c:pt>
                <c:pt idx="16">
                  <c:v>EU28</c:v>
                </c:pt>
                <c:pt idx="17">
                  <c:v>Česko</c:v>
                </c:pt>
                <c:pt idx="18">
                  <c:v>Francie</c:v>
                </c:pt>
                <c:pt idx="19">
                  <c:v>Belgie</c:v>
                </c:pt>
                <c:pt idx="20">
                  <c:v>Rakousko</c:v>
                </c:pt>
                <c:pt idx="21">
                  <c:v>Estonsko</c:v>
                </c:pt>
                <c:pt idx="22">
                  <c:v>Německo</c:v>
                </c:pt>
                <c:pt idx="23">
                  <c:v>Finsko</c:v>
                </c:pt>
                <c:pt idx="24">
                  <c:v>Velká Británie</c:v>
                </c:pt>
                <c:pt idx="25">
                  <c:v>Nizozemsko</c:v>
                </c:pt>
                <c:pt idx="26">
                  <c:v>Švédsko</c:v>
                </c:pt>
                <c:pt idx="27">
                  <c:v>Lucembursko</c:v>
                </c:pt>
                <c:pt idx="28">
                  <c:v>Dánsko</c:v>
                </c:pt>
              </c:strCache>
            </c:strRef>
          </c:cat>
          <c:val>
            <c:numRef>
              <c:f>C_CZ!$B$151:$B$179</c:f>
              <c:numCache>
                <c:formatCode>0%</c:formatCode>
                <c:ptCount val="29"/>
                <c:pt idx="0">
                  <c:v>0.302869</c:v>
                </c:pt>
                <c:pt idx="1">
                  <c:v>0.28382800000000002</c:v>
                </c:pt>
                <c:pt idx="2">
                  <c:v>0.28331499999999998</c:v>
                </c:pt>
                <c:pt idx="3">
                  <c:v>0.26544800000000002</c:v>
                </c:pt>
                <c:pt idx="4">
                  <c:v>0.22340699999999999</c:v>
                </c:pt>
                <c:pt idx="5">
                  <c:v>0.223188</c:v>
                </c:pt>
                <c:pt idx="6">
                  <c:v>0.19620299999999999</c:v>
                </c:pt>
                <c:pt idx="7">
                  <c:v>0.19294</c:v>
                </c:pt>
                <c:pt idx="8">
                  <c:v>0.18510099999999999</c:v>
                </c:pt>
                <c:pt idx="9">
                  <c:v>0.177924</c:v>
                </c:pt>
                <c:pt idx="10">
                  <c:v>0.17618</c:v>
                </c:pt>
                <c:pt idx="11">
                  <c:v>0.170436</c:v>
                </c:pt>
                <c:pt idx="12">
                  <c:v>0.15854299999999999</c:v>
                </c:pt>
                <c:pt idx="13">
                  <c:v>0.15826899999999999</c:v>
                </c:pt>
                <c:pt idx="14">
                  <c:v>0.14039699999999999</c:v>
                </c:pt>
                <c:pt idx="15">
                  <c:v>0.14005500000000001</c:v>
                </c:pt>
                <c:pt idx="16">
                  <c:v>0.129411</c:v>
                </c:pt>
                <c:pt idx="17">
                  <c:v>0.111317</c:v>
                </c:pt>
                <c:pt idx="18">
                  <c:v>9.9696999999999994E-2</c:v>
                </c:pt>
                <c:pt idx="19">
                  <c:v>9.8399E-2</c:v>
                </c:pt>
                <c:pt idx="20">
                  <c:v>9.6312999999999996E-2</c:v>
                </c:pt>
                <c:pt idx="21">
                  <c:v>9.3261999999999998E-2</c:v>
                </c:pt>
                <c:pt idx="22">
                  <c:v>7.3690000000000005E-2</c:v>
                </c:pt>
                <c:pt idx="23">
                  <c:v>5.0634999999999999E-2</c:v>
                </c:pt>
                <c:pt idx="24">
                  <c:v>3.8980000000000001E-2</c:v>
                </c:pt>
                <c:pt idx="25">
                  <c:v>2.9555999999999999E-2</c:v>
                </c:pt>
                <c:pt idx="26">
                  <c:v>2.2523999999999999E-2</c:v>
                </c:pt>
                <c:pt idx="27">
                  <c:v>2.1722999999999999E-2</c:v>
                </c:pt>
                <c:pt idx="28">
                  <c:v>2.0310000000000002E-2</c:v>
                </c:pt>
              </c:numCache>
            </c:numRef>
          </c:val>
        </c:ser>
        <c:dLbls>
          <c:showLegendKey val="0"/>
          <c:showVal val="0"/>
          <c:showCatName val="0"/>
          <c:showSerName val="0"/>
          <c:showPercent val="0"/>
          <c:showBubbleSize val="0"/>
        </c:dLbls>
        <c:gapWidth val="40"/>
        <c:axId val="192926208"/>
        <c:axId val="187984128"/>
      </c:barChart>
      <c:barChart>
        <c:barDir val="col"/>
        <c:grouping val="clustered"/>
        <c:varyColors val="0"/>
        <c:ser>
          <c:idx val="1"/>
          <c:order val="1"/>
          <c:tx>
            <c:strRef>
              <c:f>C_CZ!$C$150</c:f>
              <c:strCache>
                <c:ptCount val="1"/>
                <c:pt idx="0">
                  <c:v> 2007</c:v>
                </c:pt>
              </c:strCache>
            </c:strRef>
          </c:tx>
          <c:spPr>
            <a:solidFill>
              <a:srgbClr val="47E5FF"/>
            </a:solidFill>
          </c:spPr>
          <c:invertIfNegative val="0"/>
          <c:dLbls>
            <c:dLbl>
              <c:idx val="0"/>
              <c:layout>
                <c:manualLayout>
                  <c:x val="2.0426709128487219E-3"/>
                  <c:y val="9.0154320987654316E-2"/>
                </c:manualLayout>
              </c:layout>
              <c:dLblPos val="outEnd"/>
              <c:showLegendKey val="0"/>
              <c:showVal val="1"/>
              <c:showCatName val="0"/>
              <c:showSerName val="0"/>
              <c:showPercent val="0"/>
              <c:showBubbleSize val="0"/>
            </c:dLbl>
            <c:dLbl>
              <c:idx val="2"/>
              <c:layout>
                <c:manualLayout>
                  <c:x val="-1.8724267063449029E-17"/>
                  <c:y val="5.4876543209876526E-2"/>
                </c:manualLayout>
              </c:layout>
              <c:dLblPos val="outEnd"/>
              <c:showLegendKey val="0"/>
              <c:showVal val="1"/>
              <c:showCatName val="0"/>
              <c:showSerName val="0"/>
              <c:showPercent val="0"/>
              <c:showBubbleSize val="0"/>
            </c:dLbl>
            <c:dLbl>
              <c:idx val="3"/>
              <c:layout>
                <c:manualLayout>
                  <c:x val="0"/>
                  <c:y val="0.11759259259259261"/>
                </c:manualLayout>
              </c:layout>
              <c:dLblPos val="outEnd"/>
              <c:showLegendKey val="0"/>
              <c:showVal val="1"/>
              <c:showCatName val="0"/>
              <c:showSerName val="0"/>
              <c:showPercent val="0"/>
              <c:showBubbleSize val="0"/>
            </c:dLbl>
            <c:txPr>
              <a:bodyPr rot="-5400000" vert="horz"/>
              <a:lstStyle/>
              <a:p>
                <a:pPr>
                  <a:defRPr b="1"/>
                </a:pPr>
                <a:endParaRPr lang="cs-CZ"/>
              </a:p>
            </c:txPr>
            <c:dLblPos val="outEnd"/>
            <c:showLegendKey val="0"/>
            <c:showVal val="1"/>
            <c:showCatName val="0"/>
            <c:showSerName val="0"/>
            <c:showPercent val="0"/>
            <c:showBubbleSize val="0"/>
            <c:showLeaderLines val="0"/>
          </c:dLbls>
          <c:cat>
            <c:strRef>
              <c:f>C_CZ!$A$151:$A$179</c:f>
              <c:strCache>
                <c:ptCount val="29"/>
                <c:pt idx="0">
                  <c:v>Bulharsko</c:v>
                </c:pt>
                <c:pt idx="1">
                  <c:v>Chorvatsko</c:v>
                </c:pt>
                <c:pt idx="2">
                  <c:v>Řecko</c:v>
                </c:pt>
                <c:pt idx="3">
                  <c:v>Rumunsko</c:v>
                </c:pt>
                <c:pt idx="4">
                  <c:v>Portugalsko</c:v>
                </c:pt>
                <c:pt idx="5">
                  <c:v>Itálie</c:v>
                </c:pt>
                <c:pt idx="6">
                  <c:v>Polsko</c:v>
                </c:pt>
                <c:pt idx="7">
                  <c:v>Litva</c:v>
                </c:pt>
                <c:pt idx="8">
                  <c:v>Malta</c:v>
                </c:pt>
                <c:pt idx="9">
                  <c:v>Kypr</c:v>
                </c:pt>
                <c:pt idx="10">
                  <c:v>Slovinsko</c:v>
                </c:pt>
                <c:pt idx="11">
                  <c:v>Maďarsko</c:v>
                </c:pt>
                <c:pt idx="12">
                  <c:v>Irsko</c:v>
                </c:pt>
                <c:pt idx="13">
                  <c:v>Lotyšsko</c:v>
                </c:pt>
                <c:pt idx="14">
                  <c:v>Slovensko</c:v>
                </c:pt>
                <c:pt idx="15">
                  <c:v>Španělsko</c:v>
                </c:pt>
                <c:pt idx="16">
                  <c:v>EU28</c:v>
                </c:pt>
                <c:pt idx="17">
                  <c:v>Česko</c:v>
                </c:pt>
                <c:pt idx="18">
                  <c:v>Francie</c:v>
                </c:pt>
                <c:pt idx="19">
                  <c:v>Belgie</c:v>
                </c:pt>
                <c:pt idx="20">
                  <c:v>Rakousko</c:v>
                </c:pt>
                <c:pt idx="21">
                  <c:v>Estonsko</c:v>
                </c:pt>
                <c:pt idx="22">
                  <c:v>Německo</c:v>
                </c:pt>
                <c:pt idx="23">
                  <c:v>Finsko</c:v>
                </c:pt>
                <c:pt idx="24">
                  <c:v>Velká Británie</c:v>
                </c:pt>
                <c:pt idx="25">
                  <c:v>Nizozemsko</c:v>
                </c:pt>
                <c:pt idx="26">
                  <c:v>Švédsko</c:v>
                </c:pt>
                <c:pt idx="27">
                  <c:v>Lucembursko</c:v>
                </c:pt>
                <c:pt idx="28">
                  <c:v>Dánsko</c:v>
                </c:pt>
              </c:strCache>
            </c:strRef>
          </c:cat>
          <c:val>
            <c:numRef>
              <c:f>C_CZ!$C$151:$C$179</c:f>
              <c:numCache>
                <c:formatCode>0%</c:formatCode>
                <c:ptCount val="29"/>
                <c:pt idx="0">
                  <c:v>0.64553000000000005</c:v>
                </c:pt>
                <c:pt idx="1">
                  <c:v>0.555786</c:v>
                </c:pt>
                <c:pt idx="2">
                  <c:v>0.61682800000000004</c:v>
                </c:pt>
                <c:pt idx="3">
                  <c:v>0.691855</c:v>
                </c:pt>
                <c:pt idx="4">
                  <c:v>0.55618199999999995</c:v>
                </c:pt>
                <c:pt idx="5">
                  <c:v>0.540188</c:v>
                </c:pt>
                <c:pt idx="6">
                  <c:v>0.47837800000000003</c:v>
                </c:pt>
                <c:pt idx="7">
                  <c:v>0.48675800000000002</c:v>
                </c:pt>
                <c:pt idx="8">
                  <c:v>0.51112800000000003</c:v>
                </c:pt>
                <c:pt idx="9">
                  <c:v>0.56422600000000001</c:v>
                </c:pt>
                <c:pt idx="10">
                  <c:v>0.394563</c:v>
                </c:pt>
                <c:pt idx="11">
                  <c:v>0.46038800000000002</c:v>
                </c:pt>
                <c:pt idx="12">
                  <c:v>0.34989900000000002</c:v>
                </c:pt>
                <c:pt idx="13">
                  <c:v>0.39075300000000002</c:v>
                </c:pt>
                <c:pt idx="14">
                  <c:v>0.35005399999999998</c:v>
                </c:pt>
                <c:pt idx="15">
                  <c:v>0.43190800000000001</c:v>
                </c:pt>
                <c:pt idx="16">
                  <c:v>0.374361</c:v>
                </c:pt>
                <c:pt idx="17">
                  <c:v>0.45507300000000001</c:v>
                </c:pt>
                <c:pt idx="18">
                  <c:v>0.33519599999999999</c:v>
                </c:pt>
                <c:pt idx="19">
                  <c:v>0.28534500000000002</c:v>
                </c:pt>
                <c:pt idx="20">
                  <c:v>0.28091500000000003</c:v>
                </c:pt>
                <c:pt idx="21">
                  <c:v>0.32233299999999998</c:v>
                </c:pt>
                <c:pt idx="22">
                  <c:v>0.23188300000000001</c:v>
                </c:pt>
                <c:pt idx="23">
                  <c:v>0.167126</c:v>
                </c:pt>
                <c:pt idx="24">
                  <c:v>0.22103</c:v>
                </c:pt>
                <c:pt idx="25">
                  <c:v>0.12565299999999999</c:v>
                </c:pt>
                <c:pt idx="26">
                  <c:v>0.14791199999999999</c:v>
                </c:pt>
                <c:pt idx="27">
                  <c:v>0.20055799999999999</c:v>
                </c:pt>
                <c:pt idx="28">
                  <c:v>0.122695</c:v>
                </c:pt>
              </c:numCache>
            </c:numRef>
          </c:val>
        </c:ser>
        <c:dLbls>
          <c:showLegendKey val="0"/>
          <c:showVal val="0"/>
          <c:showCatName val="0"/>
          <c:showSerName val="0"/>
          <c:showPercent val="0"/>
          <c:showBubbleSize val="0"/>
        </c:dLbls>
        <c:gapWidth val="305"/>
        <c:axId val="192929280"/>
        <c:axId val="187984704"/>
      </c:barChart>
      <c:catAx>
        <c:axId val="192926208"/>
        <c:scaling>
          <c:orientation val="minMax"/>
        </c:scaling>
        <c:delete val="0"/>
        <c:axPos val="b"/>
        <c:majorTickMark val="out"/>
        <c:minorTickMark val="none"/>
        <c:tickLblPos val="nextTo"/>
        <c:spPr>
          <a:ln>
            <a:solidFill>
              <a:schemeClr val="tx1"/>
            </a:solidFill>
          </a:ln>
        </c:spPr>
        <c:crossAx val="187984128"/>
        <c:crosses val="autoZero"/>
        <c:auto val="1"/>
        <c:lblAlgn val="ctr"/>
        <c:lblOffset val="100"/>
        <c:noMultiLvlLbl val="0"/>
      </c:catAx>
      <c:valAx>
        <c:axId val="187984128"/>
        <c:scaling>
          <c:orientation val="minMax"/>
          <c:max val="0.70000000000000051"/>
          <c:min val="0"/>
        </c:scaling>
        <c:delete val="1"/>
        <c:axPos val="l"/>
        <c:numFmt formatCode="0%" sourceLinked="1"/>
        <c:majorTickMark val="out"/>
        <c:minorTickMark val="none"/>
        <c:tickLblPos val="nextTo"/>
        <c:crossAx val="192926208"/>
        <c:crosses val="autoZero"/>
        <c:crossBetween val="between"/>
        <c:majorUnit val="0.1"/>
        <c:minorUnit val="5.0000000000000024E-2"/>
      </c:valAx>
      <c:valAx>
        <c:axId val="187984704"/>
        <c:scaling>
          <c:orientation val="minMax"/>
          <c:max val="0.70000000000000051"/>
        </c:scaling>
        <c:delete val="0"/>
        <c:axPos val="r"/>
        <c:numFmt formatCode="0%" sourceLinked="1"/>
        <c:majorTickMark val="none"/>
        <c:minorTickMark val="none"/>
        <c:tickLblPos val="none"/>
        <c:crossAx val="192929280"/>
        <c:crosses val="max"/>
        <c:crossBetween val="between"/>
        <c:majorUnit val="0.1"/>
      </c:valAx>
      <c:catAx>
        <c:axId val="192929280"/>
        <c:scaling>
          <c:orientation val="minMax"/>
        </c:scaling>
        <c:delete val="1"/>
        <c:axPos val="b"/>
        <c:majorTickMark val="out"/>
        <c:minorTickMark val="none"/>
        <c:tickLblPos val="none"/>
        <c:crossAx val="187984704"/>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7934650614811771"/>
          <c:y val="0.13253055555555557"/>
          <c:w val="6.9586721030664239E-2"/>
          <c:h val="0.1163820987654321"/>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i="0" baseline="0">
                <a:effectLst/>
              </a:rPr>
              <a:t>Graf C9 Jednotlivci  </a:t>
            </a:r>
            <a:r>
              <a:rPr lang="cs-CZ" sz="800" b="1" i="0" u="none" strike="noStrike" baseline="0">
                <a:effectLst/>
              </a:rPr>
              <a:t>v  Česku  ve věku </a:t>
            </a:r>
            <a:r>
              <a:rPr lang="cs-CZ" sz="800" b="1" i="0" baseline="0">
                <a:effectLst/>
              </a:rPr>
              <a:t>16 let </a:t>
            </a: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i="0" baseline="0">
                <a:effectLst/>
              </a:rPr>
              <a:t>a starší používající internet na mobilním telefonu</a:t>
            </a:r>
            <a:endParaRPr lang="en-US" sz="800" b="1"/>
          </a:p>
        </c:rich>
      </c:tx>
      <c:layout>
        <c:manualLayout>
          <c:xMode val="edge"/>
          <c:yMode val="edge"/>
          <c:x val="0.13270223577235787"/>
          <c:y val="1.8814814814814822E-2"/>
        </c:manualLayout>
      </c:layout>
      <c:overlay val="1"/>
    </c:title>
    <c:autoTitleDeleted val="0"/>
    <c:plotArea>
      <c:layout>
        <c:manualLayout>
          <c:layoutTarget val="inner"/>
          <c:xMode val="edge"/>
          <c:yMode val="edge"/>
          <c:x val="1.3813516798106587E-2"/>
          <c:y val="0.14864012345679012"/>
          <c:w val="0.95657723577235776"/>
          <c:h val="0.68442716049382712"/>
        </c:manualLayout>
      </c:layout>
      <c:barChart>
        <c:barDir val="col"/>
        <c:grouping val="clustered"/>
        <c:varyColors val="0"/>
        <c:ser>
          <c:idx val="2"/>
          <c:order val="0"/>
          <c:tx>
            <c:strRef>
              <c:f>C_CZ!$A$184</c:f>
              <c:strCache>
                <c:ptCount val="1"/>
                <c:pt idx="0">
                  <c:v> miliony jednotlivců</c:v>
                </c:pt>
              </c:strCache>
            </c:strRef>
          </c:tx>
          <c:spPr>
            <a:solidFill>
              <a:srgbClr val="009BB4"/>
            </a:solidFill>
            <a:ln w="25400">
              <a:noFill/>
            </a:ln>
          </c:spPr>
          <c:invertIfNegative val="0"/>
          <c:dLbls>
            <c:dLbl>
              <c:idx val="0"/>
              <c:layout>
                <c:manualLayout>
                  <c:x val="0"/>
                  <c:y val="5.827254428341385E-2"/>
                </c:manualLayout>
              </c:layout>
              <c:dLblPos val="outEnd"/>
              <c:showLegendKey val="0"/>
              <c:showVal val="1"/>
              <c:showCatName val="0"/>
              <c:showSerName val="0"/>
              <c:showPercent val="0"/>
              <c:showBubbleSize val="0"/>
            </c:dLbl>
            <c:numFmt formatCode="#,##0.0" sourceLinked="0"/>
            <c:txPr>
              <a:bodyPr/>
              <a:lstStyle/>
              <a:p>
                <a:pPr>
                  <a:defRPr b="1">
                    <a:solidFill>
                      <a:schemeClr val="bg1"/>
                    </a:solidFill>
                  </a:defRPr>
                </a:pPr>
                <a:endParaRPr lang="cs-CZ"/>
              </a:p>
            </c:txPr>
            <c:dLblPos val="inEnd"/>
            <c:showLegendKey val="0"/>
            <c:showVal val="1"/>
            <c:showCatName val="0"/>
            <c:showSerName val="0"/>
            <c:showPercent val="0"/>
            <c:showBubbleSize val="0"/>
            <c:showLeaderLines val="0"/>
          </c:dLbls>
          <c:cat>
            <c:numRef>
              <c:f>C_CZ!$B$183:$G$183</c:f>
              <c:numCache>
                <c:formatCode>0</c:formatCode>
                <c:ptCount val="6"/>
                <c:pt idx="0">
                  <c:v>2012</c:v>
                </c:pt>
                <c:pt idx="1">
                  <c:v>2013</c:v>
                </c:pt>
                <c:pt idx="2">
                  <c:v>2014</c:v>
                </c:pt>
                <c:pt idx="3">
                  <c:v>2015</c:v>
                </c:pt>
                <c:pt idx="4">
                  <c:v>2016</c:v>
                </c:pt>
                <c:pt idx="5">
                  <c:v>2017</c:v>
                </c:pt>
              </c:numCache>
            </c:numRef>
          </c:cat>
          <c:val>
            <c:numRef>
              <c:f>C_CZ!$B$184:$G$184</c:f>
              <c:numCache>
                <c:formatCode>#,##0.0</c:formatCode>
                <c:ptCount val="6"/>
                <c:pt idx="0">
                  <c:v>1.1625717485573153</c:v>
                </c:pt>
                <c:pt idx="1">
                  <c:v>1.8335368516685193</c:v>
                </c:pt>
                <c:pt idx="2">
                  <c:v>2.49587439</c:v>
                </c:pt>
                <c:pt idx="3">
                  <c:v>3.246</c:v>
                </c:pt>
                <c:pt idx="4">
                  <c:v>3.6131000000000002</c:v>
                </c:pt>
                <c:pt idx="5" formatCode="0.0">
                  <c:v>4.40986728133824</c:v>
                </c:pt>
              </c:numCache>
            </c:numRef>
          </c:val>
        </c:ser>
        <c:dLbls>
          <c:showLegendKey val="0"/>
          <c:showVal val="0"/>
          <c:showCatName val="0"/>
          <c:showSerName val="0"/>
          <c:showPercent val="0"/>
          <c:showBubbleSize val="0"/>
        </c:dLbls>
        <c:gapWidth val="50"/>
        <c:axId val="192928256"/>
        <c:axId val="187987008"/>
      </c:barChart>
      <c:lineChart>
        <c:grouping val="standard"/>
        <c:varyColors val="0"/>
        <c:ser>
          <c:idx val="0"/>
          <c:order val="1"/>
          <c:tx>
            <c:strRef>
              <c:f>C_CZ!$A$185</c:f>
              <c:strCache>
                <c:ptCount val="1"/>
                <c:pt idx="0">
                  <c:v>  % uživatelů internetu</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5.6513347763347772E-2"/>
                  <c:y val="-5.9531652639917193E-2"/>
                </c:manualLayout>
              </c:layout>
              <c:dLblPos val="r"/>
              <c:showLegendKey val="0"/>
              <c:showVal val="1"/>
              <c:showCatName val="0"/>
              <c:showSerName val="0"/>
              <c:showPercent val="0"/>
              <c:showBubbleSize val="0"/>
            </c:dLbl>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C_CZ!$B$183:$G$183</c:f>
              <c:numCache>
                <c:formatCode>0</c:formatCode>
                <c:ptCount val="6"/>
                <c:pt idx="0">
                  <c:v>2012</c:v>
                </c:pt>
                <c:pt idx="1">
                  <c:v>2013</c:v>
                </c:pt>
                <c:pt idx="2">
                  <c:v>2014</c:v>
                </c:pt>
                <c:pt idx="3">
                  <c:v>2015</c:v>
                </c:pt>
                <c:pt idx="4">
                  <c:v>2016</c:v>
                </c:pt>
                <c:pt idx="5">
                  <c:v>2017</c:v>
                </c:pt>
              </c:numCache>
            </c:numRef>
          </c:cat>
          <c:val>
            <c:numRef>
              <c:f>C_CZ!$B$185:$G$185</c:f>
              <c:numCache>
                <c:formatCode>0.0%</c:formatCode>
                <c:ptCount val="6"/>
                <c:pt idx="0">
                  <c:v>0.1884910435157075</c:v>
                </c:pt>
                <c:pt idx="1">
                  <c:v>0.30318829573653888</c:v>
                </c:pt>
                <c:pt idx="2">
                  <c:v>0.38393294956565399</c:v>
                </c:pt>
                <c:pt idx="3">
                  <c:v>0.48896897442146958</c:v>
                </c:pt>
                <c:pt idx="4">
                  <c:v>0.53888259157618423</c:v>
                </c:pt>
                <c:pt idx="5">
                  <c:v>0.63988756448894324</c:v>
                </c:pt>
              </c:numCache>
            </c:numRef>
          </c:val>
          <c:smooth val="0"/>
        </c:ser>
        <c:ser>
          <c:idx val="1"/>
          <c:order val="2"/>
          <c:tx>
            <c:strRef>
              <c:f>C_CZ!$A$186</c:f>
              <c:strCache>
                <c:ptCount val="1"/>
                <c:pt idx="0">
                  <c:v>  % jednotlivců celkem</c:v>
                </c:pt>
              </c:strCache>
            </c:strRef>
          </c:tx>
          <c:spPr>
            <a:ln w="19050">
              <a:solidFill>
                <a:srgbClr val="007D92"/>
              </a:solidFill>
            </a:ln>
          </c:spPr>
          <c:marker>
            <c:symbol val="circle"/>
            <c:size val="4"/>
            <c:spPr>
              <a:solidFill>
                <a:srgbClr val="47E5FF"/>
              </a:solidFill>
              <a:ln>
                <a:solidFill>
                  <a:srgbClr val="007D92"/>
                </a:solidFill>
              </a:ln>
            </c:spPr>
          </c:marker>
          <c:dLbls>
            <c:numFmt formatCode="0%" sourceLinked="0"/>
            <c:txPr>
              <a:bodyPr/>
              <a:lstStyle/>
              <a:p>
                <a:pPr>
                  <a:defRPr b="1" i="1"/>
                </a:pPr>
                <a:endParaRPr lang="cs-CZ"/>
              </a:p>
            </c:txPr>
            <c:dLblPos val="t"/>
            <c:showLegendKey val="0"/>
            <c:showVal val="1"/>
            <c:showCatName val="0"/>
            <c:showSerName val="0"/>
            <c:showPercent val="0"/>
            <c:showBubbleSize val="0"/>
            <c:showLeaderLines val="0"/>
          </c:dLbls>
          <c:cat>
            <c:numRef>
              <c:f>C_CZ!$B$183:$G$183</c:f>
              <c:numCache>
                <c:formatCode>0</c:formatCode>
                <c:ptCount val="6"/>
                <c:pt idx="0">
                  <c:v>2012</c:v>
                </c:pt>
                <c:pt idx="1">
                  <c:v>2013</c:v>
                </c:pt>
                <c:pt idx="2">
                  <c:v>2014</c:v>
                </c:pt>
                <c:pt idx="3">
                  <c:v>2015</c:v>
                </c:pt>
                <c:pt idx="4">
                  <c:v>2016</c:v>
                </c:pt>
                <c:pt idx="5">
                  <c:v>2017</c:v>
                </c:pt>
              </c:numCache>
            </c:numRef>
          </c:cat>
          <c:val>
            <c:numRef>
              <c:f>C_CZ!$B$186:$G$186</c:f>
              <c:numCache>
                <c:formatCode>0.0%</c:formatCode>
                <c:ptCount val="6"/>
                <c:pt idx="0">
                  <c:v>0.13100000000000001</c:v>
                </c:pt>
                <c:pt idx="1">
                  <c:v>0.20699999999999999</c:v>
                </c:pt>
                <c:pt idx="2">
                  <c:v>0.28499999999999998</c:v>
                </c:pt>
                <c:pt idx="3">
                  <c:v>0.37</c:v>
                </c:pt>
                <c:pt idx="4">
                  <c:v>0.41199999999999998</c:v>
                </c:pt>
                <c:pt idx="5">
                  <c:v>0.50371415082770499</c:v>
                </c:pt>
              </c:numCache>
            </c:numRef>
          </c:val>
          <c:smooth val="0"/>
        </c:ser>
        <c:dLbls>
          <c:showLegendKey val="0"/>
          <c:showVal val="0"/>
          <c:showCatName val="0"/>
          <c:showSerName val="0"/>
          <c:showPercent val="0"/>
          <c:showBubbleSize val="0"/>
        </c:dLbls>
        <c:marker val="1"/>
        <c:smooth val="0"/>
        <c:axId val="192927744"/>
        <c:axId val="187987584"/>
      </c:lineChart>
      <c:catAx>
        <c:axId val="192928256"/>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cs-CZ"/>
          </a:p>
        </c:txPr>
        <c:crossAx val="187987008"/>
        <c:crosses val="autoZero"/>
        <c:auto val="1"/>
        <c:lblAlgn val="ctr"/>
        <c:lblOffset val="140"/>
        <c:tickLblSkip val="1"/>
        <c:tickMarkSkip val="1"/>
        <c:noMultiLvlLbl val="0"/>
      </c:catAx>
      <c:valAx>
        <c:axId val="187987008"/>
        <c:scaling>
          <c:orientation val="minMax"/>
          <c:max val="7"/>
          <c:min val="0"/>
        </c:scaling>
        <c:delete val="0"/>
        <c:axPos val="l"/>
        <c:majorGridlines>
          <c:spPr>
            <a:ln w="12700">
              <a:noFill/>
              <a:prstDash val="dash"/>
            </a:ln>
          </c:spPr>
        </c:majorGridlines>
        <c:numFmt formatCode="#,##0.0" sourceLinked="1"/>
        <c:majorTickMark val="none"/>
        <c:minorTickMark val="none"/>
        <c:tickLblPos val="none"/>
        <c:spPr>
          <a:ln w="9525">
            <a:noFill/>
          </a:ln>
        </c:spPr>
        <c:crossAx val="192928256"/>
        <c:crosses val="autoZero"/>
        <c:crossBetween val="between"/>
        <c:majorUnit val="1"/>
        <c:minorUnit val="2.0000000000000011E-2"/>
      </c:valAx>
      <c:catAx>
        <c:axId val="192927744"/>
        <c:scaling>
          <c:orientation val="minMax"/>
        </c:scaling>
        <c:delete val="1"/>
        <c:axPos val="b"/>
        <c:numFmt formatCode="0" sourceLinked="1"/>
        <c:majorTickMark val="out"/>
        <c:minorTickMark val="none"/>
        <c:tickLblPos val="none"/>
        <c:crossAx val="187987584"/>
        <c:crosses val="autoZero"/>
        <c:auto val="1"/>
        <c:lblAlgn val="ctr"/>
        <c:lblOffset val="100"/>
        <c:noMultiLvlLbl val="0"/>
      </c:catAx>
      <c:valAx>
        <c:axId val="187987584"/>
        <c:scaling>
          <c:orientation val="minMax"/>
          <c:max val="0.75000000000000056"/>
          <c:min val="0"/>
        </c:scaling>
        <c:delete val="0"/>
        <c:axPos val="r"/>
        <c:numFmt formatCode="0.0%" sourceLinked="1"/>
        <c:majorTickMark val="none"/>
        <c:minorTickMark val="none"/>
        <c:tickLblPos val="none"/>
        <c:spPr>
          <a:ln>
            <a:solidFill>
              <a:schemeClr val="bg1">
                <a:lumMod val="65000"/>
              </a:schemeClr>
            </a:solidFill>
          </a:ln>
        </c:spPr>
        <c:crossAx val="192927744"/>
        <c:crosses val="max"/>
        <c:crossBetween val="between"/>
        <c:majorUnit val="5.0000000000000024E-2"/>
        <c:minorUnit val="1.0000000000000005E-2"/>
      </c:valAx>
      <c:spPr>
        <a:noFill/>
        <a:ln w="12700">
          <a:solidFill>
            <a:srgbClr val="A6A6A6"/>
          </a:solidFill>
          <a:prstDash val="solid"/>
        </a:ln>
      </c:spPr>
    </c:plotArea>
    <c:legend>
      <c:legendPos val="l"/>
      <c:legendEntry>
        <c:idx val="1"/>
        <c:txPr>
          <a:bodyPr/>
          <a:lstStyle/>
          <a:p>
            <a:pPr>
              <a:defRPr i="0"/>
            </a:pPr>
            <a:endParaRPr lang="cs-CZ"/>
          </a:p>
        </c:txPr>
      </c:legendEntry>
      <c:legendEntry>
        <c:idx val="2"/>
        <c:txPr>
          <a:bodyPr/>
          <a:lstStyle/>
          <a:p>
            <a:pPr>
              <a:defRPr i="0"/>
            </a:pPr>
            <a:endParaRPr lang="cs-CZ"/>
          </a:p>
        </c:txPr>
      </c:legendEntry>
      <c:layout>
        <c:manualLayout>
          <c:xMode val="edge"/>
          <c:yMode val="edge"/>
          <c:x val="2.7864159891598923E-2"/>
          <c:y val="0.16177283950617286"/>
          <c:w val="0.49152845528455286"/>
          <c:h val="0.17655152979066022"/>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0.86019</cdr:y>
    </cdr:from>
    <cdr:to>
      <cdr:x>0.98534</cdr:x>
      <cdr:y>0.9181</cdr:y>
    </cdr:to>
    <cdr:sp macro="" textlink="">
      <cdr:nvSpPr>
        <cdr:cNvPr id="2" name="TextovéPole 1"/>
        <cdr:cNvSpPr txBox="1"/>
      </cdr:nvSpPr>
      <cdr:spPr>
        <a:xfrm xmlns:a="http://schemas.openxmlformats.org/drawingml/2006/main">
          <a:off x="0" y="3096666"/>
          <a:ext cx="2979668" cy="2085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 počtu jednotlivců </a:t>
          </a:r>
          <a:r>
            <a:rPr lang="cs-CZ" sz="800" baseline="0">
              <a:latin typeface="Arial" panose="020B0604020202020204" pitchFamily="34" charset="0"/>
              <a:cs typeface="Arial" panose="020B0604020202020204" pitchFamily="34" charset="0"/>
            </a:rPr>
            <a:t>v dané skupině</a:t>
          </a: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0.879</cdr:y>
    </cdr:from>
    <cdr:to>
      <cdr:x>0.78132</cdr:x>
      <cdr:y>0.96132</cdr:y>
    </cdr:to>
    <cdr:sp macro="" textlink="">
      <cdr:nvSpPr>
        <cdr:cNvPr id="4" name="TextovéPole 1"/>
        <cdr:cNvSpPr txBox="1"/>
      </cdr:nvSpPr>
      <cdr:spPr>
        <a:xfrm xmlns:a="http://schemas.openxmlformats.org/drawingml/2006/main">
          <a:off x="127020" y="2847976"/>
          <a:ext cx="473073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jednotlivců ve věku 16 až 74 let v dané zemi</a:t>
          </a:r>
        </a:p>
      </cdr:txBody>
    </cdr:sp>
  </cdr:relSizeAnchor>
  <cdr:relSizeAnchor xmlns:cdr="http://schemas.openxmlformats.org/drawingml/2006/chartDrawing">
    <cdr:from>
      <cdr:x>0.05741</cdr:x>
      <cdr:y>0.01836</cdr:y>
    </cdr:from>
    <cdr:to>
      <cdr:x>0.97119</cdr:x>
      <cdr:y>0.08264</cdr:y>
    </cdr:to>
    <cdr:sp macro="" textlink="">
      <cdr:nvSpPr>
        <cdr:cNvPr id="3" name="Textové pole 2"/>
        <cdr:cNvSpPr txBox="1"/>
      </cdr:nvSpPr>
      <cdr:spPr>
        <a:xfrm xmlns:a="http://schemas.openxmlformats.org/drawingml/2006/main">
          <a:off x="342900" y="57150"/>
          <a:ext cx="54578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800"/>
            <a:t>Graf C</a:t>
          </a:r>
          <a:r>
            <a:rPr lang="cs-CZ" sz="800"/>
            <a:t>11</a:t>
          </a:r>
          <a:r>
            <a:rPr lang="en-US" sz="800"/>
            <a:t> Jednotlivci v zemích EU </a:t>
          </a:r>
          <a:r>
            <a:rPr lang="cs-CZ" sz="800"/>
            <a:t>ve věku 16 až 74 let </a:t>
          </a:r>
          <a:r>
            <a:rPr lang="en-US" sz="800"/>
            <a:t>používající internet</a:t>
          </a:r>
          <a:r>
            <a:rPr lang="cs-CZ" sz="800"/>
            <a:t> na mobilním telefonu </a:t>
          </a:r>
          <a:r>
            <a:rPr lang="en-US" sz="800"/>
            <a:t> (%)</a:t>
          </a:r>
          <a:r>
            <a:rPr lang="cs-CZ" sz="800"/>
            <a:t>*</a:t>
          </a:r>
          <a:endParaRPr lang="en-US" sz="800"/>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0.92193</cdr:y>
    </cdr:from>
    <cdr:to>
      <cdr:x>1</cdr:x>
      <cdr:y>1</cdr:y>
    </cdr:to>
    <cdr:sp macro="" textlink="">
      <cdr:nvSpPr>
        <cdr:cNvPr id="2" name="TextovéPole 1"/>
        <cdr:cNvSpPr txBox="1"/>
      </cdr:nvSpPr>
      <cdr:spPr>
        <a:xfrm xmlns:a="http://schemas.openxmlformats.org/drawingml/2006/main">
          <a:off x="0" y="2924201"/>
          <a:ext cx="2809875" cy="2476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0.0294</cdr:x>
      <cdr:y>0</cdr:y>
    </cdr:from>
    <cdr:to>
      <cdr:x>0.95551</cdr:x>
      <cdr:y>0.14406</cdr:y>
    </cdr:to>
    <cdr:sp macro="" textlink="">
      <cdr:nvSpPr>
        <cdr:cNvPr id="2" name="Textové pole 1"/>
        <cdr:cNvSpPr txBox="1"/>
      </cdr:nvSpPr>
      <cdr:spPr>
        <a:xfrm xmlns:a="http://schemas.openxmlformats.org/drawingml/2006/main">
          <a:off x="95249" y="0"/>
          <a:ext cx="3000384"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800" b="1" i="0" u="none" strike="noStrike" kern="1200" baseline="0">
              <a:solidFill>
                <a:sysClr val="windowText" lastClr="000000"/>
              </a:solidFill>
              <a:latin typeface="Arial" pitchFamily="34" charset="0"/>
              <a:ea typeface="+mn-ea"/>
              <a:cs typeface="Arial" pitchFamily="34" charset="0"/>
            </a:defRPr>
          </a:pPr>
          <a:r>
            <a:rPr lang="cs-CZ" sz="800" b="1"/>
            <a:t>Graf C13 Jednotlivci v Česku používající pouze </a:t>
          </a:r>
        </a:p>
        <a:p xmlns:a="http://schemas.openxmlformats.org/drawingml/2006/main">
          <a:pPr algn="ctr" rtl="0">
            <a:defRPr sz="800" b="1" i="0" u="none" strike="noStrike" kern="1200" baseline="0">
              <a:solidFill>
                <a:sysClr val="windowText" lastClr="000000"/>
              </a:solidFill>
              <a:latin typeface="Arial" pitchFamily="34" charset="0"/>
              <a:ea typeface="+mn-ea"/>
              <a:cs typeface="Arial" pitchFamily="34" charset="0"/>
            </a:defRPr>
          </a:pPr>
          <a:r>
            <a:rPr lang="cs-CZ" sz="800" b="1"/>
            <a:t>Wi-Fi pro přístup k internetu na mobilu v roce 2017 (%)</a:t>
          </a:r>
          <a:endParaRPr lang="en-US" sz="800" b="1"/>
        </a:p>
        <a:p xmlns:a="http://schemas.openxmlformats.org/drawingml/2006/main">
          <a:endParaRPr lang="cs-CZ" sz="1100"/>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0.92193</cdr:y>
    </cdr:from>
    <cdr:to>
      <cdr:x>0.98538</cdr:x>
      <cdr:y>0.99162</cdr:y>
    </cdr:to>
    <cdr:sp macro="" textlink="">
      <cdr:nvSpPr>
        <cdr:cNvPr id="2" name="TextovéPole 1"/>
        <cdr:cNvSpPr txBox="1"/>
      </cdr:nvSpPr>
      <cdr:spPr>
        <a:xfrm xmlns:a="http://schemas.openxmlformats.org/drawingml/2006/main">
          <a:off x="0" y="2489200"/>
          <a:ext cx="2908848"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3361" y="2963968"/>
          <a:ext cx="2900676" cy="2476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0.02594</cdr:x>
      <cdr:y>0.8895</cdr:y>
    </cdr:from>
    <cdr:to>
      <cdr:x>0.97654</cdr:x>
      <cdr:y>0.97911</cdr:y>
    </cdr:to>
    <cdr:sp macro="" textlink="">
      <cdr:nvSpPr>
        <cdr:cNvPr id="2" name="TextovéPole 1"/>
        <cdr:cNvSpPr txBox="1"/>
      </cdr:nvSpPr>
      <cdr:spPr>
        <a:xfrm xmlns:a="http://schemas.openxmlformats.org/drawingml/2006/main">
          <a:off x="79375" y="2241550"/>
          <a:ext cx="2908842" cy="2257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0.66642</cdr:x>
      <cdr:y>0.973</cdr:y>
    </cdr:to>
    <cdr:sp macro="" textlink="">
      <cdr:nvSpPr>
        <cdr:cNvPr id="4" name="TextovéPole 1"/>
        <cdr:cNvSpPr txBox="1"/>
      </cdr:nvSpPr>
      <cdr:spPr>
        <a:xfrm xmlns:a="http://schemas.openxmlformats.org/drawingml/2006/main">
          <a:off x="127019" y="2908289"/>
          <a:ext cx="4016355" cy="2442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jednotlivců ve věku 55 až 74 let v dané zemi</a:t>
          </a:r>
        </a:p>
      </cdr:txBody>
    </cdr:sp>
  </cdr:relSizeAnchor>
  <cdr:relSizeAnchor xmlns:cdr="http://schemas.openxmlformats.org/drawingml/2006/chartDrawing">
    <cdr:from>
      <cdr:x>0</cdr:x>
      <cdr:y>0.0153</cdr:y>
    </cdr:from>
    <cdr:to>
      <cdr:x>0.99989</cdr:x>
      <cdr:y>0.08876</cdr:y>
    </cdr:to>
    <cdr:sp macro="" textlink="">
      <cdr:nvSpPr>
        <cdr:cNvPr id="3" name="Textové pole 2"/>
        <cdr:cNvSpPr txBox="1"/>
      </cdr:nvSpPr>
      <cdr:spPr>
        <a:xfrm xmlns:a="http://schemas.openxmlformats.org/drawingml/2006/main">
          <a:off x="0" y="47625"/>
          <a:ext cx="59721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800" b="1">
              <a:latin typeface="Arial" panose="020B0604020202020204" pitchFamily="34" charset="0"/>
              <a:cs typeface="Arial" panose="020B0604020202020204" pitchFamily="34" charset="0"/>
            </a:rPr>
            <a:t>Graf C</a:t>
          </a:r>
          <a:r>
            <a:rPr lang="cs-CZ" sz="800" b="1">
              <a:latin typeface="Arial" panose="020B0604020202020204" pitchFamily="34" charset="0"/>
              <a:cs typeface="Arial" panose="020B0604020202020204" pitchFamily="34" charset="0"/>
            </a:rPr>
            <a:t>18</a:t>
          </a:r>
          <a:r>
            <a:rPr lang="en-US" sz="800" b="1">
              <a:latin typeface="Arial" panose="020B0604020202020204" pitchFamily="34" charset="0"/>
              <a:cs typeface="Arial" panose="020B0604020202020204" pitchFamily="34" charset="0"/>
            </a:rPr>
            <a:t> Jednotlivci ve věku 55 až 74 let v zemích EU používající internet na mobilním telefonu (%)</a:t>
          </a:r>
          <a:r>
            <a:rPr lang="cs-CZ" sz="800" b="1">
              <a:latin typeface="Arial" panose="020B0604020202020204" pitchFamily="34" charset="0"/>
              <a:cs typeface="Arial" panose="020B0604020202020204" pitchFamily="34" charset="0"/>
            </a:rPr>
            <a:t>*</a:t>
          </a:r>
          <a:endParaRPr lang="en-US" sz="800" b="1">
            <a:latin typeface="Arial" panose="020B0604020202020204" pitchFamily="34" charset="0"/>
            <a:cs typeface="Arial" panose="020B0604020202020204" pitchFamily="34" charset="0"/>
          </a:endParaRPr>
        </a:p>
        <a:p xmlns:a="http://schemas.openxmlformats.org/drawingml/2006/main">
          <a:endParaRPr lang="cs-CZ" sz="800" b="1">
            <a:latin typeface="Arial" panose="020B0604020202020204" pitchFamily="34" charset="0"/>
            <a:cs typeface="Arial" panose="020B0604020202020204" pitchFamily="34" charset="0"/>
          </a:endParaRPr>
        </a:p>
      </cdr:txBody>
    </cdr:sp>
  </cdr:relSizeAnchor>
</c:userShapes>
</file>

<file path=word/drawings/drawing19.xml><?xml version="1.0" encoding="utf-8"?>
<c:userShapes xmlns:c="http://schemas.openxmlformats.org/drawingml/2006/chart">
  <cdr:relSizeAnchor xmlns:cdr="http://schemas.openxmlformats.org/drawingml/2006/chartDrawing">
    <cdr:from>
      <cdr:x>0</cdr:x>
      <cdr:y>0.92193</cdr:y>
    </cdr:from>
    <cdr:to>
      <cdr:x>0.98538</cdr:x>
      <cdr:y>0.99162</cdr:y>
    </cdr:to>
    <cdr:sp macro="" textlink="">
      <cdr:nvSpPr>
        <cdr:cNvPr id="2" name="TextovéPole 1"/>
        <cdr:cNvSpPr txBox="1"/>
      </cdr:nvSpPr>
      <cdr:spPr>
        <a:xfrm xmlns:a="http://schemas.openxmlformats.org/drawingml/2006/main">
          <a:off x="0" y="2489200"/>
          <a:ext cx="2908848"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0.05189</cdr:x>
      <cdr:y>0.90311</cdr:y>
    </cdr:from>
    <cdr:to>
      <cdr:x>1</cdr:x>
      <cdr:y>0.97954</cdr:y>
    </cdr:to>
    <cdr:sp macro="" textlink="">
      <cdr:nvSpPr>
        <cdr:cNvPr id="3" name="TextovéPole 1"/>
        <cdr:cNvSpPr txBox="1"/>
      </cdr:nvSpPr>
      <cdr:spPr>
        <a:xfrm xmlns:a="http://schemas.openxmlformats.org/drawingml/2006/main">
          <a:off x="156678" y="2924706"/>
          <a:ext cx="2862747" cy="2475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cdr:x>
      <cdr:y>0.86019</cdr:y>
    </cdr:from>
    <cdr:to>
      <cdr:x>0.98534</cdr:x>
      <cdr:y>0.9181</cdr:y>
    </cdr:to>
    <cdr:sp macro="" textlink="">
      <cdr:nvSpPr>
        <cdr:cNvPr id="2" name="TextovéPole 1"/>
        <cdr:cNvSpPr txBox="1"/>
      </cdr:nvSpPr>
      <cdr:spPr>
        <a:xfrm xmlns:a="http://schemas.openxmlformats.org/drawingml/2006/main">
          <a:off x="0" y="3096666"/>
          <a:ext cx="2979668" cy="2085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jednotlivců </a:t>
          </a:r>
          <a:r>
            <a:rPr lang="cs-CZ" sz="800" baseline="0">
              <a:latin typeface="Arial" panose="020B0604020202020204" pitchFamily="34" charset="0"/>
              <a:cs typeface="Arial" panose="020B0604020202020204" pitchFamily="34" charset="0"/>
            </a:rPr>
            <a:t>v dané skupině</a:t>
          </a: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0.62722</cdr:x>
      <cdr:y>0.973</cdr:y>
    </cdr:to>
    <cdr:sp macro="" textlink="">
      <cdr:nvSpPr>
        <cdr:cNvPr id="4" name="TextovéPole 1"/>
        <cdr:cNvSpPr txBox="1"/>
      </cdr:nvSpPr>
      <cdr:spPr>
        <a:xfrm xmlns:a="http://schemas.openxmlformats.org/drawingml/2006/main">
          <a:off x="125032" y="2908289"/>
          <a:ext cx="3713543" cy="2442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jednotlivců ve vybraných věkových skupinách</a:t>
          </a:r>
        </a:p>
      </cdr:txBody>
    </cdr:sp>
  </cdr:relSizeAnchor>
  <cdr:relSizeAnchor xmlns:cdr="http://schemas.openxmlformats.org/drawingml/2006/chartDrawing">
    <cdr:from>
      <cdr:x>0.03508</cdr:x>
      <cdr:y>0.03668</cdr:y>
    </cdr:from>
    <cdr:to>
      <cdr:x>0.99033</cdr:x>
      <cdr:y>0.11902</cdr:y>
    </cdr:to>
    <cdr:sp macro="" textlink="">
      <cdr:nvSpPr>
        <cdr:cNvPr id="3" name="TextovéPole 2"/>
        <cdr:cNvSpPr txBox="1"/>
      </cdr:nvSpPr>
      <cdr:spPr>
        <a:xfrm xmlns:a="http://schemas.openxmlformats.org/drawingml/2006/main">
          <a:off x="209550" y="111543"/>
          <a:ext cx="5705475" cy="2504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rtl="0"/>
          <a:r>
            <a:rPr lang="en-US" sz="800" b="1" i="0" baseline="0">
              <a:effectLst/>
              <a:latin typeface="Arial" panose="020B0604020202020204" pitchFamily="34" charset="0"/>
              <a:ea typeface="+mn-ea"/>
              <a:cs typeface="Arial" panose="020B0604020202020204" pitchFamily="34" charset="0"/>
            </a:rPr>
            <a:t>Graf C</a:t>
          </a:r>
          <a:r>
            <a:rPr lang="cs-CZ" sz="800" b="1" i="0" baseline="0">
              <a:effectLst/>
              <a:latin typeface="Arial" panose="020B0604020202020204" pitchFamily="34" charset="0"/>
              <a:ea typeface="+mn-ea"/>
              <a:cs typeface="Arial" panose="020B0604020202020204" pitchFamily="34" charset="0"/>
            </a:rPr>
            <a:t>21</a:t>
          </a:r>
          <a:r>
            <a:rPr lang="en-US" sz="800" b="1" i="0" baseline="0">
              <a:effectLst/>
              <a:latin typeface="Arial" panose="020B0604020202020204" pitchFamily="34" charset="0"/>
              <a:ea typeface="+mn-ea"/>
              <a:cs typeface="Arial" panose="020B0604020202020204" pitchFamily="34" charset="0"/>
            </a:rPr>
            <a:t> Jednotlivci v zemích EU </a:t>
          </a:r>
          <a:r>
            <a:rPr lang="cs-CZ" sz="800" b="1" i="0" baseline="0">
              <a:effectLst/>
              <a:latin typeface="Arial" panose="020B0604020202020204" pitchFamily="34" charset="0"/>
              <a:ea typeface="+mn-ea"/>
              <a:cs typeface="Arial" panose="020B0604020202020204" pitchFamily="34" charset="0"/>
            </a:rPr>
            <a:t>ve vybraných věkových skupinách </a:t>
          </a:r>
          <a:r>
            <a:rPr lang="en-US" sz="800" b="1" i="0" baseline="0">
              <a:effectLst/>
              <a:latin typeface="Arial" panose="020B0604020202020204" pitchFamily="34" charset="0"/>
              <a:ea typeface="+mn-ea"/>
              <a:cs typeface="Arial" panose="020B0604020202020204" pitchFamily="34" charset="0"/>
            </a:rPr>
            <a:t>používající </a:t>
          </a:r>
          <a:r>
            <a:rPr lang="cs-CZ" sz="800" b="1" i="0" baseline="0">
              <a:effectLst/>
              <a:latin typeface="Arial" panose="020B0604020202020204" pitchFamily="34" charset="0"/>
              <a:ea typeface="+mn-ea"/>
              <a:cs typeface="Arial" panose="020B0604020202020204" pitchFamily="34" charset="0"/>
            </a:rPr>
            <a:t>sociální sítě </a:t>
          </a:r>
          <a:r>
            <a:rPr lang="en-US" sz="800" b="1" i="0" baseline="0">
              <a:effectLst/>
              <a:latin typeface="Arial" panose="020B0604020202020204" pitchFamily="34" charset="0"/>
              <a:ea typeface="+mn-ea"/>
              <a:cs typeface="Arial" panose="020B0604020202020204" pitchFamily="34" charset="0"/>
            </a:rPr>
            <a:t> </a:t>
          </a:r>
          <a:r>
            <a:rPr lang="cs-CZ" sz="800" b="1" i="0" baseline="0">
              <a:effectLst/>
              <a:latin typeface="Arial" panose="020B0604020202020204" pitchFamily="34" charset="0"/>
              <a:ea typeface="+mn-ea"/>
              <a:cs typeface="Arial" panose="020B0604020202020204" pitchFamily="34" charset="0"/>
            </a:rPr>
            <a:t>v roce 2017 </a:t>
          </a:r>
          <a:r>
            <a:rPr lang="en-US" sz="800" b="1" i="0" baseline="0">
              <a:effectLst/>
              <a:latin typeface="Arial" panose="020B0604020202020204" pitchFamily="34" charset="0"/>
              <a:ea typeface="+mn-ea"/>
              <a:cs typeface="Arial" panose="020B0604020202020204" pitchFamily="34" charset="0"/>
            </a:rPr>
            <a:t>(%)</a:t>
          </a:r>
          <a:r>
            <a:rPr lang="cs-CZ" sz="800" b="1" i="0" baseline="0">
              <a:effectLst/>
              <a:latin typeface="Arial" panose="020B0604020202020204" pitchFamily="34" charset="0"/>
              <a:ea typeface="+mn-ea"/>
              <a:cs typeface="Arial" panose="020B0604020202020204" pitchFamily="34" charset="0"/>
            </a:rPr>
            <a:t>*</a:t>
          </a:r>
          <a:endParaRPr lang="cs-CZ" sz="800">
            <a:effectLst/>
            <a:latin typeface="Arial" panose="020B0604020202020204" pitchFamily="34" charset="0"/>
            <a:cs typeface="Arial" panose="020B0604020202020204" pitchFamily="34" charset="0"/>
          </a:endParaRPr>
        </a:p>
        <a:p xmlns:a="http://schemas.openxmlformats.org/drawingml/2006/main">
          <a:endParaRPr lang="cs-CZ" sz="1100"/>
        </a:p>
      </cdr:txBody>
    </cdr:sp>
  </cdr:relSizeAnchor>
</c:userShapes>
</file>

<file path=word/drawings/drawing22.xml><?xml version="1.0" encoding="utf-8"?>
<c:userShapes xmlns:c="http://schemas.openxmlformats.org/drawingml/2006/chart">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24.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0.62722</cdr:x>
      <cdr:y>0.973</cdr:y>
    </cdr:to>
    <cdr:sp macro="" textlink="">
      <cdr:nvSpPr>
        <cdr:cNvPr id="4" name="TextovéPole 1"/>
        <cdr:cNvSpPr txBox="1"/>
      </cdr:nvSpPr>
      <cdr:spPr>
        <a:xfrm xmlns:a="http://schemas.openxmlformats.org/drawingml/2006/main">
          <a:off x="125032" y="2908289"/>
          <a:ext cx="3713543" cy="2442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jednotlivců v dané věkové skupině v dané zemi</a:t>
          </a:r>
        </a:p>
      </cdr:txBody>
    </cdr:sp>
  </cdr:relSizeAnchor>
  <cdr:relSizeAnchor xmlns:cdr="http://schemas.openxmlformats.org/drawingml/2006/chartDrawing">
    <cdr:from>
      <cdr:x>0.05759</cdr:x>
      <cdr:y>0.02445</cdr:y>
    </cdr:from>
    <cdr:to>
      <cdr:x>0.96806</cdr:x>
      <cdr:y>0.14977</cdr:y>
    </cdr:to>
    <cdr:sp macro="" textlink="">
      <cdr:nvSpPr>
        <cdr:cNvPr id="3" name="TextovéPole 2"/>
        <cdr:cNvSpPr txBox="1"/>
      </cdr:nvSpPr>
      <cdr:spPr>
        <a:xfrm xmlns:a="http://schemas.openxmlformats.org/drawingml/2006/main">
          <a:off x="352425" y="76200"/>
          <a:ext cx="5572125"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800" b="1" i="0" baseline="0">
              <a:effectLst/>
              <a:latin typeface="Arial" panose="020B0604020202020204" pitchFamily="34" charset="0"/>
              <a:ea typeface="+mn-ea"/>
              <a:cs typeface="Arial" panose="020B0604020202020204" pitchFamily="34" charset="0"/>
            </a:rPr>
            <a:t>Graf C</a:t>
          </a:r>
          <a:r>
            <a:rPr lang="cs-CZ" sz="800" b="1" i="0" baseline="0">
              <a:effectLst/>
              <a:latin typeface="Arial" panose="020B0604020202020204" pitchFamily="34" charset="0"/>
              <a:ea typeface="+mn-ea"/>
              <a:cs typeface="Arial" panose="020B0604020202020204" pitchFamily="34" charset="0"/>
            </a:rPr>
            <a:t>24</a:t>
          </a:r>
          <a:r>
            <a:rPr lang="en-US" sz="800" b="1" i="0" baseline="0">
              <a:effectLst/>
              <a:latin typeface="Arial" panose="020B0604020202020204" pitchFamily="34" charset="0"/>
              <a:ea typeface="+mn-ea"/>
              <a:cs typeface="Arial" panose="020B0604020202020204" pitchFamily="34" charset="0"/>
            </a:rPr>
            <a:t> Jednotlivci </a:t>
          </a:r>
          <a:r>
            <a:rPr lang="cs-CZ" sz="800" b="1" i="0" baseline="0">
              <a:effectLst/>
              <a:latin typeface="Arial" panose="020B0604020202020204" pitchFamily="34" charset="0"/>
              <a:ea typeface="+mn-ea"/>
              <a:cs typeface="Arial" panose="020B0604020202020204" pitchFamily="34" charset="0"/>
            </a:rPr>
            <a:t>v zemích EU celkem  a ve věku 16 až 29 let, kteří sledovali videa </a:t>
          </a:r>
        </a:p>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cs-CZ" sz="800" b="1" i="0" baseline="0">
              <a:effectLst/>
              <a:latin typeface="Arial" panose="020B0604020202020204" pitchFamily="34" charset="0"/>
              <a:ea typeface="+mn-ea"/>
              <a:cs typeface="Arial" panose="020B0604020202020204" pitchFamily="34" charset="0"/>
            </a:rPr>
            <a:t>z placených filmových katalogů na internetu v roce 2016 </a:t>
          </a:r>
          <a:r>
            <a:rPr lang="en-US" sz="800" b="1" i="0" baseline="0">
              <a:effectLst/>
              <a:latin typeface="Arial" panose="020B0604020202020204" pitchFamily="34" charset="0"/>
              <a:ea typeface="+mn-ea"/>
              <a:cs typeface="Arial" panose="020B0604020202020204" pitchFamily="34" charset="0"/>
            </a:rPr>
            <a:t>(%)</a:t>
          </a:r>
          <a:r>
            <a:rPr lang="cs-CZ" sz="800" b="1" i="0" baseline="0">
              <a:effectLst/>
              <a:latin typeface="Arial" panose="020B0604020202020204" pitchFamily="34" charset="0"/>
              <a:ea typeface="+mn-ea"/>
              <a:cs typeface="Arial" panose="020B0604020202020204" pitchFamily="34" charset="0"/>
            </a:rPr>
            <a:t>*</a:t>
          </a:r>
          <a:endParaRPr lang="cs-CZ" sz="800">
            <a:effectLst/>
            <a:latin typeface="Arial" panose="020B0604020202020204" pitchFamily="34" charset="0"/>
            <a:cs typeface="Arial" panose="020B0604020202020204" pitchFamily="34" charset="0"/>
          </a:endParaRPr>
        </a:p>
        <a:p xmlns:a="http://schemas.openxmlformats.org/drawingml/2006/main">
          <a:endParaRPr lang="cs-CZ" sz="1100"/>
        </a:p>
      </cdr:txBody>
    </cdr:sp>
  </cdr:relSizeAnchor>
</c:userShapes>
</file>

<file path=word/drawings/drawing25.xml><?xml version="1.0" encoding="utf-8"?>
<c:userShapes xmlns:c="http://schemas.openxmlformats.org/drawingml/2006/chart">
  <cdr:relSizeAnchor xmlns:cdr="http://schemas.openxmlformats.org/drawingml/2006/chartDrawing">
    <cdr:from>
      <cdr:x>0</cdr:x>
      <cdr:y>0.92193</cdr:y>
    </cdr:from>
    <cdr:to>
      <cdr:x>0.98538</cdr:x>
      <cdr:y>0.99162</cdr:y>
    </cdr:to>
    <cdr:sp macro="" textlink="">
      <cdr:nvSpPr>
        <cdr:cNvPr id="2" name="TextovéPole 1"/>
        <cdr:cNvSpPr txBox="1"/>
      </cdr:nvSpPr>
      <cdr:spPr>
        <a:xfrm xmlns:a="http://schemas.openxmlformats.org/drawingml/2006/main">
          <a:off x="0" y="2489200"/>
          <a:ext cx="2908848"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26.xml><?xml version="1.0" encoding="utf-8"?>
<c:userShapes xmlns:c="http://schemas.openxmlformats.org/drawingml/2006/chart">
  <cdr:relSizeAnchor xmlns:cdr="http://schemas.openxmlformats.org/drawingml/2006/chartDrawing">
    <cdr:from>
      <cdr:x>0</cdr:x>
      <cdr:y>0.86019</cdr:y>
    </cdr:from>
    <cdr:to>
      <cdr:x>0.98534</cdr:x>
      <cdr:y>0.9181</cdr:y>
    </cdr:to>
    <cdr:sp macro="" textlink="">
      <cdr:nvSpPr>
        <cdr:cNvPr id="2" name="TextovéPole 1"/>
        <cdr:cNvSpPr txBox="1"/>
      </cdr:nvSpPr>
      <cdr:spPr>
        <a:xfrm xmlns:a="http://schemas.openxmlformats.org/drawingml/2006/main">
          <a:off x="0" y="3096666"/>
          <a:ext cx="2979668" cy="2085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jednotlivců </a:t>
          </a:r>
          <a:r>
            <a:rPr lang="cs-CZ" sz="800" baseline="0">
              <a:latin typeface="Arial" panose="020B0604020202020204" pitchFamily="34" charset="0"/>
              <a:cs typeface="Arial" panose="020B0604020202020204" pitchFamily="34" charset="0"/>
            </a:rPr>
            <a:t>v dané skupině</a:t>
          </a: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4938" y="2963968"/>
          <a:ext cx="2934993" cy="2476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27.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0.64651</cdr:x>
      <cdr:y>0.973</cdr:y>
    </cdr:to>
    <cdr:sp macro="" textlink="">
      <cdr:nvSpPr>
        <cdr:cNvPr id="4" name="TextovéPole 1"/>
        <cdr:cNvSpPr txBox="1"/>
      </cdr:nvSpPr>
      <cdr:spPr>
        <a:xfrm xmlns:a="http://schemas.openxmlformats.org/drawingml/2006/main">
          <a:off x="127019" y="2908289"/>
          <a:ext cx="3892531" cy="2442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jednotlivců ve věku 16 až 74 let v dané zemi</a:t>
          </a:r>
        </a:p>
      </cdr:txBody>
    </cdr:sp>
  </cdr:relSizeAnchor>
</c:userShapes>
</file>

<file path=word/drawings/drawing28.xml><?xml version="1.0" encoding="utf-8"?>
<c:userShapes xmlns:c="http://schemas.openxmlformats.org/drawingml/2006/chart">
  <cdr:relSizeAnchor xmlns:cdr="http://schemas.openxmlformats.org/drawingml/2006/chartDrawing">
    <cdr:from>
      <cdr:x>0</cdr:x>
      <cdr:y>0.92193</cdr:y>
    </cdr:from>
    <cdr:to>
      <cdr:x>0.98538</cdr:x>
      <cdr:y>0.99162</cdr:y>
    </cdr:to>
    <cdr:sp macro="" textlink="">
      <cdr:nvSpPr>
        <cdr:cNvPr id="2" name="TextovéPole 1"/>
        <cdr:cNvSpPr txBox="1"/>
      </cdr:nvSpPr>
      <cdr:spPr>
        <a:xfrm xmlns:a="http://schemas.openxmlformats.org/drawingml/2006/main">
          <a:off x="0" y="2489200"/>
          <a:ext cx="2908848"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29.xml><?xml version="1.0" encoding="utf-8"?>
<c:userShapes xmlns:c="http://schemas.openxmlformats.org/drawingml/2006/chart">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0.92193</cdr:y>
    </cdr:from>
    <cdr:to>
      <cdr:x>0.98538</cdr:x>
      <cdr:y>0.99162</cdr:y>
    </cdr:to>
    <cdr:sp macro="" textlink="">
      <cdr:nvSpPr>
        <cdr:cNvPr id="2" name="TextovéPole 1"/>
        <cdr:cNvSpPr txBox="1"/>
      </cdr:nvSpPr>
      <cdr:spPr>
        <a:xfrm xmlns:a="http://schemas.openxmlformats.org/drawingml/2006/main">
          <a:off x="0" y="2489200"/>
          <a:ext cx="2908848"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0.02839</cdr:x>
      <cdr:y>0</cdr:y>
    </cdr:from>
    <cdr:to>
      <cdr:x>0.97792</cdr:x>
      <cdr:y>0.10882</cdr:y>
    </cdr:to>
    <cdr:sp macro="" textlink="">
      <cdr:nvSpPr>
        <cdr:cNvPr id="3" name="Textové pole 2"/>
        <cdr:cNvSpPr txBox="1"/>
      </cdr:nvSpPr>
      <cdr:spPr>
        <a:xfrm xmlns:a="http://schemas.openxmlformats.org/drawingml/2006/main">
          <a:off x="85725" y="0"/>
          <a:ext cx="2867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rgbClr val="000000"/>
              </a:solidFill>
              <a:latin typeface="Arial CE"/>
              <a:ea typeface="Arial CE"/>
              <a:cs typeface="Arial CE"/>
            </a:defRPr>
          </a:pPr>
          <a:r>
            <a:rPr lang="cs-CZ" sz="800" b="1"/>
            <a:t>Graf C3 Jednotlivci v</a:t>
          </a:r>
          <a:r>
            <a:rPr lang="cs-CZ" sz="800" b="1" baseline="0"/>
            <a:t> Č</a:t>
          </a:r>
          <a:r>
            <a:rPr lang="cs-CZ" sz="800" b="1"/>
            <a:t>esku </a:t>
          </a:r>
          <a:r>
            <a:rPr lang="cs-CZ" sz="800" b="1" i="0" baseline="0">
              <a:effectLst/>
            </a:rPr>
            <a:t>ve věku 16 let a starší p</a:t>
          </a:r>
          <a:r>
            <a:rPr lang="cs-CZ" sz="800" b="1"/>
            <a:t>oužívající internet – uživatelé internetu</a:t>
          </a:r>
          <a:endParaRPr lang="en-US" sz="800" b="1"/>
        </a:p>
        <a:p xmlns:a="http://schemas.openxmlformats.org/drawingml/2006/main">
          <a:endParaRPr lang="cs-CZ" sz="1100"/>
        </a:p>
      </cdr:txBody>
    </cdr:sp>
  </cdr:relSizeAnchor>
</c:userShapes>
</file>

<file path=word/drawings/drawing30.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0.60055</cdr:x>
      <cdr:y>0.973</cdr:y>
    </cdr:to>
    <cdr:sp macro="" textlink="">
      <cdr:nvSpPr>
        <cdr:cNvPr id="4" name="TextovéPole 1"/>
        <cdr:cNvSpPr txBox="1"/>
      </cdr:nvSpPr>
      <cdr:spPr>
        <a:xfrm xmlns:a="http://schemas.openxmlformats.org/drawingml/2006/main">
          <a:off x="127020" y="2908289"/>
          <a:ext cx="3606780" cy="2442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jednotlivců ve věku 16 až 74 let v dané</a:t>
          </a:r>
          <a:r>
            <a:rPr lang="cs-CZ" sz="800" baseline="0">
              <a:latin typeface="Arial" panose="020B0604020202020204" pitchFamily="34" charset="0"/>
              <a:cs typeface="Arial" panose="020B0604020202020204" pitchFamily="34" charset="0"/>
            </a:rPr>
            <a:t> zemi</a:t>
          </a:r>
          <a:endParaRPr lang="cs-CZ" sz="800">
            <a:latin typeface="Arial" panose="020B0604020202020204" pitchFamily="34" charset="0"/>
            <a:cs typeface="Arial" panose="020B0604020202020204" pitchFamily="34" charset="0"/>
          </a:endParaRPr>
        </a:p>
      </cdr:txBody>
    </cdr:sp>
  </cdr:relSizeAnchor>
</c:userShapes>
</file>

<file path=word/drawings/drawing31.xml><?xml version="1.0" encoding="utf-8"?>
<c:userShapes xmlns:c="http://schemas.openxmlformats.org/drawingml/2006/chart">
  <cdr:relSizeAnchor xmlns:cdr="http://schemas.openxmlformats.org/drawingml/2006/chartDrawing">
    <cdr:from>
      <cdr:x>0</cdr:x>
      <cdr:y>0.92193</cdr:y>
    </cdr:from>
    <cdr:to>
      <cdr:x>0.98538</cdr:x>
      <cdr:y>0.99162</cdr:y>
    </cdr:to>
    <cdr:sp macro="" textlink="">
      <cdr:nvSpPr>
        <cdr:cNvPr id="2" name="TextovéPole 1"/>
        <cdr:cNvSpPr txBox="1"/>
      </cdr:nvSpPr>
      <cdr:spPr>
        <a:xfrm xmlns:a="http://schemas.openxmlformats.org/drawingml/2006/main">
          <a:off x="0" y="2489200"/>
          <a:ext cx="2908848"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32.xml><?xml version="1.0" encoding="utf-8"?>
<c:userShapes xmlns:c="http://schemas.openxmlformats.org/drawingml/2006/chart">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0.0693</cdr:x>
      <cdr:y>0.02059</cdr:y>
    </cdr:from>
    <cdr:to>
      <cdr:x>0.96069</cdr:x>
      <cdr:y>0.09412</cdr:y>
    </cdr:to>
    <cdr:sp macro="" textlink="">
      <cdr:nvSpPr>
        <cdr:cNvPr id="2" name="TextovéPole 1"/>
        <cdr:cNvSpPr txBox="1"/>
      </cdr:nvSpPr>
      <cdr:spPr>
        <a:xfrm xmlns:a="http://schemas.openxmlformats.org/drawingml/2006/main">
          <a:off x="209554" y="66669"/>
          <a:ext cx="2695448" cy="2381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rtl="0"/>
          <a:r>
            <a:rPr lang="cs-CZ" sz="800" b="1" i="0" baseline="0">
              <a:effectLst/>
              <a:latin typeface="Arial" panose="020B0604020202020204" pitchFamily="34" charset="0"/>
              <a:ea typeface="+mn-ea"/>
              <a:cs typeface="Arial" panose="020B0604020202020204" pitchFamily="34" charset="0"/>
            </a:rPr>
            <a:t>Graf C32 Online nakupující v Česku v roce 2017 (%)</a:t>
          </a:r>
          <a:endParaRPr lang="cs-CZ" sz="800">
            <a:effectLst/>
            <a:latin typeface="Arial" panose="020B0604020202020204" pitchFamily="34" charset="0"/>
            <a:cs typeface="Arial" panose="020B0604020202020204" pitchFamily="34" charset="0"/>
          </a:endParaRPr>
        </a:p>
        <a:p xmlns:a="http://schemas.openxmlformats.org/drawingml/2006/main">
          <a:endParaRPr lang="cs-CZ" sz="800">
            <a:latin typeface="Arial" panose="020B0604020202020204" pitchFamily="34" charset="0"/>
            <a:cs typeface="Arial" panose="020B0604020202020204" pitchFamily="34" charset="0"/>
          </a:endParaRPr>
        </a:p>
      </cdr:txBody>
    </cdr:sp>
  </cdr:relSizeAnchor>
</c:userShapes>
</file>

<file path=word/drawings/drawing33.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0.63119</cdr:x>
      <cdr:y>0.973</cdr:y>
    </cdr:to>
    <cdr:sp macro="" textlink="">
      <cdr:nvSpPr>
        <cdr:cNvPr id="4" name="TextovéPole 1"/>
        <cdr:cNvSpPr txBox="1"/>
      </cdr:nvSpPr>
      <cdr:spPr>
        <a:xfrm xmlns:a="http://schemas.openxmlformats.org/drawingml/2006/main">
          <a:off x="127020" y="2908289"/>
          <a:ext cx="3797280" cy="2442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jednotlivců ve věku 16 až 74 let v dané zemi</a:t>
          </a:r>
        </a:p>
      </cdr:txBody>
    </cdr:sp>
  </cdr:relSizeAnchor>
</c:userShapes>
</file>

<file path=word/drawings/drawing34.xml><?xml version="1.0" encoding="utf-8"?>
<c:userShapes xmlns:c="http://schemas.openxmlformats.org/drawingml/2006/chart">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35.xml><?xml version="1.0" encoding="utf-8"?>
<c:userShapes xmlns:c="http://schemas.openxmlformats.org/drawingml/2006/chart">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0.86019</cdr:y>
    </cdr:from>
    <cdr:to>
      <cdr:x>0.98534</cdr:x>
      <cdr:y>0.9181</cdr:y>
    </cdr:to>
    <cdr:sp macro="" textlink="">
      <cdr:nvSpPr>
        <cdr:cNvPr id="2" name="TextovéPole 1"/>
        <cdr:cNvSpPr txBox="1"/>
      </cdr:nvSpPr>
      <cdr:spPr>
        <a:xfrm xmlns:a="http://schemas.openxmlformats.org/drawingml/2006/main">
          <a:off x="0" y="3096666"/>
          <a:ext cx="2979668" cy="2085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 počtu jednotlivců </a:t>
          </a:r>
          <a:r>
            <a:rPr lang="cs-CZ" sz="800" baseline="0">
              <a:latin typeface="Arial" panose="020B0604020202020204" pitchFamily="34" charset="0"/>
              <a:cs typeface="Arial" panose="020B0604020202020204" pitchFamily="34" charset="0"/>
            </a:rPr>
            <a:t>v dané skupině</a:t>
          </a: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0.04359</cdr:x>
      <cdr:y>0.92317</cdr:y>
    </cdr:from>
    <cdr:to>
      <cdr:x>0.9917</cdr:x>
      <cdr:y>0.9913</cdr:y>
    </cdr:to>
    <cdr:sp macro="" textlink="">
      <cdr:nvSpPr>
        <cdr:cNvPr id="3" name="TextovéPole 1"/>
        <cdr:cNvSpPr txBox="1"/>
      </cdr:nvSpPr>
      <cdr:spPr>
        <a:xfrm xmlns:a="http://schemas.openxmlformats.org/drawingml/2006/main">
          <a:off x="131810" y="2990850"/>
          <a:ext cx="2866962" cy="2207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0.0252</cdr:x>
      <cdr:y>0</cdr:y>
    </cdr:from>
    <cdr:to>
      <cdr:x>0.99853</cdr:x>
      <cdr:y>0.1029</cdr:y>
    </cdr:to>
    <cdr:sp macro="" textlink="">
      <cdr:nvSpPr>
        <cdr:cNvPr id="4" name="Textové pole 3"/>
        <cdr:cNvSpPr txBox="1"/>
      </cdr:nvSpPr>
      <cdr:spPr>
        <a:xfrm xmlns:a="http://schemas.openxmlformats.org/drawingml/2006/main">
          <a:off x="76199" y="0"/>
          <a:ext cx="2943225"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800" b="1" i="0" u="none" strike="noStrike" kern="1200" baseline="0">
              <a:solidFill>
                <a:sysClr val="windowText" lastClr="000000"/>
              </a:solidFill>
              <a:latin typeface="Arial" pitchFamily="34" charset="0"/>
              <a:ea typeface="+mn-ea"/>
              <a:cs typeface="Arial" pitchFamily="34" charset="0"/>
            </a:defRPr>
          </a:pPr>
          <a:r>
            <a:rPr lang="cs-CZ" sz="800" b="1"/>
            <a:t>Graf C4 Jednotlivci v Česku používající internet  (%)*</a:t>
          </a:r>
          <a:endParaRPr lang="en-US" sz="800" b="1"/>
        </a:p>
        <a:p xmlns:a="http://schemas.openxmlformats.org/drawingml/2006/main">
          <a:endParaRPr lang="cs-CZ" sz="1100"/>
        </a:p>
      </cdr:txBody>
    </cdr:sp>
  </cdr:relSizeAnchor>
</c:userShapes>
</file>

<file path=word/drawings/drawing5.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0.79205</cdr:x>
      <cdr:y>0.973</cdr:y>
    </cdr:to>
    <cdr:sp macro="" textlink="">
      <cdr:nvSpPr>
        <cdr:cNvPr id="4" name="TextovéPole 1"/>
        <cdr:cNvSpPr txBox="1"/>
      </cdr:nvSpPr>
      <cdr:spPr>
        <a:xfrm xmlns:a="http://schemas.openxmlformats.org/drawingml/2006/main">
          <a:off x="127019" y="2908289"/>
          <a:ext cx="4797405" cy="2442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jednotlivců ve věku 16 až 74 let v dané zemi</a:t>
          </a:r>
        </a:p>
      </cdr:txBody>
    </cdr:sp>
  </cdr:relSizeAnchor>
  <cdr:relSizeAnchor xmlns:cdr="http://schemas.openxmlformats.org/drawingml/2006/chartDrawing">
    <cdr:from>
      <cdr:x>0.05741</cdr:x>
      <cdr:y>0.01836</cdr:y>
    </cdr:from>
    <cdr:to>
      <cdr:x>0.97597</cdr:x>
      <cdr:y>0.08876</cdr:y>
    </cdr:to>
    <cdr:sp macro="" textlink="">
      <cdr:nvSpPr>
        <cdr:cNvPr id="3" name="Textové pole 2"/>
        <cdr:cNvSpPr txBox="1"/>
      </cdr:nvSpPr>
      <cdr:spPr>
        <a:xfrm xmlns:a="http://schemas.openxmlformats.org/drawingml/2006/main">
          <a:off x="342900" y="57150"/>
          <a:ext cx="54864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800" b="1">
              <a:latin typeface="Arial" panose="020B0604020202020204" pitchFamily="34" charset="0"/>
              <a:cs typeface="Arial" panose="020B0604020202020204" pitchFamily="34" charset="0"/>
            </a:rPr>
            <a:t>Graf C</a:t>
          </a:r>
          <a:r>
            <a:rPr lang="cs-CZ" sz="800" b="1">
              <a:latin typeface="Arial" panose="020B0604020202020204" pitchFamily="34" charset="0"/>
              <a:cs typeface="Arial" panose="020B0604020202020204" pitchFamily="34" charset="0"/>
            </a:rPr>
            <a:t>5</a:t>
          </a:r>
          <a:r>
            <a:rPr lang="en-US" sz="800" b="1">
              <a:latin typeface="Arial" panose="020B0604020202020204" pitchFamily="34" charset="0"/>
              <a:cs typeface="Arial" panose="020B0604020202020204" pitchFamily="34" charset="0"/>
            </a:rPr>
            <a:t> Jednotlivci v zemích EU používající internet </a:t>
          </a:r>
          <a:r>
            <a:rPr lang="cs-CZ" sz="800" b="1">
              <a:latin typeface="Arial" panose="020B0604020202020204" pitchFamily="34" charset="0"/>
              <a:cs typeface="Arial" panose="020B0604020202020204" pitchFamily="34" charset="0"/>
            </a:rPr>
            <a:t>–</a:t>
          </a:r>
          <a:r>
            <a:rPr lang="en-US" sz="800" b="1">
              <a:latin typeface="Arial" panose="020B0604020202020204" pitchFamily="34" charset="0"/>
              <a:cs typeface="Arial" panose="020B0604020202020204" pitchFamily="34" charset="0"/>
            </a:rPr>
            <a:t> uživatelé internetu</a:t>
          </a:r>
          <a:r>
            <a:rPr lang="cs-CZ" sz="800" b="1">
              <a:latin typeface="Arial" panose="020B0604020202020204" pitchFamily="34" charset="0"/>
              <a:cs typeface="Arial" panose="020B0604020202020204" pitchFamily="34" charset="0"/>
            </a:rPr>
            <a:t> ve věku 16 až 74 let </a:t>
          </a:r>
          <a:r>
            <a:rPr lang="en-US" sz="800" b="1">
              <a:latin typeface="Arial" panose="020B0604020202020204" pitchFamily="34" charset="0"/>
              <a:cs typeface="Arial" panose="020B0604020202020204" pitchFamily="34" charset="0"/>
            </a:rPr>
            <a:t> (%)</a:t>
          </a:r>
          <a:r>
            <a:rPr lang="cs-CZ" sz="800" b="1">
              <a:latin typeface="Arial" panose="020B0604020202020204" pitchFamily="34" charset="0"/>
              <a:cs typeface="Arial" panose="020B0604020202020204" pitchFamily="34" charset="0"/>
            </a:rPr>
            <a:t>*</a:t>
          </a:r>
          <a:endParaRPr lang="en-US" sz="800" b="1">
            <a:latin typeface="Arial" panose="020B0604020202020204" pitchFamily="34" charset="0"/>
            <a:cs typeface="Arial" panose="020B0604020202020204" pitchFamily="34" charset="0"/>
          </a:endParaRPr>
        </a:p>
        <a:p xmlns:a="http://schemas.openxmlformats.org/drawingml/2006/main">
          <a:endParaRPr lang="cs-CZ" sz="8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0.92193</cdr:y>
    </cdr:from>
    <cdr:to>
      <cdr:x>0.98538</cdr:x>
      <cdr:y>0.99162</cdr:y>
    </cdr:to>
    <cdr:sp macro="" textlink="">
      <cdr:nvSpPr>
        <cdr:cNvPr id="2" name="TextovéPole 1"/>
        <cdr:cNvSpPr txBox="1"/>
      </cdr:nvSpPr>
      <cdr:spPr>
        <a:xfrm xmlns:a="http://schemas.openxmlformats.org/drawingml/2006/main">
          <a:off x="0" y="2489200"/>
          <a:ext cx="2908848"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0.0168</cdr:x>
      <cdr:y>0.90084</cdr:y>
    </cdr:from>
    <cdr:to>
      <cdr:x>0.97872</cdr:x>
      <cdr:y>0.99044</cdr:y>
    </cdr:to>
    <cdr:sp macro="" textlink="">
      <cdr:nvSpPr>
        <cdr:cNvPr id="2" name="TextovéPole 1"/>
        <cdr:cNvSpPr txBox="1"/>
      </cdr:nvSpPr>
      <cdr:spPr>
        <a:xfrm xmlns:a="http://schemas.openxmlformats.org/drawingml/2006/main">
          <a:off x="50800" y="2270125"/>
          <a:ext cx="2908842" cy="2257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0.66795</cdr:x>
      <cdr:y>0.973</cdr:y>
    </cdr:to>
    <cdr:sp macro="" textlink="">
      <cdr:nvSpPr>
        <cdr:cNvPr id="4" name="TextovéPole 1"/>
        <cdr:cNvSpPr txBox="1"/>
      </cdr:nvSpPr>
      <cdr:spPr>
        <a:xfrm xmlns:a="http://schemas.openxmlformats.org/drawingml/2006/main">
          <a:off x="127020" y="2908289"/>
          <a:ext cx="4025880" cy="2442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jednotlivců ve věku 16 až 74 let v dané zemi</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0.92193</cdr:y>
    </cdr:from>
    <cdr:to>
      <cdr:x>0.98538</cdr:x>
      <cdr:y>0.99162</cdr:y>
    </cdr:to>
    <cdr:sp macro="" textlink="">
      <cdr:nvSpPr>
        <cdr:cNvPr id="2" name="TextovéPole 1"/>
        <cdr:cNvSpPr txBox="1"/>
      </cdr:nvSpPr>
      <cdr:spPr>
        <a:xfrm xmlns:a="http://schemas.openxmlformats.org/drawingml/2006/main">
          <a:off x="0" y="2489200"/>
          <a:ext cx="2908848"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2018, </a:t>
          </a:r>
          <a:r>
            <a:rPr lang="cs-CZ" sz="800" i="1" baseline="0">
              <a:effectLst/>
              <a:latin typeface="Arial" panose="020B0604020202020204" pitchFamily="34" charset="0"/>
              <a:ea typeface="+mn-ea"/>
              <a:cs typeface="Arial" panose="020B0604020202020204" pitchFamily="34" charset="0"/>
            </a:rPr>
            <a:t>Šetření o využívání ICT v domácnostech </a:t>
          </a:r>
          <a:endParaRPr lang="cs-CZ"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DFD3-62F6-46A4-98B8-38402517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0</TotalTime>
  <Pages>19</Pages>
  <Words>5605</Words>
  <Characters>33075</Characters>
  <Application>Microsoft Office Word</Application>
  <DocSecurity>0</DocSecurity>
  <Lines>275</Lines>
  <Paragraphs>77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38603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2</cp:revision>
  <cp:lastPrinted>2018-08-29T08:06:00Z</cp:lastPrinted>
  <dcterms:created xsi:type="dcterms:W3CDTF">2018-09-21T13:49:00Z</dcterms:created>
  <dcterms:modified xsi:type="dcterms:W3CDTF">2018-09-21T13:49:00Z</dcterms:modified>
</cp:coreProperties>
</file>