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637060343"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534618">
        <w:rPr>
          <w:rFonts w:ascii="Arial" w:hAnsi="Arial" w:cs="Arial"/>
          <w:i/>
          <w:iCs/>
          <w:sz w:val="20"/>
          <w:szCs w:val="20"/>
          <w:lang w:val="en-GB"/>
        </w:rPr>
        <w:t>5</w:t>
      </w:r>
      <w:r>
        <w:rPr>
          <w:rFonts w:ascii="Arial" w:hAnsi="Arial" w:cs="Arial"/>
          <w:i/>
          <w:sz w:val="20"/>
          <w:szCs w:val="20"/>
          <w:lang w:val="en-GB"/>
        </w:rPr>
        <w:t> </w:t>
      </w:r>
      <w:r w:rsidR="00534618">
        <w:rPr>
          <w:rFonts w:ascii="Arial" w:hAnsi="Arial" w:cs="Arial"/>
          <w:i/>
          <w:sz w:val="20"/>
          <w:szCs w:val="20"/>
          <w:lang w:val="en-GB"/>
        </w:rPr>
        <w:t>0</w:t>
      </w:r>
      <w:r>
        <w:rPr>
          <w:rFonts w:ascii="Arial" w:hAnsi="Arial" w:cs="Arial"/>
          <w:i/>
          <w:sz w:val="20"/>
          <w:szCs w:val="20"/>
          <w:lang w:val="en-GB"/>
        </w:rPr>
        <w:t>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activities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Pr>
          <w:rFonts w:ascii="Arial" w:hAnsi="Arial" w:cs="Arial"/>
          <w:i/>
          <w:iCs/>
          <w:sz w:val="20"/>
          <w:szCs w:val="20"/>
          <w:lang w:val="en-GB"/>
        </w:rPr>
        <w:t xml:space="preserve"> </w:t>
      </w:r>
      <w:r w:rsidRPr="009F01FD">
        <w:rPr>
          <w:rFonts w:ascii="Arial" w:hAnsi="Arial" w:cs="Arial"/>
          <w:i/>
          <w:iCs/>
          <w:sz w:val="20"/>
          <w:szCs w:val="20"/>
          <w:lang w:val="en-GB"/>
        </w:rPr>
        <w:t>are regarded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w:t>
      </w:r>
      <w:r>
        <w:rPr>
          <w:rFonts w:ascii="Arial" w:hAnsi="Arial" w:cs="Arial"/>
          <w:iCs/>
          <w:sz w:val="20"/>
          <w:szCs w:val="20"/>
          <w:lang w:val="en-GB"/>
        </w:rPr>
        <w:t>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w:t>
      </w:r>
      <w:r>
        <w:rPr>
          <w:rFonts w:ascii="Arial" w:hAnsi="Arial" w:cs="Arial"/>
          <w:i/>
          <w:iCs/>
          <w:sz w:val="20"/>
          <w:szCs w:val="20"/>
          <w:lang w:val="en-GB"/>
        </w:rPr>
        <w:lastRenderedPageBreak/>
        <w:t>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9127E" w:rsidP="00A9127E">
      <w:pPr>
        <w:spacing w:before="240" w:line="288" w:lineRule="auto"/>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 xml:space="preserve"> by means of the statistical questionnaire </w:t>
      </w:r>
      <w:r>
        <w:rPr>
          <w:rFonts w:ascii="Arial" w:hAnsi="Arial" w:cs="Arial"/>
          <w:sz w:val="20"/>
          <w:szCs w:val="20"/>
          <w:lang w:val="en-GB"/>
        </w:rPr>
        <w:t>Ceny Prům 1-12</w:t>
      </w:r>
      <w:r>
        <w:rPr>
          <w:rFonts w:ascii="Arial" w:hAnsi="Arial" w:cs="Arial"/>
          <w:i/>
          <w:sz w:val="20"/>
          <w:szCs w:val="20"/>
          <w:lang w:val="en-GB"/>
        </w:rPr>
        <w:t>.</w:t>
      </w:r>
      <w:r w:rsidRPr="009F01FD">
        <w:rPr>
          <w:rFonts w:ascii="Arial" w:hAnsi="Arial" w:cs="Arial"/>
          <w:i/>
          <w:sz w:val="20"/>
          <w:szCs w:val="20"/>
          <w:lang w:val="en-GB"/>
        </w:rPr>
        <w:t xml:space="preserve">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w:t>
      </w:r>
      <w:r>
        <w:rPr>
          <w:rFonts w:ascii="Arial" w:hAnsi="Arial" w:cs="Arial"/>
          <w:sz w:val="20"/>
          <w:szCs w:val="20"/>
          <w:lang w:val="en-GB"/>
        </w:rPr>
        <w:t> </w:t>
      </w:r>
      <w:r w:rsidRPr="009F01FD">
        <w:rPr>
          <w:rFonts w:ascii="Arial" w:hAnsi="Arial" w:cs="Arial"/>
          <w:sz w:val="20"/>
          <w:szCs w:val="20"/>
          <w:lang w:val="en-GB"/>
        </w:rPr>
        <w:t>Stav</w:t>
      </w:r>
      <w:r>
        <w:rPr>
          <w:rFonts w:ascii="Arial" w:hAnsi="Arial" w:cs="Arial"/>
          <w:sz w:val="20"/>
          <w:szCs w:val="20"/>
          <w:lang w:val="en-GB"/>
        </w:rPr>
        <w:t> </w:t>
      </w:r>
      <w:r w:rsidRPr="009F01FD">
        <w:rPr>
          <w:rFonts w:ascii="Arial" w:hAnsi="Arial" w:cs="Arial"/>
          <w:sz w:val="20"/>
          <w:szCs w:val="20"/>
          <w:lang w:val="en-GB"/>
        </w:rPr>
        <w:t>1-04</w:t>
      </w:r>
      <w:r w:rsidRPr="009F01FD">
        <w:rPr>
          <w:rFonts w:ascii="Arial" w:hAnsi="Arial" w:cs="Arial"/>
          <w:i/>
          <w:sz w:val="20"/>
          <w:szCs w:val="20"/>
          <w:lang w:val="en-GB"/>
        </w:rPr>
        <w:t>.</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lastRenderedPageBreak/>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637060344"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Starting from January 2018</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national version of the </w:t>
      </w:r>
      <w:r w:rsidRPr="009C06EE">
        <w:rPr>
          <w:rFonts w:ascii="Arial" w:hAnsi="Arial" w:cs="Arial"/>
          <w:i/>
          <w:iCs/>
          <w:sz w:val="20"/>
          <w:szCs w:val="20"/>
          <w:lang w:val="en-GB"/>
        </w:rPr>
        <w:t xml:space="preserve">Statistical classification of economic </w:t>
      </w:r>
      <w:r>
        <w:rPr>
          <w:rFonts w:ascii="Arial" w:hAnsi="Arial" w:cs="Arial"/>
          <w:i/>
          <w:iCs/>
          <w:sz w:val="20"/>
          <w:szCs w:val="20"/>
          <w:lang w:val="en-GB"/>
        </w:rPr>
        <w:t xml:space="preserve">activities </w:t>
      </w:r>
      <w:r w:rsidRPr="009C06EE">
        <w:rPr>
          <w:rFonts w:ascii="Arial" w:hAnsi="Arial" w:cs="Arial"/>
          <w:i/>
          <w:iCs/>
          <w:sz w:val="20"/>
          <w:szCs w:val="20"/>
          <w:lang w:val="en-GB"/>
        </w:rPr>
        <w:t>in the European Community</w:t>
      </w:r>
      <w:r>
        <w:rPr>
          <w:rFonts w:ascii="Arial" w:hAnsi="Arial" w:cs="Arial"/>
          <w:i/>
          <w:iCs/>
          <w:sz w:val="20"/>
          <w:szCs w:val="20"/>
          <w:lang w:val="en-GB"/>
        </w:rPr>
        <w:t>,</w:t>
      </w:r>
      <w:r w:rsidRPr="003956F4">
        <w:rPr>
          <w:rFonts w:ascii="Arial" w:hAnsi="Arial" w:cs="Arial"/>
          <w:i/>
          <w:iCs/>
          <w:sz w:val="20"/>
          <w:szCs w:val="20"/>
          <w:lang w:val="en-GB"/>
        </w:rPr>
        <w:t xml:space="preserve"> NACE, Rev.2, which replaced the previously used </w:t>
      </w:r>
      <w:r w:rsidRPr="009C06EE">
        <w:rPr>
          <w:rFonts w:ascii="Arial" w:hAnsi="Arial" w:cs="Arial"/>
          <w:i/>
          <w:iCs/>
          <w:sz w:val="20"/>
          <w:szCs w:val="20"/>
          <w:lang w:val="en-GB"/>
        </w:rPr>
        <w:t>OKEČ</w:t>
      </w:r>
      <w:r w:rsidRPr="003956F4">
        <w:rPr>
          <w:rFonts w:ascii="Arial" w:hAnsi="Arial" w:cs="Arial"/>
          <w:i/>
          <w:iCs/>
          <w:sz w:val="20"/>
          <w:szCs w:val="20"/>
          <w:lang w:val="en-GB"/>
        </w:rPr>
        <w:t xml:space="preserve"> classification, a national version of the NACE Rev.1.1;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lastRenderedPageBreak/>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4F7771" w:rsidRDefault="004F7771" w:rsidP="004F7771">
      <w:pPr>
        <w:pStyle w:val="Zkladntext"/>
        <w:spacing w:before="240" w:after="0" w:line="288" w:lineRule="auto"/>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4F7771" w:rsidRDefault="004F7771" w:rsidP="004F7771">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4F7771" w:rsidRDefault="004F7771" w:rsidP="004F7771">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w:t>
      </w:r>
      <w:r>
        <w:rPr>
          <w:rFonts w:cs="Arial"/>
          <w:i/>
          <w:iCs/>
          <w:sz w:val="20"/>
          <w:szCs w:val="20"/>
          <w:lang w:val="en-GB"/>
        </w:rPr>
        <w:t xml:space="preserve">the </w:t>
      </w:r>
      <w:r w:rsidRPr="001861A5">
        <w:rPr>
          <w:rFonts w:cs="Arial"/>
          <w:i/>
          <w:iCs/>
          <w:sz w:val="20"/>
          <w:szCs w:val="20"/>
          <w:lang w:val="en-GB"/>
        </w:rPr>
        <w:t>industry statistics. The goods, which is moved to and/or from the Czech Republic territory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4F7771" w:rsidRPr="004F7771" w:rsidRDefault="004F7771" w:rsidP="004F7771">
      <w:pPr>
        <w:pStyle w:val="Zkladntext"/>
        <w:spacing w:before="120" w:after="0" w:line="288" w:lineRule="auto"/>
        <w:ind w:firstLine="425"/>
        <w:rPr>
          <w:rFonts w:cs="Arial"/>
          <w:i/>
          <w:iCs/>
          <w:sz w:val="20"/>
          <w:szCs w:val="20"/>
          <w:lang w:val="en-GB"/>
        </w:rPr>
      </w:pPr>
      <w:r w:rsidRPr="004F7771">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lastRenderedPageBreak/>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of</w:t>
      </w:r>
      <w:r w:rsidRPr="00136DFA">
        <w:rPr>
          <w:rFonts w:cs="Arial"/>
          <w:i/>
          <w:iCs/>
          <w:sz w:val="20"/>
          <w:szCs w:val="20"/>
          <w:lang w:val="en-GB"/>
        </w:rPr>
        <w:t xml:space="preserve"> </w:t>
      </w:r>
      <w:r>
        <w:rPr>
          <w:rFonts w:cs="Arial"/>
          <w:i/>
          <w:iCs/>
          <w:sz w:val="20"/>
          <w:szCs w:val="20"/>
          <w:lang w:val="en-GB"/>
        </w:rPr>
        <w:t>“</w:t>
      </w:r>
      <w:r w:rsidRPr="00136DFA">
        <w:rPr>
          <w:rFonts w:cs="Arial"/>
          <w:i/>
          <w:iCs/>
          <w:sz w:val="20"/>
          <w:szCs w:val="20"/>
          <w:lang w:val="en-GB"/>
        </w:rPr>
        <w:t>private entrepreneurs</w:t>
      </w:r>
      <w:r>
        <w:rPr>
          <w:rFonts w:cs="Arial"/>
          <w:i/>
          <w:iCs/>
          <w:sz w:val="20"/>
          <w:szCs w:val="20"/>
          <w:lang w:val="en-GB"/>
        </w:rPr>
        <w:t xml:space="preserve">, total” comprises natural persons in business under the Act No 455/1991 Sb, on Trade Licensing, and the Act No 252/1997 Sb, on Agriculture. In 2009, the end of transformation process of self-employed farmers to agricultural entrepreneurs has been reflected. </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4F7771" w:rsidRDefault="004F7771" w:rsidP="004F7771">
      <w:pPr>
        <w:pStyle w:val="titulek1"/>
        <w:spacing w:before="360" w:after="0"/>
        <w:rPr>
          <w:rFonts w:cs="Arial"/>
          <w:b w:val="0"/>
          <w:i/>
          <w:sz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lastRenderedPageBreak/>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r w:rsidR="00B224B1" w:rsidRPr="00076773">
        <w:rPr>
          <w:rFonts w:ascii="Arial" w:hAnsi="Arial" w:cs="Arial"/>
          <w:b/>
          <w:i/>
          <w:iCs/>
          <w:sz w:val="20"/>
          <w:szCs w:val="20"/>
        </w:rPr>
        <w:t>cumulation</w:t>
      </w:r>
      <w:r w:rsidR="00620EE8" w:rsidRPr="00076773">
        <w:rPr>
          <w:rFonts w:ascii="Arial" w:hAnsi="Arial" w:cs="Arial"/>
          <w:b/>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lastRenderedPageBreak/>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lastRenderedPageBreak/>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lastRenderedPageBreak/>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1C1FAA">
      <w:headerReference w:type="even" r:id="rId12"/>
      <w:headerReference w:type="default" r:id="rId13"/>
      <w:footerReference w:type="even" r:id="rId14"/>
      <w:footerReference w:type="default" r:id="rId15"/>
      <w:pgSz w:w="11906" w:h="16838" w:code="9"/>
      <w:pgMar w:top="1134" w:right="1134" w:bottom="1418" w:left="1134" w:header="51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F8" w:rsidRDefault="006E77F8">
      <w:r>
        <w:separator/>
      </w:r>
    </w:p>
  </w:endnote>
  <w:endnote w:type="continuationSeparator" w:id="0">
    <w:p w:rsidR="006E77F8" w:rsidRDefault="006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2D70C0">
      <w:rPr>
        <w:rFonts w:ascii="Arial" w:hAnsi="Arial" w:cs="Arial"/>
        <w:noProof/>
        <w:sz w:val="16"/>
        <w:szCs w:val="16"/>
      </w:rPr>
      <w:t>20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157389">
      <w:rPr>
        <w:rFonts w:ascii="Arial" w:hAnsi="Arial" w:cs="Arial"/>
        <w:sz w:val="16"/>
        <w:szCs w:val="16"/>
      </w:rPr>
      <w:t>3</w:t>
    </w:r>
    <w:r w:rsidR="003D0DDC" w:rsidRPr="00D750C6">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 </w:t>
    </w:r>
    <w:r w:rsidR="00157389">
      <w:rPr>
        <w:rFonts w:ascii="Arial" w:hAnsi="Arial" w:cs="Arial"/>
        <w:i/>
        <w:sz w:val="16"/>
        <w:szCs w:val="16"/>
      </w:rPr>
      <w:t>3rd</w:t>
    </w:r>
    <w:r w:rsidR="004A4853" w:rsidRPr="004A4853">
      <w:rPr>
        <w:rFonts w:ascii="Arial" w:hAnsi="Arial" w:cs="Arial"/>
        <w:i/>
        <w:sz w:val="16"/>
        <w:szCs w:val="16"/>
      </w:rPr>
      <w:t xml:space="preserve"> quarter 201</w:t>
    </w:r>
    <w:r w:rsidR="00A42CF1">
      <w:rPr>
        <w:rFonts w:ascii="Arial" w:hAnsi="Arial" w:cs="Arial"/>
        <w:i/>
        <w:sz w:val="16"/>
        <w:szCs w:val="16"/>
      </w:rPr>
      <w:t>9</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157389">
      <w:rPr>
        <w:rFonts w:ascii="Arial" w:hAnsi="Arial" w:cs="Arial"/>
        <w:sz w:val="16"/>
        <w:szCs w:val="16"/>
      </w:rPr>
      <w:t>3</w:t>
    </w:r>
    <w:r>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w:t>
    </w:r>
    <w:r w:rsidR="001C1FAA">
      <w:rPr>
        <w:rFonts w:ascii="Arial" w:hAnsi="Arial" w:cs="Arial"/>
        <w:sz w:val="16"/>
        <w:szCs w:val="16"/>
      </w:rPr>
      <w:t xml:space="preserve"> </w:t>
    </w:r>
    <w:r w:rsidR="00157389">
      <w:rPr>
        <w:rFonts w:ascii="Arial" w:hAnsi="Arial" w:cs="Arial"/>
        <w:i/>
        <w:sz w:val="16"/>
        <w:szCs w:val="16"/>
      </w:rPr>
      <w:t>3rd</w:t>
    </w:r>
    <w:r w:rsidR="00A42CF1">
      <w:rPr>
        <w:rFonts w:ascii="Arial" w:hAnsi="Arial" w:cs="Arial"/>
        <w:i/>
        <w:sz w:val="16"/>
        <w:szCs w:val="16"/>
      </w:rPr>
      <w:t xml:space="preserve"> quarter 2019</w:t>
    </w:r>
    <w:r w:rsidRPr="004A4853">
      <w:rPr>
        <w:rFonts w:ascii="Arial" w:hAnsi="Arial" w:cs="Arial"/>
        <w:i/>
        <w:sz w:val="16"/>
        <w:szCs w:val="16"/>
      </w:rPr>
      <w:ptab w:relativeTo="margin" w:alignment="right" w:leader="none"/>
    </w:r>
    <w:r w:rsidR="00B224B1" w:rsidRPr="002B078B">
      <w:rPr>
        <w:rFonts w:ascii="Arial" w:hAnsi="Arial" w:cs="Arial"/>
        <w:sz w:val="16"/>
        <w:szCs w:val="16"/>
      </w:rPr>
      <w:fldChar w:fldCharType="begin"/>
    </w:r>
    <w:r w:rsidRPr="002B078B">
      <w:rPr>
        <w:rFonts w:ascii="Arial" w:hAnsi="Arial" w:cs="Arial"/>
        <w:sz w:val="16"/>
        <w:szCs w:val="16"/>
      </w:rPr>
      <w:instrText xml:space="preserve"> PAGE   \* MERGEFORMAT </w:instrText>
    </w:r>
    <w:r w:rsidR="00B224B1" w:rsidRPr="002B078B">
      <w:rPr>
        <w:rFonts w:ascii="Arial" w:hAnsi="Arial" w:cs="Arial"/>
        <w:sz w:val="16"/>
        <w:szCs w:val="16"/>
      </w:rPr>
      <w:fldChar w:fldCharType="separate"/>
    </w:r>
    <w:r w:rsidR="002D70C0">
      <w:rPr>
        <w:rFonts w:ascii="Arial" w:hAnsi="Arial" w:cs="Arial"/>
        <w:noProof/>
        <w:sz w:val="16"/>
        <w:szCs w:val="16"/>
      </w:rPr>
      <w:t>31</w:t>
    </w:r>
    <w:r w:rsidR="00B224B1" w:rsidRPr="002B07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F8" w:rsidRDefault="006E77F8">
      <w:r>
        <w:separator/>
      </w:r>
    </w:p>
  </w:footnote>
  <w:footnote w:type="continuationSeparator" w:id="0">
    <w:p w:rsidR="006E77F8" w:rsidRDefault="006E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1C1FAA" w:rsidP="001C1FAA">
    <w:pPr>
      <w:pStyle w:val="Zhlav"/>
      <w:spacing w:after="120"/>
      <w:rPr>
        <w:rFonts w:ascii="Arial" w:hAnsi="Arial" w:cs="Arial"/>
        <w:i/>
        <w:spacing w:val="-2"/>
        <w:sz w:val="16"/>
        <w:szCs w:val="16"/>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E91351">
      <w:rPr>
        <w:rFonts w:ascii="Arial" w:hAnsi="Arial" w:cs="Arial"/>
        <w:i/>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i/>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7"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7"/>
  </w:num>
  <w:num w:numId="3">
    <w:abstractNumId w:val="20"/>
  </w:num>
  <w:num w:numId="4">
    <w:abstractNumId w:val="0"/>
  </w:num>
  <w:num w:numId="5">
    <w:abstractNumId w:val="7"/>
  </w:num>
  <w:num w:numId="6">
    <w:abstractNumId w:val="15"/>
  </w:num>
  <w:num w:numId="7">
    <w:abstractNumId w:val="1"/>
  </w:num>
  <w:num w:numId="8">
    <w:abstractNumId w:val="2"/>
  </w:num>
  <w:num w:numId="9">
    <w:abstractNumId w:val="11"/>
  </w:num>
  <w:num w:numId="10">
    <w:abstractNumId w:val="22"/>
  </w:num>
  <w:num w:numId="11">
    <w:abstractNumId w:val="19"/>
  </w:num>
  <w:num w:numId="12">
    <w:abstractNumId w:val="3"/>
  </w:num>
  <w:num w:numId="13">
    <w:abstractNumId w:val="10"/>
  </w:num>
  <w:num w:numId="14">
    <w:abstractNumId w:val="13"/>
  </w:num>
  <w:num w:numId="15">
    <w:abstractNumId w:val="6"/>
  </w:num>
  <w:num w:numId="16">
    <w:abstractNumId w:val="4"/>
  </w:num>
  <w:num w:numId="17">
    <w:abstractNumId w:val="21"/>
  </w:num>
  <w:num w:numId="18">
    <w:abstractNumId w:val="5"/>
  </w:num>
  <w:num w:numId="19">
    <w:abstractNumId w:val="18"/>
  </w:num>
  <w:num w:numId="20">
    <w:abstractNumId w:val="12"/>
  </w:num>
  <w:num w:numId="21">
    <w:abstractNumId w:val="23"/>
  </w:num>
  <w:num w:numId="22">
    <w:abstractNumId w:val="16"/>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7C42"/>
    <w:rsid w:val="001B1A8D"/>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D70C0"/>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4618"/>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7D3"/>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E77F8"/>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654F"/>
    <w:rsid w:val="00A60284"/>
    <w:rsid w:val="00A63750"/>
    <w:rsid w:val="00A67AD6"/>
    <w:rsid w:val="00A720A1"/>
    <w:rsid w:val="00A749CA"/>
    <w:rsid w:val="00A767A2"/>
    <w:rsid w:val="00A77A93"/>
    <w:rsid w:val="00A82CA9"/>
    <w:rsid w:val="00A82E77"/>
    <w:rsid w:val="00A86C6F"/>
    <w:rsid w:val="00A8752A"/>
    <w:rsid w:val="00A9127E"/>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01B"/>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3D07"/>
    <w:rsid w:val="00B8486B"/>
    <w:rsid w:val="00B867B8"/>
    <w:rsid w:val="00B924DE"/>
    <w:rsid w:val="00B92538"/>
    <w:rsid w:val="00B92BC3"/>
    <w:rsid w:val="00B937FF"/>
    <w:rsid w:val="00B966F3"/>
    <w:rsid w:val="00B97AF8"/>
    <w:rsid w:val="00BA2AEA"/>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37BB"/>
    <w:rsid w:val="00C93FAC"/>
    <w:rsid w:val="00CA2FAB"/>
    <w:rsid w:val="00CA4AB3"/>
    <w:rsid w:val="00CA59A6"/>
    <w:rsid w:val="00CA7E90"/>
    <w:rsid w:val="00CB141B"/>
    <w:rsid w:val="00CB295C"/>
    <w:rsid w:val="00CB40C1"/>
    <w:rsid w:val="00CB468D"/>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6C31"/>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C591-B00A-42D8-8D7B-51E772DC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6267</Words>
  <Characters>36981</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43162</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2018-09-24T10:11:00Z</cp:lastPrinted>
  <dcterms:created xsi:type="dcterms:W3CDTF">2019-12-05T13:13:00Z</dcterms:created>
  <dcterms:modified xsi:type="dcterms:W3CDTF">2019-12-05T13:13:00Z</dcterms:modified>
</cp:coreProperties>
</file>