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bookmarkStart w:id="0" w:name="_GoBack"/>
      <w:bookmarkEnd w:id="0"/>
      <w:r w:rsidRPr="007C30BF">
        <w:rPr>
          <w:sz w:val="32"/>
          <w:szCs w:val="32"/>
        </w:rPr>
        <w:t>METODICKÉ POZNÁMKY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Veškeré údaje se týkají všech obyvatel, kteří mají v ČR trvalé bydliště, a to bez ohledu na státní občanství. Od r</w:t>
      </w:r>
      <w:r w:rsidR="005148D3" w:rsidRPr="007C30BF">
        <w:rPr>
          <w:rFonts w:cs="Arial"/>
          <w:sz w:val="20"/>
          <w:szCs w:val="20"/>
        </w:rPr>
        <w:t>oku</w:t>
      </w:r>
      <w:r w:rsidRPr="007C30BF">
        <w:rPr>
          <w:rFonts w:cs="Arial"/>
          <w:sz w:val="20"/>
          <w:szCs w:val="20"/>
        </w:rPr>
        <w:t xml:space="preserve"> 2001 (v návaznosti na sčítání lidu, domů a bytů 2001) údaje zahrnují také cizince s vízy </w:t>
      </w:r>
      <w:r w:rsidR="001D15E1">
        <w:rPr>
          <w:rFonts w:cs="Arial"/>
          <w:sz w:val="20"/>
          <w:szCs w:val="20"/>
        </w:rPr>
        <w:t xml:space="preserve">k pobytu </w:t>
      </w:r>
      <w:r w:rsidRPr="007C30BF">
        <w:rPr>
          <w:rFonts w:cs="Arial"/>
          <w:sz w:val="20"/>
          <w:szCs w:val="20"/>
        </w:rPr>
        <w:t>nad 90 dnů (podle zákona č. 326/1999 Sb., o pobytu cizinců) a cizince s přiznaným azylem (podle zákona č.</w:t>
      </w:r>
      <w:r w:rsidR="001D15E1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325/1999 Sb., o azylu). Od 1. 5. 2004, v návaznosti na tzv. </w:t>
      </w:r>
      <w:r w:rsidR="005A4B57" w:rsidRPr="007C30BF">
        <w:rPr>
          <w:rFonts w:cs="Arial"/>
          <w:sz w:val="20"/>
          <w:szCs w:val="20"/>
        </w:rPr>
        <w:t>e</w:t>
      </w:r>
      <w:r w:rsidRPr="007C30BF">
        <w:rPr>
          <w:rFonts w:cs="Arial"/>
          <w:sz w:val="20"/>
          <w:szCs w:val="20"/>
        </w:rPr>
        <w:t xml:space="preserve">uronovelu zákona č. 326/1999 Sb., o pobytu cizinců, se údaje týkají </w:t>
      </w:r>
      <w:r w:rsidR="00FF7759" w:rsidRPr="007C30BF">
        <w:rPr>
          <w:rFonts w:cs="Arial"/>
          <w:sz w:val="20"/>
          <w:szCs w:val="20"/>
        </w:rPr>
        <w:t xml:space="preserve">též </w:t>
      </w:r>
      <w:r w:rsidRPr="007C30BF">
        <w:rPr>
          <w:rFonts w:cs="Arial"/>
          <w:sz w:val="20"/>
          <w:szCs w:val="20"/>
        </w:rPr>
        <w:t>občanů zemí EU s přechodným pobytem na území ČR a občanů třetích zemí s</w:t>
      </w:r>
      <w:r w:rsidR="0055314D" w:rsidRPr="007C30BF">
        <w:rPr>
          <w:rFonts w:cs="Arial"/>
          <w:sz w:val="20"/>
          <w:szCs w:val="20"/>
        </w:rPr>
        <w:t> povolením k </w:t>
      </w:r>
      <w:r w:rsidRPr="007C30BF">
        <w:rPr>
          <w:rFonts w:cs="Arial"/>
          <w:sz w:val="20"/>
          <w:szCs w:val="20"/>
        </w:rPr>
        <w:t>dlouhodob</w:t>
      </w:r>
      <w:r w:rsidR="0055314D" w:rsidRPr="007C30BF">
        <w:rPr>
          <w:rFonts w:cs="Arial"/>
          <w:sz w:val="20"/>
          <w:szCs w:val="20"/>
        </w:rPr>
        <w:t>é</w:t>
      </w:r>
      <w:r w:rsidRPr="007C30BF">
        <w:rPr>
          <w:rFonts w:cs="Arial"/>
          <w:sz w:val="20"/>
          <w:szCs w:val="20"/>
        </w:rPr>
        <w:t>m</w:t>
      </w:r>
      <w:r w:rsidR="0055314D" w:rsidRPr="007C30BF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pobyt</w:t>
      </w:r>
      <w:r w:rsidR="0055314D" w:rsidRPr="007C30BF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. Údaje zohledňují rovněž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>občanů s trvalým pobytem na území ČR, které nastaly v cizině.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 xml:space="preserve">Územní členění výsledků zpracování za kraje a </w:t>
      </w:r>
      <w:r w:rsidR="00140FEA" w:rsidRPr="007C30BF">
        <w:rPr>
          <w:rFonts w:cs="Arial"/>
          <w:szCs w:val="20"/>
        </w:rPr>
        <w:t>regiony soudržnosti</w:t>
      </w:r>
      <w:r w:rsidRPr="007C30BF">
        <w:rPr>
          <w:rFonts w:cs="Arial"/>
          <w:szCs w:val="20"/>
        </w:rPr>
        <w:t xml:space="preserve"> důsledně respektuje ústavní zákon č. 347/1997 Sb., o</w:t>
      </w:r>
      <w:r w:rsidR="00063818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vytvoření </w:t>
      </w:r>
      <w:r w:rsidR="0065294A">
        <w:rPr>
          <w:rFonts w:cs="Arial"/>
          <w:szCs w:val="20"/>
        </w:rPr>
        <w:t>vyšších územních samosprávných celků</w:t>
      </w:r>
      <w:r w:rsidR="004B1137">
        <w:rPr>
          <w:rFonts w:cs="Arial"/>
          <w:szCs w:val="20"/>
        </w:rPr>
        <w:t>,</w:t>
      </w:r>
      <w:r w:rsidRPr="007C30BF">
        <w:rPr>
          <w:rFonts w:cs="Arial"/>
          <w:szCs w:val="20"/>
        </w:rPr>
        <w:t xml:space="preserve"> v platném znění, zákon č. 387/2004 Sb., o změnách hranic krajů a klasifikaci CZ-NUTS, zavedenou opatřením ČSÚ ze dne 27. 4. 1999. Od</w:t>
      </w:r>
      <w:r w:rsidR="00CF5FB2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 1. 2008 je úroveň okresů NUTS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4 nahrazena, v souladu se systémem Eurostatu, klasifikací LAU (Local Administrative Units), konkrétně úrovní LAU 1. 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:rsidR="00D918FD" w:rsidRPr="007C30BF" w:rsidRDefault="00D918F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:rsidR="00D918FD" w:rsidRPr="007C30BF" w:rsidRDefault="00D918FD" w:rsidP="00C947BB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Pohyb obyvatelstva v ČR v letech 1921–201</w:t>
      </w:r>
      <w:r w:rsidR="00324DF2">
        <w:rPr>
          <w:rFonts w:cs="Arial"/>
          <w:sz w:val="24"/>
          <w:szCs w:val="24"/>
        </w:rPr>
        <w:t>8</w:t>
      </w:r>
    </w:p>
    <w:p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Pr="007C30BF">
        <w:rPr>
          <w:rFonts w:ascii="Arial" w:hAnsi="Arial" w:cs="Arial"/>
          <w:sz w:val="20"/>
          <w:szCs w:val="20"/>
        </w:rPr>
        <w:t xml:space="preserve"> pohybu obyvatelstva </w:t>
      </w:r>
      <w:r w:rsidR="00FB11D9">
        <w:rPr>
          <w:rFonts w:ascii="Arial" w:hAnsi="Arial" w:cs="Arial"/>
          <w:sz w:val="20"/>
          <w:szCs w:val="20"/>
        </w:rPr>
        <w:t>se vztahuje k </w:t>
      </w:r>
      <w:r w:rsidR="003537F4" w:rsidRPr="00FB11D9">
        <w:rPr>
          <w:rFonts w:ascii="Arial" w:hAnsi="Arial" w:cs="Arial"/>
          <w:sz w:val="20"/>
          <w:szCs w:val="20"/>
        </w:rPr>
        <w:t>současné</w:t>
      </w:r>
      <w:r w:rsidR="00FB11D9">
        <w:rPr>
          <w:rFonts w:ascii="Arial" w:hAnsi="Arial" w:cs="Arial"/>
          <w:sz w:val="20"/>
          <w:szCs w:val="20"/>
        </w:rPr>
        <w:t>mu 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>, 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byla zahrnuta do </w:t>
      </w:r>
      <w:r w:rsidR="00971335">
        <w:rPr>
          <w:rFonts w:ascii="Arial" w:hAnsi="Arial" w:cs="Arial"/>
          <w:sz w:val="20"/>
          <w:szCs w:val="20"/>
        </w:rPr>
        <w:t>umělých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:rsidR="00D918FD" w:rsidRPr="00FB11D9" w:rsidRDefault="00D918FD" w:rsidP="008472FC">
      <w:pPr>
        <w:spacing w:line="288" w:lineRule="auto"/>
        <w:rPr>
          <w:b/>
          <w:sz w:val="24"/>
        </w:rPr>
      </w:pPr>
      <w:r w:rsidRPr="00FB11D9">
        <w:rPr>
          <w:b/>
          <w:sz w:val="24"/>
        </w:rPr>
        <w:t>A. Přehled pohybu obyvatelstva</w:t>
      </w:r>
    </w:p>
    <w:p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2A18C0" w:rsidRPr="00FB11D9">
        <w:rPr>
          <w:rFonts w:cs="Arial"/>
          <w:szCs w:val="20"/>
        </w:rPr>
        <w:t>201</w:t>
      </w:r>
      <w:r w:rsidR="00324DF2">
        <w:rPr>
          <w:rFonts w:cs="Arial"/>
          <w:szCs w:val="20"/>
        </w:rPr>
        <w:t>8</w:t>
      </w:r>
      <w:r w:rsidR="002A18C0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324DF2">
        <w:rPr>
          <w:rFonts w:cs="Arial"/>
          <w:szCs w:val="20"/>
        </w:rPr>
        <w:t>5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B. Sňatky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S výjimkou tabulky B.02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C. Rozvody</w:t>
      </w:r>
    </w:p>
    <w:p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>D. Narození</w:t>
      </w:r>
    </w:p>
    <w:p w:rsidR="00D918FD" w:rsidRPr="007C30BF" w:rsidRDefault="00D918FD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Obecné definice pojmů narození živého dítěte a narození mrtvého dítěte platná </w:t>
      </w:r>
      <w:r w:rsidR="00435C8C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národní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legislativa (v době vydání této publikace) neobsahuje. </w:t>
      </w:r>
      <w:r w:rsidR="00806FC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Definice jsou uvedeny pouze v pokynech k vyplnění Listu o prohlídce zemřelého a to pro potřeby vyplnění tohoto listu. </w:t>
      </w:r>
      <w:r w:rsidR="001C5912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Narození živého dítěte je definováno v nařízení Evropského parlamentu a Rady (EU) č. 1260/2013 o evropské demografické statistice.</w:t>
      </w:r>
      <w:r w:rsidR="001C5912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Mrtvě narozené dítě je definováno v</w:t>
      </w:r>
      <w:r w:rsidR="007D374C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nařízení Komise (EU)</w:t>
      </w:r>
      <w:r w:rsidR="008D219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č. 328/2011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, kterým se provádí nařízení Evropského parlamentu a Rady (ES) </w:t>
      </w:r>
      <w:r w:rsidR="00884B1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č. </w:t>
      </w:r>
      <w:r w:rsidR="008D219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1338/2008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o statistice Společenství v oblasti veřejného zdraví a bezpečnosti a ochrany zdraví při práci, pokud jde o statistiky příčin smrti, a to pro účely </w:t>
      </w:r>
      <w:r w:rsidR="00806FC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těchto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nařízení.</w:t>
      </w:r>
      <w:r w:rsidR="0055314D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</w:p>
    <w:p w:rsidR="00C04DFA" w:rsidRPr="007C30BF" w:rsidRDefault="0049754C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:rsidR="00495566" w:rsidRDefault="003013C4" w:rsidP="00C947BB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(MKN-10)</w:t>
      </w:r>
      <w:r w:rsidRPr="007C30BF">
        <w:rPr>
          <w:rFonts w:cs="Arial"/>
          <w:sz w:val="20"/>
          <w:szCs w:val="20"/>
        </w:rPr>
        <w:t xml:space="preserve"> a následných aktualizací, vydávaných Světovou zdravotnickou organizací (WHO</w:t>
      </w:r>
      <w:r w:rsidRPr="001C6FB8">
        <w:rPr>
          <w:rFonts w:cs="Arial"/>
          <w:color w:val="000000" w:themeColor="text1"/>
          <w:sz w:val="20"/>
          <w:szCs w:val="20"/>
        </w:rPr>
        <w:t>)</w:t>
      </w:r>
      <w:r w:rsidR="00D918FD" w:rsidRPr="001C6FB8">
        <w:rPr>
          <w:rFonts w:cs="Arial"/>
          <w:color w:val="000000" w:themeColor="text1"/>
          <w:sz w:val="20"/>
          <w:szCs w:val="20"/>
        </w:rPr>
        <w:t xml:space="preserve">. </w:t>
      </w:r>
      <w:r w:rsidR="00324DF2" w:rsidRPr="001C6FB8">
        <w:rPr>
          <w:rFonts w:cs="Arial"/>
          <w:color w:val="000000" w:themeColor="text1"/>
          <w:sz w:val="20"/>
          <w:szCs w:val="20"/>
        </w:rPr>
        <w:t>Poslední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mi </w:t>
      </w:r>
      <w:r w:rsidR="001C6FB8" w:rsidRPr="001C6FB8">
        <w:rPr>
          <w:rFonts w:cs="Arial"/>
          <w:color w:val="000000" w:themeColor="text1"/>
          <w:sz w:val="20"/>
          <w:szCs w:val="20"/>
        </w:rPr>
        <w:t>(v ČR) implementovanými aktualizacemi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</w:t>
      </w:r>
      <w:r w:rsidR="001C6FB8" w:rsidRPr="001C6FB8">
        <w:rPr>
          <w:rFonts w:cs="Arial"/>
          <w:color w:val="000000" w:themeColor="text1"/>
          <w:sz w:val="20"/>
          <w:szCs w:val="20"/>
        </w:rPr>
        <w:t>jsou ty, které vstoupily v platnost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1. 1. 2018. </w:t>
      </w:r>
      <w:r w:rsidR="00D918FD" w:rsidRPr="001C6FB8">
        <w:rPr>
          <w:rFonts w:cs="Arial"/>
          <w:color w:val="000000" w:themeColor="text1"/>
          <w:sz w:val="20"/>
          <w:szCs w:val="20"/>
        </w:rPr>
        <w:t>Garantem MKN-</w:t>
      </w:r>
      <w:r w:rsidR="00D918FD" w:rsidRPr="007C30BF">
        <w:rPr>
          <w:rFonts w:cs="Arial"/>
          <w:sz w:val="20"/>
          <w:szCs w:val="20"/>
        </w:rPr>
        <w:t xml:space="preserve">10 je ÚZIS ČR.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>provádí pomocí programu pro automatizované kódování (IRIS).</w:t>
      </w:r>
      <w:r w:rsidRPr="007C30BF">
        <w:rPr>
          <w:rFonts w:cs="Arial"/>
          <w:sz w:val="20"/>
          <w:szCs w:val="20"/>
        </w:rPr>
        <w:t xml:space="preserve"> </w:t>
      </w:r>
    </w:p>
    <w:p w:rsidR="00CB037A" w:rsidRPr="007C30BF" w:rsidRDefault="00CB037A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 tabulce G.04 Zemřelí do 1 roku podle pohlaví, věku a příčin smrti byl</w:t>
      </w:r>
      <w:r w:rsidR="001D15E1">
        <w:rPr>
          <w:rFonts w:cs="Arial"/>
          <w:szCs w:val="20"/>
        </w:rPr>
        <w:t>y</w:t>
      </w:r>
      <w:r w:rsidRPr="007C30BF">
        <w:rPr>
          <w:rFonts w:cs="Arial"/>
          <w:szCs w:val="20"/>
        </w:rPr>
        <w:t xml:space="preserve"> </w:t>
      </w:r>
      <w:r w:rsidR="004054E1" w:rsidRPr="007C30BF">
        <w:rPr>
          <w:rFonts w:cs="Arial"/>
          <w:szCs w:val="20"/>
        </w:rPr>
        <w:t>skupin</w:t>
      </w:r>
      <w:r w:rsidR="001D15E1">
        <w:rPr>
          <w:rFonts w:cs="Arial"/>
          <w:szCs w:val="20"/>
        </w:rPr>
        <w:t>y</w:t>
      </w:r>
      <w:r w:rsidR="004054E1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příčin smrti </w:t>
      </w:r>
      <w:r w:rsidR="001D15E1">
        <w:rPr>
          <w:rFonts w:cs="Arial"/>
          <w:szCs w:val="20"/>
        </w:rPr>
        <w:t xml:space="preserve">vybrány </w:t>
      </w:r>
      <w:r w:rsidRPr="007C30BF">
        <w:rPr>
          <w:rFonts w:cs="Arial"/>
          <w:szCs w:val="20"/>
        </w:rPr>
        <w:t xml:space="preserve">na základě </w:t>
      </w:r>
      <w:r w:rsidR="004054E1" w:rsidRPr="007C30BF">
        <w:rPr>
          <w:rFonts w:cs="Arial"/>
          <w:szCs w:val="20"/>
        </w:rPr>
        <w:t xml:space="preserve">mezinárodně </w:t>
      </w:r>
      <w:r w:rsidRPr="007C30BF">
        <w:rPr>
          <w:rFonts w:cs="Arial"/>
          <w:szCs w:val="20"/>
        </w:rPr>
        <w:t>nejčastěji publikovaných kategorií příčin smrti u kojenců.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MKN-10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G.05)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G.06) dle mechani</w:t>
      </w:r>
      <w:r w:rsidR="00CC7B4E" w:rsidRPr="007C30BF">
        <w:rPr>
          <w:rFonts w:cs="Arial"/>
          <w:szCs w:val="20"/>
        </w:rPr>
        <w:t>smu smrti.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H. Stěhování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I. Populační bilance a analytické ukazatele</w:t>
      </w:r>
    </w:p>
    <w:p w:rsidR="00D918FD" w:rsidRDefault="00D918FD" w:rsidP="00CF5FB2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Střední stav o</w:t>
      </w:r>
      <w:r w:rsidR="00845C4D">
        <w:rPr>
          <w:rFonts w:cs="Arial"/>
          <w:sz w:val="20"/>
          <w:szCs w:val="20"/>
        </w:rPr>
        <w:t>byvatel podle pohlaví a věku</w:t>
      </w:r>
      <w:r w:rsidR="00CF5FB2">
        <w:rPr>
          <w:rFonts w:cs="Arial"/>
          <w:sz w:val="20"/>
          <w:szCs w:val="20"/>
        </w:rPr>
        <w:t xml:space="preserve"> je v případě</w:t>
      </w:r>
      <w:r w:rsidR="00F066A2">
        <w:rPr>
          <w:rFonts w:cs="Arial"/>
          <w:sz w:val="20"/>
          <w:szCs w:val="20"/>
        </w:rPr>
        <w:t xml:space="preserve"> výpočt</w:t>
      </w:r>
      <w:r w:rsidR="00CF5FB2">
        <w:rPr>
          <w:rFonts w:cs="Arial"/>
          <w:sz w:val="20"/>
          <w:szCs w:val="20"/>
        </w:rPr>
        <w:t>u</w:t>
      </w:r>
      <w:r w:rsidR="00F066A2">
        <w:rPr>
          <w:rFonts w:cs="Arial"/>
          <w:sz w:val="20"/>
          <w:szCs w:val="20"/>
        </w:rPr>
        <w:t xml:space="preserve"> ukazatelů</w:t>
      </w:r>
      <w:r w:rsidRPr="007C30BF">
        <w:rPr>
          <w:rFonts w:cs="Arial"/>
          <w:sz w:val="20"/>
          <w:szCs w:val="20"/>
        </w:rPr>
        <w:t xml:space="preserve"> v členění </w:t>
      </w:r>
      <w:r w:rsidR="00163D39">
        <w:rPr>
          <w:rFonts w:cs="Arial"/>
          <w:sz w:val="20"/>
          <w:szCs w:val="20"/>
        </w:rPr>
        <w:t>„</w:t>
      </w:r>
      <w:r w:rsidRPr="007C30BF">
        <w:rPr>
          <w:rFonts w:cs="Arial"/>
          <w:sz w:val="20"/>
          <w:szCs w:val="20"/>
        </w:rPr>
        <w:t>venkov  – město</w:t>
      </w:r>
      <w:r w:rsidR="00163D39">
        <w:rPr>
          <w:rFonts w:cs="Arial"/>
          <w:sz w:val="20"/>
          <w:szCs w:val="20"/>
        </w:rPr>
        <w:t>“</w:t>
      </w:r>
      <w:r w:rsidRPr="007C30BF">
        <w:rPr>
          <w:rFonts w:cs="Arial"/>
          <w:sz w:val="20"/>
          <w:szCs w:val="20"/>
        </w:rPr>
        <w:t xml:space="preserve"> průměrem </w:t>
      </w:r>
      <w:r w:rsidR="00F066A2">
        <w:rPr>
          <w:rFonts w:cs="Arial"/>
          <w:sz w:val="20"/>
          <w:szCs w:val="20"/>
        </w:rPr>
        <w:t>počátečního a koncového stavu obyvatel daného pohlaví a</w:t>
      </w:r>
      <w:r w:rsidRPr="007C30BF">
        <w:rPr>
          <w:rFonts w:cs="Arial"/>
          <w:sz w:val="20"/>
          <w:szCs w:val="20"/>
        </w:rPr>
        <w:t xml:space="preserve"> věku. Venkov</w:t>
      </w:r>
      <w:r w:rsidR="00C0701D">
        <w:rPr>
          <w:rFonts w:cs="Arial"/>
          <w:sz w:val="20"/>
          <w:szCs w:val="20"/>
        </w:rPr>
        <w:t>em se zde rozumí</w:t>
      </w:r>
      <w:r w:rsidRPr="007C30BF">
        <w:rPr>
          <w:rFonts w:cs="Arial"/>
          <w:sz w:val="20"/>
          <w:szCs w:val="20"/>
        </w:rPr>
        <w:t xml:space="preserve"> obce, v nichž k 31.</w:t>
      </w:r>
      <w:r w:rsidR="00CC7B4E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12.</w:t>
      </w:r>
      <w:r w:rsidR="00CC7B4E" w:rsidRPr="007C30BF">
        <w:rPr>
          <w:rFonts w:cs="Arial"/>
          <w:sz w:val="20"/>
          <w:szCs w:val="20"/>
        </w:rPr>
        <w:t> </w:t>
      </w:r>
      <w:r w:rsidR="00F066A2">
        <w:rPr>
          <w:rFonts w:cs="Arial"/>
          <w:sz w:val="20"/>
          <w:szCs w:val="20"/>
        </w:rPr>
        <w:t>daného roku</w:t>
      </w:r>
      <w:r w:rsidR="004054E1"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žilo méně než 2 000 obyvatel, </w:t>
      </w:r>
      <w:r w:rsidR="00C0701D">
        <w:rPr>
          <w:rFonts w:cs="Arial"/>
          <w:sz w:val="20"/>
          <w:szCs w:val="20"/>
        </w:rPr>
        <w:t xml:space="preserve">a </w:t>
      </w:r>
      <w:r w:rsidRPr="007C30BF">
        <w:rPr>
          <w:rFonts w:cs="Arial"/>
          <w:sz w:val="20"/>
          <w:szCs w:val="20"/>
        </w:rPr>
        <w:t>měst</w:t>
      </w:r>
      <w:r w:rsidR="00C0701D">
        <w:rPr>
          <w:rFonts w:cs="Arial"/>
          <w:sz w:val="20"/>
          <w:szCs w:val="20"/>
        </w:rPr>
        <w:t>em</w:t>
      </w:r>
      <w:r w:rsidRPr="007C30BF">
        <w:rPr>
          <w:rFonts w:cs="Arial"/>
          <w:sz w:val="20"/>
          <w:szCs w:val="20"/>
        </w:rPr>
        <w:t xml:space="preserve"> obce s počtem obyvatel 2 000 a více.</w:t>
      </w:r>
    </w:p>
    <w:p w:rsidR="00D918FD" w:rsidRPr="007C30BF" w:rsidRDefault="00D918FD" w:rsidP="005655DF">
      <w:pPr>
        <w:spacing w:before="600" w:after="100" w:line="288" w:lineRule="auto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lastRenderedPageBreak/>
        <w:t>Ukazatele</w:t>
      </w:r>
    </w:p>
    <w:p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daného roku. 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1 roku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28 dnů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a dětí zemřelých před dosažením věku 7 dnů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>Počet živě narozených dětí ženám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živě narozených dětí, které by se narodily jedné ženě za předpokladu, že by míry plodnosti podle věku zaznamenané ve sledovaném kalendářním roce zůstaly během jejího reprodukčního období</w:t>
      </w:r>
      <w:r w:rsidRPr="007C30BF">
        <w:rPr>
          <w:rFonts w:cs="Arial"/>
          <w:sz w:val="20"/>
          <w:szCs w:val="20"/>
        </w:rPr>
        <w:br/>
        <w:t>(15-49 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za předpokladu, že by míry plodnosti podle věku zaznamenané ve sledovaném kalendářním roce zůstaly během jejího reprodukčního věku 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D918FD" w:rsidRPr="00023455" w:rsidRDefault="00D918FD" w:rsidP="00750E81">
      <w:pPr>
        <w:pStyle w:val="Nadpis2"/>
        <w:spacing w:line="288" w:lineRule="auto"/>
        <w:rPr>
          <w:b w:val="0"/>
          <w:szCs w:val="20"/>
        </w:rPr>
      </w:pPr>
      <w:r w:rsidRPr="007C30BF">
        <w:rPr>
          <w:szCs w:val="20"/>
        </w:rPr>
        <w:t xml:space="preserve">Čistá míra </w:t>
      </w:r>
      <w:r w:rsidRPr="00023455">
        <w:rPr>
          <w:szCs w:val="20"/>
        </w:rPr>
        <w:t>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čmr</w:t>
      </w:r>
      <w:proofErr w:type="spellEnd"/>
      <w:r w:rsidR="00B56010">
        <w:rPr>
          <w:szCs w:val="20"/>
        </w:rPr>
        <w:t>)</w:t>
      </w:r>
    </w:p>
    <w:p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(15-49 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potratů žen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potratovosti podle jednotek věku)</w:t>
      </w:r>
    </w:p>
    <w:p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(15-49 let) neměnné.</w:t>
      </w:r>
    </w:p>
    <w:p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indukované potratovosti podle jednotek věku)</w:t>
      </w:r>
    </w:p>
    <w:p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(15-49 let) neměnné.</w:t>
      </w:r>
    </w:p>
    <w:p w:rsidR="00557F83" w:rsidRPr="001D09C2" w:rsidRDefault="001C6FB8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ukončených těhotenství žen (součet živě i mrtvě narozených dětí a všech potratů)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proofErr w:type="gram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</w:t>
      </w:r>
      <w:proofErr w:type="gramEnd"/>
      <w:r w:rsidRPr="007C30BF">
        <w:rPr>
          <w:b w:val="0"/>
          <w:bCs w:val="0"/>
          <w:szCs w:val="20"/>
        </w:rPr>
        <w:t xml:space="preserve"> měr ukončených těhotenství podle jednotek věku)</w:t>
      </w:r>
    </w:p>
    <w:p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(15-49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daného pohlaví a věku (věkové skupiny).</w:t>
      </w:r>
    </w:p>
    <w:p w:rsidR="00155509" w:rsidRPr="001D09C2" w:rsidRDefault="001C6FB8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úmrtnosti podle pohlaví, věku a příčin smrti</w:t>
      </w:r>
    </w:p>
    <w:p w:rsidR="00D918FD" w:rsidRDefault="00D918FD" w:rsidP="004C4E07">
      <w:pPr>
        <w:pStyle w:val="Zkladntext2"/>
        <w:spacing w:after="48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určit</w:t>
      </w:r>
      <w:r w:rsidR="00045DE7" w:rsidRPr="007C30BF">
        <w:rPr>
          <w:rFonts w:cs="Arial"/>
          <w:sz w:val="20"/>
          <w:szCs w:val="20"/>
        </w:rPr>
        <w:t>é</w:t>
      </w:r>
      <w:r w:rsidRPr="007C30BF">
        <w:rPr>
          <w:rFonts w:cs="Arial"/>
          <w:sz w:val="20"/>
          <w:szCs w:val="20"/>
        </w:rPr>
        <w:t xml:space="preserve"> příčin</w:t>
      </w:r>
      <w:r w:rsidR="00045DE7" w:rsidRPr="007C30BF">
        <w:rPr>
          <w:rFonts w:cs="Arial"/>
          <w:sz w:val="20"/>
          <w:szCs w:val="20"/>
        </w:rPr>
        <w:t>y</w:t>
      </w:r>
      <w:r w:rsidRPr="007C30BF">
        <w:rPr>
          <w:rFonts w:cs="Arial"/>
          <w:sz w:val="20"/>
          <w:szCs w:val="20"/>
        </w:rPr>
        <w:t xml:space="preserve"> smrti na 100 000 osob daného pohlaví a věku (věkové skupiny).</w:t>
      </w:r>
    </w:p>
    <w:p w:rsidR="00A41A93" w:rsidRPr="007C30BF" w:rsidRDefault="00A41A93" w:rsidP="004C4E07">
      <w:pPr>
        <w:pStyle w:val="Zkladntext2"/>
        <w:spacing w:after="480" w:line="288" w:lineRule="auto"/>
        <w:jc w:val="left"/>
        <w:rPr>
          <w:rFonts w:cs="Arial"/>
          <w:sz w:val="20"/>
          <w:szCs w:val="20"/>
        </w:rPr>
      </w:pPr>
    </w:p>
    <w:p w:rsidR="00D918FD" w:rsidRPr="00A41A93" w:rsidRDefault="00D918FD" w:rsidP="00A41A93">
      <w:pPr>
        <w:rPr>
          <w:b/>
          <w:caps/>
          <w:sz w:val="20"/>
          <w:szCs w:val="20"/>
        </w:rPr>
      </w:pPr>
      <w:r w:rsidRPr="00A41A93">
        <w:rPr>
          <w:b/>
          <w:caps/>
          <w:sz w:val="20"/>
          <w:szCs w:val="20"/>
        </w:rPr>
        <w:t>JednovýchodnÉ tabulKY sňatečnosti svobodn</w:t>
      </w:r>
      <w:r w:rsidR="00750E81" w:rsidRPr="00A41A93">
        <w:rPr>
          <w:b/>
          <w:caps/>
          <w:sz w:val="20"/>
          <w:szCs w:val="20"/>
        </w:rPr>
        <w:t>ých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:rsidR="00155509" w:rsidRPr="001D09C2" w:rsidRDefault="001C6FB8" w:rsidP="00155509">
      <w:pPr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:rsidR="00D918FD" w:rsidRPr="007C30BF" w:rsidRDefault="00D918FD" w:rsidP="005655DF">
      <w:pPr>
        <w:spacing w:line="288" w:lineRule="auto"/>
        <w:jc w:val="center"/>
        <w:rPr>
          <w:rFonts w:cs="Arial"/>
          <w:sz w:val="20"/>
          <w:szCs w:val="20"/>
        </w:rPr>
      </w:pPr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lastRenderedPageBreak/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:rsidR="007B1794" w:rsidRPr="007C30BF" w:rsidRDefault="001C6FB8" w:rsidP="007B1794">
      <w:pPr>
        <w:spacing w:line="288" w:lineRule="auto"/>
        <w:ind w:left="1416" w:firstLine="708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:rsidR="00D918FD" w:rsidRPr="007C30BF" w:rsidRDefault="00D918FD" w:rsidP="005655DF">
      <w:pPr>
        <w:spacing w:line="288" w:lineRule="auto"/>
        <w:ind w:left="1418" w:firstLine="709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:rsidR="00750E81" w:rsidRDefault="00D918FD" w:rsidP="00FA6D0B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– věk na počátku roku). </w:t>
      </w:r>
    </w:p>
    <w:p w:rsidR="00395752" w:rsidRPr="001D09C2" w:rsidRDefault="001C6FB8" w:rsidP="00395752">
      <w:pPr>
        <w:tabs>
          <w:tab w:val="left" w:pos="708"/>
          <w:tab w:val="left" w:pos="1416"/>
          <w:tab w:val="center" w:pos="4819"/>
        </w:tabs>
        <w:spacing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:rsidR="00D918FD" w:rsidRPr="007C30BF" w:rsidRDefault="00D918FD" w:rsidP="005655DF">
      <w:pPr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prvosňatečnost: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:rsidR="00D918FD" w:rsidRPr="007C30BF" w:rsidRDefault="00D918FD" w:rsidP="005655DF">
      <w:pPr>
        <w:spacing w:line="288" w:lineRule="auto"/>
        <w:rPr>
          <w:rFonts w:cs="Arial"/>
          <w:b/>
          <w:bCs w:val="0"/>
          <w:sz w:val="20"/>
          <w:szCs w:val="20"/>
        </w:rPr>
      </w:pPr>
    </w:p>
    <w:p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:rsidR="00395752" w:rsidRPr="001D09C2" w:rsidRDefault="001C6FB8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:rsidR="00D918FD" w:rsidRPr="007C30BF" w:rsidRDefault="00D918FD" w:rsidP="00243B6E">
      <w:pPr>
        <w:pStyle w:val="Nadpis2"/>
        <w:spacing w:before="360" w:line="288" w:lineRule="auto"/>
        <w:rPr>
          <w:caps/>
          <w:szCs w:val="20"/>
        </w:rPr>
      </w:pPr>
      <w:r w:rsidRPr="007C30BF">
        <w:rPr>
          <w:caps/>
          <w:szCs w:val="20"/>
        </w:rPr>
        <w:t>PODROBNÉ úmrtnostní tabulKY</w:t>
      </w:r>
    </w:p>
    <w:p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342C82">
        <w:rPr>
          <w:rFonts w:cs="Arial"/>
          <w:sz w:val="20"/>
          <w:szCs w:val="20"/>
        </w:rPr>
        <w:t>e</w:t>
      </w:r>
      <w:r w:rsidRPr="00BA6589">
        <w:rPr>
          <w:rFonts w:cs="Arial"/>
          <w:sz w:val="20"/>
          <w:szCs w:val="20"/>
        </w:rPr>
        <w:t xml:space="preserve"> specifických měr úmrtnosti. Tabulky jsou podrobné, tj. s jednoletým věkovým intervalem, s nejvyšším věkovým intervalem 105 a více let. Jsou počítány odděleně pro muže a ženy. </w:t>
      </w:r>
    </w:p>
    <w:p w:rsidR="00BA6589" w:rsidRPr="00BA658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:rsidR="00206735" w:rsidRPr="00BA6589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BA6589" w:rsidRPr="001D09C2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</w:p>
    <w:p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:rsidR="00BA6589" w:rsidRPr="00560082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:rsidR="00BA6589" w:rsidRPr="00560082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lastRenderedPageBreak/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:rsidR="00206735" w:rsidRPr="00BA6589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:rsidR="00206735" w:rsidRPr="00BA6589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právě x-letá osoba při zachování úmrtnostních poměrů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>. Jedná se o syntetický ukazatel, který odráží úmrtnostní poměry ve všech věkových skupinách.</w:t>
      </w:r>
    </w:p>
    <w:p w:rsidR="00206735" w:rsidRPr="00BA6589" w:rsidRDefault="001C6FB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C947BB">
      <w:type w:val="continuous"/>
      <w:pgSz w:w="11907" w:h="16840" w:code="9"/>
      <w:pgMar w:top="1134" w:right="1134" w:bottom="1418" w:left="1134" w:header="510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75"/>
    <w:rsid w:val="00023455"/>
    <w:rsid w:val="00045DE7"/>
    <w:rsid w:val="00063818"/>
    <w:rsid w:val="00070148"/>
    <w:rsid w:val="000A6604"/>
    <w:rsid w:val="000C5743"/>
    <w:rsid w:val="00102254"/>
    <w:rsid w:val="001057EE"/>
    <w:rsid w:val="001132DD"/>
    <w:rsid w:val="00140FEA"/>
    <w:rsid w:val="00155509"/>
    <w:rsid w:val="00163D39"/>
    <w:rsid w:val="00185C4C"/>
    <w:rsid w:val="001C09C5"/>
    <w:rsid w:val="001C5912"/>
    <w:rsid w:val="001C6FB8"/>
    <w:rsid w:val="001D09C2"/>
    <w:rsid w:val="001D15E1"/>
    <w:rsid w:val="00206735"/>
    <w:rsid w:val="002337FE"/>
    <w:rsid w:val="00234749"/>
    <w:rsid w:val="00243B6E"/>
    <w:rsid w:val="002455A1"/>
    <w:rsid w:val="002A15AC"/>
    <w:rsid w:val="002A18C0"/>
    <w:rsid w:val="002C1B9C"/>
    <w:rsid w:val="003013C4"/>
    <w:rsid w:val="00324DF2"/>
    <w:rsid w:val="00330E79"/>
    <w:rsid w:val="00336315"/>
    <w:rsid w:val="00342C82"/>
    <w:rsid w:val="00350953"/>
    <w:rsid w:val="003537F4"/>
    <w:rsid w:val="00362011"/>
    <w:rsid w:val="003931A3"/>
    <w:rsid w:val="003955AD"/>
    <w:rsid w:val="00395752"/>
    <w:rsid w:val="003D7850"/>
    <w:rsid w:val="003E12C3"/>
    <w:rsid w:val="003E19A7"/>
    <w:rsid w:val="004054E1"/>
    <w:rsid w:val="00422C96"/>
    <w:rsid w:val="00432F86"/>
    <w:rsid w:val="00435C8C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83213"/>
    <w:rsid w:val="005A4B57"/>
    <w:rsid w:val="005A7BDC"/>
    <w:rsid w:val="005C3AE0"/>
    <w:rsid w:val="005D7A7E"/>
    <w:rsid w:val="005E2B7A"/>
    <w:rsid w:val="005E55BD"/>
    <w:rsid w:val="005F5DCB"/>
    <w:rsid w:val="005F63F9"/>
    <w:rsid w:val="00612A9B"/>
    <w:rsid w:val="00625035"/>
    <w:rsid w:val="00642F14"/>
    <w:rsid w:val="0065294A"/>
    <w:rsid w:val="006A0DDE"/>
    <w:rsid w:val="006D2E83"/>
    <w:rsid w:val="006D7769"/>
    <w:rsid w:val="00702EB7"/>
    <w:rsid w:val="007039FA"/>
    <w:rsid w:val="00750E81"/>
    <w:rsid w:val="007510D3"/>
    <w:rsid w:val="007749CC"/>
    <w:rsid w:val="00792326"/>
    <w:rsid w:val="007B1794"/>
    <w:rsid w:val="007C30BF"/>
    <w:rsid w:val="007C7E92"/>
    <w:rsid w:val="007D374C"/>
    <w:rsid w:val="007F4914"/>
    <w:rsid w:val="008049F0"/>
    <w:rsid w:val="00806FC3"/>
    <w:rsid w:val="00825461"/>
    <w:rsid w:val="00845C4D"/>
    <w:rsid w:val="008472FC"/>
    <w:rsid w:val="008846E8"/>
    <w:rsid w:val="00884B15"/>
    <w:rsid w:val="008A289F"/>
    <w:rsid w:val="008A35DB"/>
    <w:rsid w:val="008D2195"/>
    <w:rsid w:val="008D54E4"/>
    <w:rsid w:val="008F3BE5"/>
    <w:rsid w:val="00953D15"/>
    <w:rsid w:val="0096260F"/>
    <w:rsid w:val="00966497"/>
    <w:rsid w:val="00971335"/>
    <w:rsid w:val="00983EA5"/>
    <w:rsid w:val="009A5D2D"/>
    <w:rsid w:val="009C2D9D"/>
    <w:rsid w:val="009D470E"/>
    <w:rsid w:val="009F0157"/>
    <w:rsid w:val="009F143B"/>
    <w:rsid w:val="00A41A93"/>
    <w:rsid w:val="00A561C2"/>
    <w:rsid w:val="00A934C8"/>
    <w:rsid w:val="00AB3C75"/>
    <w:rsid w:val="00B33C18"/>
    <w:rsid w:val="00B42DAD"/>
    <w:rsid w:val="00B50A77"/>
    <w:rsid w:val="00B56010"/>
    <w:rsid w:val="00B839CC"/>
    <w:rsid w:val="00BA5DC2"/>
    <w:rsid w:val="00BA6589"/>
    <w:rsid w:val="00BB7924"/>
    <w:rsid w:val="00BD6D22"/>
    <w:rsid w:val="00C04DFA"/>
    <w:rsid w:val="00C0701D"/>
    <w:rsid w:val="00C12C67"/>
    <w:rsid w:val="00C16A64"/>
    <w:rsid w:val="00C42B69"/>
    <w:rsid w:val="00C5645C"/>
    <w:rsid w:val="00C947BB"/>
    <w:rsid w:val="00CB037A"/>
    <w:rsid w:val="00CB5162"/>
    <w:rsid w:val="00CC740A"/>
    <w:rsid w:val="00CC7B4E"/>
    <w:rsid w:val="00CE0FC8"/>
    <w:rsid w:val="00CF5FB2"/>
    <w:rsid w:val="00D06BE1"/>
    <w:rsid w:val="00D354FF"/>
    <w:rsid w:val="00D45CDF"/>
    <w:rsid w:val="00D62190"/>
    <w:rsid w:val="00D918FD"/>
    <w:rsid w:val="00DA12D2"/>
    <w:rsid w:val="00DF2799"/>
    <w:rsid w:val="00E0740C"/>
    <w:rsid w:val="00E109C6"/>
    <w:rsid w:val="00E1599C"/>
    <w:rsid w:val="00E20BEA"/>
    <w:rsid w:val="00E6373C"/>
    <w:rsid w:val="00E72BB2"/>
    <w:rsid w:val="00E7768A"/>
    <w:rsid w:val="00EA560C"/>
    <w:rsid w:val="00F02235"/>
    <w:rsid w:val="00F066A2"/>
    <w:rsid w:val="00F21228"/>
    <w:rsid w:val="00F55741"/>
    <w:rsid w:val="00F87C60"/>
    <w:rsid w:val="00F94E75"/>
    <w:rsid w:val="00FA6D0B"/>
    <w:rsid w:val="00FB11D9"/>
    <w:rsid w:val="00FB2382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1CE1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2088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Mgr. Terezie Štyglerová</cp:lastModifiedBy>
  <cp:revision>12</cp:revision>
  <cp:lastPrinted>2018-09-19T09:06:00Z</cp:lastPrinted>
  <dcterms:created xsi:type="dcterms:W3CDTF">2018-09-19T06:39:00Z</dcterms:created>
  <dcterms:modified xsi:type="dcterms:W3CDTF">2019-09-11T11:56:00Z</dcterms:modified>
</cp:coreProperties>
</file>