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</w:t>
      </w:r>
      <w:bookmarkStart w:id="0" w:name="_GoBack"/>
      <w:bookmarkEnd w:id="0"/>
      <w:r w:rsidR="006956DF">
        <w:rPr>
          <w:rFonts w:cs="Arial"/>
        </w:rPr>
        <w:t>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EE4B1B" w:rsidRPr="00C96CCE" w:rsidRDefault="00704A5B" w:rsidP="00213C0A">
      <w:pPr>
        <w:rPr>
          <w:i/>
        </w:rPr>
      </w:pPr>
      <w:r>
        <w:rPr>
          <w:rFonts w:cs="Arial"/>
        </w:rPr>
        <w:t xml:space="preserve">S ohledem na vyloučení nahodilých výkyvů jsou tabulky </w:t>
      </w:r>
      <w:r w:rsidR="00AA1F80">
        <w:rPr>
          <w:rFonts w:cs="Arial"/>
        </w:rPr>
        <w:t xml:space="preserve">pro </w:t>
      </w:r>
      <w:r>
        <w:rPr>
          <w:rFonts w:cs="Arial"/>
        </w:rPr>
        <w:t>region</w:t>
      </w:r>
      <w:r w:rsidR="00AA1F80">
        <w:rPr>
          <w:rFonts w:cs="Arial"/>
        </w:rPr>
        <w:t>y</w:t>
      </w:r>
      <w:r>
        <w:rPr>
          <w:rFonts w:cs="Arial"/>
        </w:rPr>
        <w:t xml:space="preserve"> soudržnosti </w:t>
      </w:r>
      <w:r w:rsidR="006956DF">
        <w:rPr>
          <w:rFonts w:cs="Arial"/>
        </w:rPr>
        <w:t xml:space="preserve">(NUTS 2) </w:t>
      </w:r>
      <w:r>
        <w:rPr>
          <w:rFonts w:cs="Arial"/>
        </w:rPr>
        <w:t>a kraj</w:t>
      </w:r>
      <w:r w:rsidR="00AA1F80">
        <w:rPr>
          <w:rFonts w:cs="Arial"/>
        </w:rPr>
        <w:t>e</w:t>
      </w:r>
      <w:r>
        <w:rPr>
          <w:rFonts w:cs="Arial"/>
        </w:rPr>
        <w:t xml:space="preserve"> </w:t>
      </w:r>
      <w:r w:rsidR="006956DF">
        <w:rPr>
          <w:rFonts w:cs="Arial"/>
        </w:rPr>
        <w:t>(NUTS</w:t>
      </w:r>
      <w:r w:rsidR="0003592A">
        <w:rPr>
          <w:rFonts w:cs="Arial"/>
        </w:rPr>
        <w:t> </w:t>
      </w:r>
      <w:r w:rsidR="006956DF">
        <w:rPr>
          <w:rFonts w:cs="Arial"/>
        </w:rPr>
        <w:t xml:space="preserve">3) </w:t>
      </w:r>
      <w:r>
        <w:rPr>
          <w:rFonts w:cs="Arial"/>
        </w:rPr>
        <w:t>zpracovány za dvouleté kalendářní období.</w:t>
      </w:r>
      <w:r w:rsidR="001A6BC7">
        <w:rPr>
          <w:rFonts w:cs="Arial"/>
        </w:rPr>
        <w:t xml:space="preserve"> </w:t>
      </w:r>
      <w:r w:rsidR="001A6BC7"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1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(D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477325" w:rsidRDefault="00477325" w:rsidP="00477325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(P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x. V případě </w:t>
      </w:r>
      <w:r w:rsidR="001071AC">
        <w:rPr>
          <w:rFonts w:cs="Arial"/>
        </w:rPr>
        <w:t xml:space="preserve">tabulek </w:t>
      </w:r>
      <w:r>
        <w:rPr>
          <w:rFonts w:cs="Arial"/>
        </w:rPr>
        <w:t xml:space="preserve">celostátních </w:t>
      </w:r>
      <w:r w:rsidR="001071AC">
        <w:rPr>
          <w:rFonts w:cs="Arial"/>
        </w:rPr>
        <w:t xml:space="preserve">i </w:t>
      </w:r>
      <w:r w:rsidR="00347140">
        <w:rPr>
          <w:rFonts w:cs="Arial"/>
        </w:rPr>
        <w:t xml:space="preserve">tabulek </w:t>
      </w:r>
      <w:r w:rsidR="001071AC">
        <w:rPr>
          <w:rFonts w:cs="Arial"/>
        </w:rPr>
        <w:t xml:space="preserve">za regiony soudržnosti a kraje </w:t>
      </w:r>
      <w:r>
        <w:rPr>
          <w:rFonts w:cs="Arial"/>
        </w:rPr>
        <w:t xml:space="preserve">je střední stav definován jako bilancovaný počet obyvatel k 1. 7. daného roku, </w:t>
      </w:r>
      <w:r w:rsidR="005D1303">
        <w:rPr>
          <w:rFonts w:cs="Arial"/>
        </w:rPr>
        <w:t>resp.</w:t>
      </w:r>
      <w:r>
        <w:rPr>
          <w:rFonts w:cs="Arial"/>
        </w:rPr>
        <w:t xml:space="preserve"> jako součet středních stavů v případě víceletých období.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(q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477325" w:rsidRPr="00C37FA8" w:rsidRDefault="0077393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rFonts w:ascii="Cambria Math" w:hAnsi="Cambria Math" w:cs="Arial"/>
          <w:sz w:val="24"/>
        </w:rPr>
        <w:tab/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a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(l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773938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(d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77393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(L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77393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(T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 xml:space="preserve"> od věku x do nejvyššího věku tabulky:</w:t>
      </w:r>
    </w:p>
    <w:p w:rsidR="00477325" w:rsidRPr="00B21224" w:rsidRDefault="0077393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773938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C37FA8" w:rsidRDefault="00C37FA8">
      <w:pPr>
        <w:spacing w:after="0" w:line="240" w:lineRule="auto"/>
        <w:rPr>
          <w:rFonts w:eastAsia="MS Gothic"/>
          <w:b/>
          <w:bCs/>
          <w:sz w:val="24"/>
        </w:rPr>
      </w:pPr>
      <w:r>
        <w:br w:type="page"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773938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B974F9" w:rsidRDefault="00773938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oblast,kraj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>Úmrtnostní modely přitom obecně pracují se spojitou definicí míry úmrtnosti, tzv. force of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773938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≅ 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773938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věrohodnostní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y vyšší než 75 let, kde je pozorován </w:t>
      </w:r>
      <w:r w:rsidRPr="006C1EDE">
        <w:lastRenderedPageBreak/>
        <w:t xml:space="preserve">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773938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773938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×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1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773938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vyčísluje průměrný počet člověkoroků prožitých v daném věkovém intervalu zemřelými jedinci. Hodnotu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773938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>U poslední otevřené věkové skupiny (zde 105+) je parametr a</w:t>
      </w:r>
      <w:r w:rsidRPr="005D08AF">
        <w:rPr>
          <w:rFonts w:cs="Arial"/>
          <w:iCs/>
          <w:vertAlign w:val="subscript"/>
        </w:rPr>
        <w:t>x</w:t>
      </w:r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773938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>Další postup výpočtu úmrtnostních tabulek navazuje na vypočtené hodnoty q</w:t>
      </w:r>
      <w:r w:rsidRPr="003F65ED">
        <w:rPr>
          <w:rFonts w:cs="Arial"/>
          <w:iCs/>
          <w:vertAlign w:val="subscript"/>
        </w:rPr>
        <w:t>x</w:t>
      </w:r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Andreev, E. a Kingkade, W. W. (2015). Average age at death in infancy and infant mortality level: Reconsidering the Coale-Demeny formulas at current levels of low mortality. </w:t>
      </w:r>
      <w:r w:rsidRPr="00BA39DB">
        <w:rPr>
          <w:rFonts w:eastAsiaTheme="minorEastAsia" w:cs="Arial"/>
          <w:i/>
          <w:szCs w:val="20"/>
        </w:rPr>
        <w:t>Demographic Research</w:t>
      </w:r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Eilers, P. H. C. a Marx B. D. (1996). Flexible Smoothing with B-splines and Penalties. </w:t>
      </w:r>
      <w:r w:rsidRPr="00BA39DB">
        <w:rPr>
          <w:rFonts w:cs="Arial"/>
          <w:i/>
          <w:szCs w:val="20"/>
        </w:rPr>
        <w:t>Statistical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Chiang, C. L. (1984). </w:t>
      </w:r>
      <w:r w:rsidRPr="00BA39DB">
        <w:rPr>
          <w:rFonts w:cs="Arial"/>
          <w:i/>
          <w:szCs w:val="20"/>
        </w:rPr>
        <w:t>The Life Table and Its Applications</w:t>
      </w:r>
      <w:r w:rsidRPr="00BA39DB">
        <w:rPr>
          <w:rFonts w:cs="Arial"/>
          <w:szCs w:val="20"/>
        </w:rPr>
        <w:t>. Robert E. Krieger Publishing Company, Malabar,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Preston, S. H., Heuveline, P., Guillot, M. (2001). </w:t>
      </w:r>
      <w:r w:rsidRPr="00BA39DB">
        <w:rPr>
          <w:rFonts w:eastAsiaTheme="minorEastAsia" w:cs="Arial"/>
          <w:i/>
          <w:szCs w:val="20"/>
        </w:rPr>
        <w:t>Demography: Measuring and modeling population processes</w:t>
      </w:r>
      <w:r w:rsidRPr="00BA39DB">
        <w:rPr>
          <w:rFonts w:eastAsiaTheme="minorEastAsia" w:cs="Arial"/>
          <w:szCs w:val="20"/>
        </w:rPr>
        <w:t>. Oxford: Blackwell Publishers.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Kannisto, V., a Vaupel, J. W. (1998). </w:t>
      </w:r>
      <w:r w:rsidRPr="00BA39DB">
        <w:rPr>
          <w:rFonts w:cs="Arial"/>
          <w:i/>
          <w:szCs w:val="20"/>
        </w:rPr>
        <w:t>The Force of Mortality at Ages 80 to 120.</w:t>
      </w:r>
      <w:r w:rsidRPr="00BA39DB">
        <w:rPr>
          <w:rFonts w:cs="Arial"/>
          <w:szCs w:val="20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8C57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38" w:rsidRDefault="00773938" w:rsidP="00E71A58">
      <w:r>
        <w:separator/>
      </w:r>
    </w:p>
  </w:endnote>
  <w:endnote w:type="continuationSeparator" w:id="0">
    <w:p w:rsidR="00773938" w:rsidRDefault="0077393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60288" behindDoc="0" locked="0" layoutInCell="1" allowOverlap="1" wp14:anchorId="7644A5FB" wp14:editId="42A073B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C577C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CA334C">
      <w:rPr>
        <w:rStyle w:val="ZpatChar"/>
        <w:szCs w:val="16"/>
      </w:rPr>
      <w:t>7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CA334C">
      <w:rPr>
        <w:rStyle w:val="ZpatChar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5168" behindDoc="0" locked="0" layoutInCell="1" allowOverlap="1" wp14:anchorId="20093068" wp14:editId="1B92D0F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CA334C">
      <w:rPr>
        <w:rStyle w:val="ZpatChar"/>
        <w:szCs w:val="16"/>
      </w:rPr>
      <w:t>7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CA334C">
      <w:rPr>
        <w:rStyle w:val="ZpatChar"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8C577C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38" w:rsidRDefault="00773938" w:rsidP="00E71A58">
      <w:r>
        <w:separator/>
      </w:r>
    </w:p>
  </w:footnote>
  <w:footnote w:type="continuationSeparator" w:id="0">
    <w:p w:rsidR="00773938" w:rsidRDefault="0077393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C64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938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C577C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5662C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9F6492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A334C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5D5AB1"/>
  <w15:docId w15:val="{507D3E31-F77E-4765-A66D-DAC4ADE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153E-1464-4AB6-95CB-D2B357D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26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Mgr. Terezie Štyglerová</cp:lastModifiedBy>
  <cp:revision>3</cp:revision>
  <cp:lastPrinted>2018-05-11T09:05:00Z</cp:lastPrinted>
  <dcterms:created xsi:type="dcterms:W3CDTF">2019-05-03T08:33:00Z</dcterms:created>
  <dcterms:modified xsi:type="dcterms:W3CDTF">2019-05-07T12:53:00Z</dcterms:modified>
</cp:coreProperties>
</file>