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B1239" w14:textId="77777777" w:rsidR="00935BD4" w:rsidRPr="009110F7" w:rsidRDefault="00935BD4" w:rsidP="00F0193E">
      <w:pPr>
        <w:spacing w:after="0" w:line="240" w:lineRule="auto"/>
        <w:jc w:val="left"/>
        <w:rPr>
          <w:sz w:val="2"/>
          <w:szCs w:val="2"/>
        </w:rPr>
      </w:pPr>
    </w:p>
    <w:p w14:paraId="5356EE78" w14:textId="77777777" w:rsidR="00935BD4" w:rsidRPr="009110F7" w:rsidRDefault="00935BD4" w:rsidP="000D3058">
      <w:pPr>
        <w:pStyle w:val="Nadpis11"/>
      </w:pPr>
      <w:bookmarkStart w:id="0" w:name="_Toc11237637"/>
      <w:r w:rsidRPr="009110F7">
        <w:t>7. Měnové podmínky</w:t>
      </w:r>
      <w:bookmarkEnd w:id="0"/>
    </w:p>
    <w:tbl>
      <w:tblPr>
        <w:tblW w:w="9639" w:type="dxa"/>
        <w:tblInd w:w="-15" w:type="dxa"/>
        <w:tblCellMar>
          <w:left w:w="0" w:type="dxa"/>
          <w:right w:w="0" w:type="dxa"/>
        </w:tblCellMar>
        <w:tblLook w:val="00A0" w:firstRow="1" w:lastRow="0" w:firstColumn="1" w:lastColumn="0" w:noHBand="0" w:noVBand="0"/>
      </w:tblPr>
      <w:tblGrid>
        <w:gridCol w:w="1888"/>
        <w:gridCol w:w="250"/>
        <w:gridCol w:w="7501"/>
      </w:tblGrid>
      <w:tr w:rsidR="002B3EF4" w:rsidRPr="009110F7" w14:paraId="55268BA0" w14:textId="77777777" w:rsidTr="001125EF">
        <w:trPr>
          <w:trHeight w:val="145"/>
        </w:trPr>
        <w:tc>
          <w:tcPr>
            <w:tcW w:w="1888" w:type="dxa"/>
            <w:shd w:val="clear" w:color="auto" w:fill="auto"/>
            <w:tcMar>
              <w:left w:w="0" w:type="dxa"/>
            </w:tcMar>
          </w:tcPr>
          <w:p w14:paraId="490762A9" w14:textId="77777777" w:rsidR="002B3EF4" w:rsidRDefault="002B3EF4" w:rsidP="002B3EF4">
            <w:pPr>
              <w:pStyle w:val="Marginlie"/>
            </w:pPr>
            <w:r>
              <w:t xml:space="preserve">Hlavní měnověpolitické sazby se v 1. čtvrtletí neměnily. </w:t>
            </w:r>
          </w:p>
        </w:tc>
        <w:tc>
          <w:tcPr>
            <w:tcW w:w="250" w:type="dxa"/>
            <w:shd w:val="clear" w:color="auto" w:fill="auto"/>
            <w:tcMar>
              <w:left w:w="0" w:type="dxa"/>
            </w:tcMar>
          </w:tcPr>
          <w:p w14:paraId="3B60CAE8" w14:textId="77777777" w:rsidR="002B3EF4" w:rsidRDefault="002B3EF4" w:rsidP="002B3EF4">
            <w:pPr>
              <w:pStyle w:val="Textpoznpodarou"/>
              <w:jc w:val="both"/>
              <w:rPr>
                <w:spacing w:val="-4"/>
              </w:rPr>
            </w:pPr>
          </w:p>
        </w:tc>
        <w:tc>
          <w:tcPr>
            <w:tcW w:w="7501" w:type="dxa"/>
            <w:shd w:val="clear" w:color="auto" w:fill="auto"/>
            <w:tcMar>
              <w:left w:w="0" w:type="dxa"/>
            </w:tcMar>
          </w:tcPr>
          <w:p w14:paraId="0B54F423" w14:textId="4823D1FC" w:rsidR="002B3EF4" w:rsidRPr="00E66062" w:rsidRDefault="002B3EF4" w:rsidP="002B3EF4">
            <w:pPr>
              <w:rPr>
                <w:spacing w:val="-2"/>
              </w:rPr>
            </w:pPr>
            <w:r>
              <w:rPr>
                <w:spacing w:val="-2"/>
              </w:rPr>
              <w:t>V průběhu 1. čtvrtletí nedošlo ke změně základních měnověpolit</w:t>
            </w:r>
            <w:r w:rsidR="00853282">
              <w:rPr>
                <w:spacing w:val="-2"/>
              </w:rPr>
              <w:t>i</w:t>
            </w:r>
            <w:r>
              <w:rPr>
                <w:spacing w:val="-2"/>
              </w:rPr>
              <w:t>ckých sazeb. Dvoutýdenní repo sazba tak setrvala na úrovni platné od počátku listopadu 2018, tedy 1,75</w:t>
            </w:r>
            <w:r w:rsidR="00870ECD">
              <w:rPr>
                <w:spacing w:val="-2"/>
              </w:rPr>
              <w:t> %</w:t>
            </w:r>
            <w:r>
              <w:rPr>
                <w:spacing w:val="-2"/>
              </w:rPr>
              <w:t>, diskontní sazba na 0,75</w:t>
            </w:r>
            <w:r w:rsidR="00870ECD">
              <w:rPr>
                <w:spacing w:val="-2"/>
              </w:rPr>
              <w:t> %</w:t>
            </w:r>
            <w:r>
              <w:rPr>
                <w:spacing w:val="-2"/>
              </w:rPr>
              <w:t xml:space="preserve"> a lombardní sazba na 2,75</w:t>
            </w:r>
            <w:r w:rsidR="00870ECD">
              <w:rPr>
                <w:spacing w:val="-2"/>
              </w:rPr>
              <w:t> %</w:t>
            </w:r>
            <w:r>
              <w:rPr>
                <w:spacing w:val="-2"/>
              </w:rPr>
              <w:t>. Směnný kurz koruny vůči euru se v průběhu 1. kvartálu pohyboval v pásmu 25,50</w:t>
            </w:r>
            <w:r w:rsidR="00E93CB4" w:rsidRPr="009110F7">
              <w:rPr>
                <w:rStyle w:val="Znakapoznpodarou"/>
              </w:rPr>
              <w:footnoteReference w:id="1"/>
            </w:r>
            <w:bookmarkStart w:id="1" w:name="_GoBack"/>
            <w:bookmarkEnd w:id="1"/>
            <w:r>
              <w:rPr>
                <w:spacing w:val="-2"/>
              </w:rPr>
              <w:t xml:space="preserve"> až 25,9</w:t>
            </w:r>
            <w:r w:rsidR="00853282">
              <w:rPr>
                <w:spacing w:val="-2"/>
              </w:rPr>
              <w:t>0</w:t>
            </w:r>
            <w:r>
              <w:rPr>
                <w:spacing w:val="-2"/>
              </w:rPr>
              <w:t xml:space="preserve"> korun</w:t>
            </w:r>
            <w:r w:rsidR="00853282">
              <w:rPr>
                <w:spacing w:val="-2"/>
              </w:rPr>
              <w:t>y</w:t>
            </w:r>
            <w:r>
              <w:rPr>
                <w:spacing w:val="-2"/>
              </w:rPr>
              <w:t xml:space="preserve"> za euro. Ve srovnání se stejným obdobím minulého roku byl kurz v průměru slabší</w:t>
            </w:r>
            <w:r w:rsidR="00853282">
              <w:rPr>
                <w:spacing w:val="-2"/>
              </w:rPr>
              <w:t>,</w:t>
            </w:r>
            <w:r>
              <w:rPr>
                <w:spacing w:val="-2"/>
              </w:rPr>
              <w:t xml:space="preserve"> a to o 1,1</w:t>
            </w:r>
            <w:r w:rsidR="00870ECD">
              <w:rPr>
                <w:spacing w:val="-2"/>
              </w:rPr>
              <w:t> %</w:t>
            </w:r>
            <w:r>
              <w:rPr>
                <w:spacing w:val="-2"/>
              </w:rPr>
              <w:t>. Kurz koruny vůči dolaru v průběhu čtvrtletí fluktuoval výrazněji (mezi 22,19</w:t>
            </w:r>
            <w:r w:rsidR="00853282">
              <w:rPr>
                <w:spacing w:val="-2"/>
              </w:rPr>
              <w:br/>
            </w:r>
            <w:r>
              <w:rPr>
                <w:spacing w:val="-2"/>
              </w:rPr>
              <w:t>a 23 korunami). Zároveň byl jeho čtvrtletní průměr o 9,4</w:t>
            </w:r>
            <w:r w:rsidR="00870ECD">
              <w:rPr>
                <w:spacing w:val="-2"/>
              </w:rPr>
              <w:t> %</w:t>
            </w:r>
            <w:r>
              <w:rPr>
                <w:spacing w:val="-2"/>
              </w:rPr>
              <w:t xml:space="preserve"> slabší než v loňském roce.</w:t>
            </w:r>
          </w:p>
        </w:tc>
      </w:tr>
      <w:tr w:rsidR="002B3EF4" w:rsidRPr="009110F7" w14:paraId="7B4C04BF" w14:textId="77777777" w:rsidTr="001125EF">
        <w:trPr>
          <w:trHeight w:val="145"/>
        </w:trPr>
        <w:tc>
          <w:tcPr>
            <w:tcW w:w="1888" w:type="dxa"/>
            <w:shd w:val="clear" w:color="auto" w:fill="auto"/>
            <w:tcMar>
              <w:left w:w="0" w:type="dxa"/>
            </w:tcMar>
          </w:tcPr>
          <w:p w14:paraId="42C759B5" w14:textId="77777777" w:rsidR="002B3EF4" w:rsidRDefault="002B3EF4" w:rsidP="002B3EF4">
            <w:pPr>
              <w:pStyle w:val="Marginlie"/>
            </w:pPr>
            <w:r>
              <w:t xml:space="preserve">V 1. čtvrtletí klesaly výnosy na vládních dluhopisech s dlouhodobou splatností. </w:t>
            </w:r>
          </w:p>
        </w:tc>
        <w:tc>
          <w:tcPr>
            <w:tcW w:w="250" w:type="dxa"/>
            <w:shd w:val="clear" w:color="auto" w:fill="auto"/>
            <w:tcMar>
              <w:left w:w="0" w:type="dxa"/>
            </w:tcMar>
          </w:tcPr>
          <w:p w14:paraId="74C953C3" w14:textId="77777777" w:rsidR="002B3EF4" w:rsidRDefault="002B3EF4" w:rsidP="002B3EF4">
            <w:pPr>
              <w:pStyle w:val="Textpoznpodarou"/>
              <w:jc w:val="both"/>
              <w:rPr>
                <w:spacing w:val="-4"/>
              </w:rPr>
            </w:pPr>
          </w:p>
        </w:tc>
        <w:tc>
          <w:tcPr>
            <w:tcW w:w="7501" w:type="dxa"/>
            <w:shd w:val="clear" w:color="auto" w:fill="auto"/>
            <w:tcMar>
              <w:left w:w="0" w:type="dxa"/>
            </w:tcMar>
          </w:tcPr>
          <w:p w14:paraId="6A9F45F7" w14:textId="23BB2D49" w:rsidR="002B3EF4" w:rsidRPr="00E66062" w:rsidRDefault="002B3EF4" w:rsidP="002B3EF4">
            <w:pPr>
              <w:rPr>
                <w:spacing w:val="-1"/>
              </w:rPr>
            </w:pPr>
            <w:r>
              <w:rPr>
                <w:spacing w:val="-1"/>
              </w:rPr>
              <w:t>Poprvé od roku 2009 mezibankovní sazba PRIBOR překonala hranici 2</w:t>
            </w:r>
            <w:r w:rsidR="00870ECD">
              <w:rPr>
                <w:spacing w:val="-1"/>
              </w:rPr>
              <w:t> %</w:t>
            </w:r>
            <w:r>
              <w:rPr>
                <w:spacing w:val="-1"/>
              </w:rPr>
              <w:t>. Posun vzhůru však dosáhl řádově setin</w:t>
            </w:r>
            <w:r w:rsidR="00870ECD">
              <w:rPr>
                <w:spacing w:val="-1"/>
              </w:rPr>
              <w:t> p. b.</w:t>
            </w:r>
            <w:r>
              <w:rPr>
                <w:spacing w:val="-1"/>
              </w:rPr>
              <w:t xml:space="preserve"> a ke konci března úroková sazba činila 2,03</w:t>
            </w:r>
            <w:r w:rsidR="00870ECD">
              <w:rPr>
                <w:spacing w:val="-1"/>
              </w:rPr>
              <w:t> %</w:t>
            </w:r>
            <w:r>
              <w:rPr>
                <w:spacing w:val="-1"/>
              </w:rPr>
              <w:t>. Úrokové sazby na vládních dluhopisech měly dynamičtější vývoj. Krátkodobé dluhopisy (se splatností do dvou let) měly ke konci března průměrný výnos 1,71</w:t>
            </w:r>
            <w:r w:rsidR="00870ECD">
              <w:rPr>
                <w:spacing w:val="-1"/>
              </w:rPr>
              <w:t> %</w:t>
            </w:r>
            <w:r>
              <w:rPr>
                <w:spacing w:val="-1"/>
              </w:rPr>
              <w:t>. Ten se v průběhu 1. čtvrtletí zvýšil o 0,19</w:t>
            </w:r>
            <w:r w:rsidR="00870ECD">
              <w:rPr>
                <w:spacing w:val="-1"/>
              </w:rPr>
              <w:t> p. b.</w:t>
            </w:r>
            <w:r>
              <w:rPr>
                <w:spacing w:val="-1"/>
              </w:rPr>
              <w:t xml:space="preserve"> Přesně opačně se vyvíjel průměrný výnos dluhopisů s dlouhodobou splatností (10 let). Z pr</w:t>
            </w:r>
            <w:r w:rsidR="00CB64E1">
              <w:rPr>
                <w:spacing w:val="-1"/>
              </w:rPr>
              <w:t>osincových 2,01</w:t>
            </w:r>
            <w:r w:rsidR="00870ECD">
              <w:rPr>
                <w:spacing w:val="-1"/>
              </w:rPr>
              <w:t> %</w:t>
            </w:r>
            <w:r w:rsidR="00CB64E1">
              <w:rPr>
                <w:spacing w:val="-1"/>
              </w:rPr>
              <w:t xml:space="preserve"> klesl na 1,82</w:t>
            </w:r>
            <w:r w:rsidR="00CB64E1" w:rsidRPr="00CB64E1">
              <w:rPr>
                <w:spacing w:val="-2"/>
              </w:rPr>
              <w:t> </w:t>
            </w:r>
            <w:r>
              <w:rPr>
                <w:spacing w:val="-1"/>
              </w:rPr>
              <w:t>%. Poklesly i úrokové sazby u všech typů splatnosti vládních dluhopisů v </w:t>
            </w:r>
            <w:r w:rsidR="00853282">
              <w:rPr>
                <w:spacing w:val="-1"/>
              </w:rPr>
              <w:t>eurozóně</w:t>
            </w:r>
            <w:r>
              <w:rPr>
                <w:spacing w:val="-1"/>
              </w:rPr>
              <w:t>.</w:t>
            </w:r>
          </w:p>
        </w:tc>
      </w:tr>
      <w:tr w:rsidR="002B3EF4" w:rsidRPr="009110F7" w14:paraId="2814AAE6" w14:textId="77777777" w:rsidTr="001125EF">
        <w:trPr>
          <w:trHeight w:val="145"/>
        </w:trPr>
        <w:tc>
          <w:tcPr>
            <w:tcW w:w="1888" w:type="dxa"/>
            <w:shd w:val="clear" w:color="auto" w:fill="auto"/>
            <w:tcMar>
              <w:left w:w="0" w:type="dxa"/>
            </w:tcMar>
          </w:tcPr>
          <w:p w14:paraId="2E5F026F" w14:textId="77777777" w:rsidR="002B3EF4" w:rsidRDefault="002B3EF4" w:rsidP="002B3EF4">
            <w:pPr>
              <w:pStyle w:val="Marginlie"/>
            </w:pPr>
            <w:r>
              <w:t>Mírně rostly sazby na klientských vkladech s dohodnutou splatností.</w:t>
            </w:r>
          </w:p>
        </w:tc>
        <w:tc>
          <w:tcPr>
            <w:tcW w:w="250" w:type="dxa"/>
            <w:shd w:val="clear" w:color="auto" w:fill="auto"/>
            <w:tcMar>
              <w:left w:w="0" w:type="dxa"/>
            </w:tcMar>
          </w:tcPr>
          <w:p w14:paraId="0DED174C" w14:textId="77777777" w:rsidR="002B3EF4" w:rsidRDefault="002B3EF4" w:rsidP="002B3EF4">
            <w:pPr>
              <w:pStyle w:val="Textpoznpodarou"/>
              <w:jc w:val="both"/>
              <w:rPr>
                <w:spacing w:val="-4"/>
              </w:rPr>
            </w:pPr>
          </w:p>
        </w:tc>
        <w:tc>
          <w:tcPr>
            <w:tcW w:w="7501" w:type="dxa"/>
            <w:shd w:val="clear" w:color="auto" w:fill="auto"/>
            <w:tcMar>
              <w:left w:w="0" w:type="dxa"/>
            </w:tcMar>
          </w:tcPr>
          <w:p w14:paraId="5BA37036" w14:textId="77777777" w:rsidR="002B3EF4" w:rsidRPr="00CB64E1" w:rsidRDefault="002B3EF4" w:rsidP="002B3EF4">
            <w:pPr>
              <w:rPr>
                <w:spacing w:val="-4"/>
              </w:rPr>
            </w:pPr>
            <w:r w:rsidRPr="00CB64E1">
              <w:rPr>
                <w:spacing w:val="-4"/>
              </w:rPr>
              <w:t>Ačkoli mezibankovní sazby v 1. kvartále v podstatě příliš nerostly, do výše úroků na klientských účtech se jejich dřívější růst alespoň zčásti promítal. Průměrná úroková sazba na běžných účtech domácností k 31. 3. činila 0,04</w:t>
            </w:r>
            <w:r w:rsidR="00870ECD">
              <w:rPr>
                <w:spacing w:val="-4"/>
              </w:rPr>
              <w:t> %</w:t>
            </w:r>
            <w:r w:rsidRPr="00CB64E1">
              <w:rPr>
                <w:spacing w:val="-4"/>
              </w:rPr>
              <w:t>. Průměrné úročení tedy v porovnání s koncem roku 2018 pokleslo. Naopak pokračoval růst úrokových sazeb na vkladech s dohodnutou splatností. V porovnání s kon</w:t>
            </w:r>
            <w:r w:rsidR="00CB64E1" w:rsidRPr="00CB64E1">
              <w:rPr>
                <w:spacing w:val="-4"/>
              </w:rPr>
              <w:t>cem roku 2018 se zvýšily o 0,11 </w:t>
            </w:r>
            <w:r w:rsidRPr="00CB64E1">
              <w:rPr>
                <w:spacing w:val="-4"/>
              </w:rPr>
              <w:t>p. b. a ke konci března v průměru dosáhly 1,46</w:t>
            </w:r>
            <w:r w:rsidR="00870ECD">
              <w:rPr>
                <w:spacing w:val="-4"/>
              </w:rPr>
              <w:t> %</w:t>
            </w:r>
            <w:r w:rsidRPr="00CB64E1">
              <w:rPr>
                <w:spacing w:val="-4"/>
              </w:rPr>
              <w:t>. V případě nefinančních podniků došlo k drobnému růstu úrokových sazeb na běžných účtech. Ke konci března průměrné úročení dosáhlo 0,16</w:t>
            </w:r>
            <w:r w:rsidR="00870ECD">
              <w:rPr>
                <w:spacing w:val="-4"/>
              </w:rPr>
              <w:t> %</w:t>
            </w:r>
            <w:r w:rsidRPr="00CB64E1">
              <w:rPr>
                <w:spacing w:val="-4"/>
              </w:rPr>
              <w:t>. U vkladů s dohodnutou splatností pro nefinanční podniky se průměrná úroková sazba zvýšila mezi koncem prosince a března o 0,12</w:t>
            </w:r>
            <w:r w:rsidR="00870ECD">
              <w:rPr>
                <w:spacing w:val="-4"/>
              </w:rPr>
              <w:t> p. b.</w:t>
            </w:r>
            <w:r w:rsidRPr="00CB64E1">
              <w:rPr>
                <w:spacing w:val="-4"/>
              </w:rPr>
              <w:t xml:space="preserve"> na 1,35</w:t>
            </w:r>
            <w:r w:rsidR="00870ECD">
              <w:rPr>
                <w:spacing w:val="-4"/>
              </w:rPr>
              <w:t> %</w:t>
            </w:r>
            <w:r w:rsidRPr="00CB64E1">
              <w:rPr>
                <w:spacing w:val="-4"/>
              </w:rPr>
              <w:t xml:space="preserve">. </w:t>
            </w:r>
          </w:p>
        </w:tc>
      </w:tr>
      <w:tr w:rsidR="002B3EF4" w:rsidRPr="009110F7" w14:paraId="4A6C32B6" w14:textId="77777777" w:rsidTr="001125EF">
        <w:trPr>
          <w:trHeight w:val="145"/>
        </w:trPr>
        <w:tc>
          <w:tcPr>
            <w:tcW w:w="1888" w:type="dxa"/>
            <w:shd w:val="clear" w:color="auto" w:fill="auto"/>
            <w:tcMar>
              <w:left w:w="0" w:type="dxa"/>
            </w:tcMar>
          </w:tcPr>
          <w:p w14:paraId="3BED06E2" w14:textId="77777777" w:rsidR="002B3EF4" w:rsidRDefault="002B3EF4" w:rsidP="002B3EF4">
            <w:pPr>
              <w:pStyle w:val="Marginlie"/>
            </w:pPr>
            <w:r>
              <w:t>Zvyšovala se peněžní zásoba ve formě vkladů s dohodnutou splatností.</w:t>
            </w:r>
          </w:p>
        </w:tc>
        <w:tc>
          <w:tcPr>
            <w:tcW w:w="250" w:type="dxa"/>
            <w:shd w:val="clear" w:color="auto" w:fill="auto"/>
            <w:tcMar>
              <w:left w:w="0" w:type="dxa"/>
            </w:tcMar>
          </w:tcPr>
          <w:p w14:paraId="0F2DD0F7" w14:textId="77777777" w:rsidR="002B3EF4" w:rsidRDefault="002B3EF4" w:rsidP="002B3EF4">
            <w:pPr>
              <w:pStyle w:val="Textpoznpodarou"/>
              <w:jc w:val="both"/>
              <w:rPr>
                <w:spacing w:val="-4"/>
              </w:rPr>
            </w:pPr>
          </w:p>
        </w:tc>
        <w:tc>
          <w:tcPr>
            <w:tcW w:w="7501" w:type="dxa"/>
            <w:shd w:val="clear" w:color="auto" w:fill="auto"/>
            <w:tcMar>
              <w:left w:w="0" w:type="dxa"/>
            </w:tcMar>
          </w:tcPr>
          <w:p w14:paraId="6BB6446E" w14:textId="77777777" w:rsidR="002B3EF4" w:rsidRPr="00CB64E1" w:rsidRDefault="002B3EF4" w:rsidP="002B3EF4">
            <w:pPr>
              <w:rPr>
                <w:spacing w:val="-4"/>
              </w:rPr>
            </w:pPr>
            <w:r w:rsidRPr="00CB64E1">
              <w:rPr>
                <w:spacing w:val="-4"/>
              </w:rPr>
              <w:t>Růst úročení termínovaných vkladů se po několika letech propadu projevil nárůstem vložených prostředků. Zatímco objem netermínovaných vkladů celkově meziročně vzrostl v 1. čtvrtletí o 4,0</w:t>
            </w:r>
            <w:r w:rsidR="00870ECD">
              <w:rPr>
                <w:spacing w:val="-4"/>
              </w:rPr>
              <w:t> %</w:t>
            </w:r>
            <w:r w:rsidRPr="00CB64E1">
              <w:rPr>
                <w:spacing w:val="-4"/>
              </w:rPr>
              <w:t>, termínované vklady se zvýšily o 23,2</w:t>
            </w:r>
            <w:r w:rsidR="00870ECD">
              <w:rPr>
                <w:spacing w:val="-4"/>
              </w:rPr>
              <w:t> %</w:t>
            </w:r>
            <w:r w:rsidRPr="00CB64E1">
              <w:rPr>
                <w:spacing w:val="-4"/>
              </w:rPr>
              <w:t>. Těžiště nárůstu však spočívalo zejména v oblasti krátkodobých a střed</w:t>
            </w:r>
            <w:r w:rsidR="00CB64E1" w:rsidRPr="00CB64E1">
              <w:rPr>
                <w:spacing w:val="-4"/>
              </w:rPr>
              <w:t>nědobých vkladů (do pěti let) a </w:t>
            </w:r>
            <w:r w:rsidRPr="00CB64E1">
              <w:rPr>
                <w:spacing w:val="-4"/>
              </w:rPr>
              <w:t>částečně se projevila jednorázová změna ve způsobu vykazování</w:t>
            </w:r>
            <w:r w:rsidRPr="00CB64E1">
              <w:rPr>
                <w:rStyle w:val="Znakapoznpodarou"/>
                <w:spacing w:val="-4"/>
              </w:rPr>
              <w:footnoteReference w:id="2"/>
            </w:r>
            <w:r w:rsidRPr="00CB64E1">
              <w:rPr>
                <w:spacing w:val="-4"/>
              </w:rPr>
              <w:t>. Popsaný vývoj sazeb se promítl i do vývoje peněžní zásoby. Z</w:t>
            </w:r>
            <w:r w:rsidR="00CB64E1" w:rsidRPr="00CB64E1">
              <w:rPr>
                <w:spacing w:val="-4"/>
              </w:rPr>
              <w:t>atímco meziroční růst oběživa a </w:t>
            </w:r>
            <w:r w:rsidRPr="00CB64E1">
              <w:rPr>
                <w:spacing w:val="-4"/>
              </w:rPr>
              <w:t>jednodenních vkladů dosáhl 2,2</w:t>
            </w:r>
            <w:r w:rsidR="00870ECD">
              <w:rPr>
                <w:spacing w:val="-4"/>
              </w:rPr>
              <w:t> %</w:t>
            </w:r>
            <w:r w:rsidRPr="00CB64E1">
              <w:rPr>
                <w:spacing w:val="-4"/>
              </w:rPr>
              <w:t>, tedy nejméně za posledních deset let, objem peněžních prostředků ve formě vkladů s dohodnutou spl</w:t>
            </w:r>
            <w:r w:rsidR="00CB64E1" w:rsidRPr="00CB64E1">
              <w:rPr>
                <w:spacing w:val="-4"/>
              </w:rPr>
              <w:t>atností do dvou let se zvýšil o </w:t>
            </w:r>
            <w:r w:rsidRPr="00CB64E1">
              <w:rPr>
                <w:spacing w:val="-4"/>
              </w:rPr>
              <w:t>37,6</w:t>
            </w:r>
            <w:r w:rsidR="00870ECD">
              <w:rPr>
                <w:spacing w:val="-4"/>
              </w:rPr>
              <w:t> %</w:t>
            </w:r>
            <w:r w:rsidRPr="00CB64E1">
              <w:rPr>
                <w:spacing w:val="-4"/>
              </w:rPr>
              <w:t>.</w:t>
            </w:r>
          </w:p>
        </w:tc>
      </w:tr>
      <w:tr w:rsidR="002B3EF4" w:rsidRPr="009110F7" w14:paraId="58F171BC" w14:textId="77777777" w:rsidTr="001125EF">
        <w:trPr>
          <w:trHeight w:val="145"/>
        </w:trPr>
        <w:tc>
          <w:tcPr>
            <w:tcW w:w="1888" w:type="dxa"/>
            <w:shd w:val="clear" w:color="auto" w:fill="auto"/>
            <w:tcMar>
              <w:left w:w="0" w:type="dxa"/>
            </w:tcMar>
          </w:tcPr>
          <w:p w14:paraId="33E2489C" w14:textId="77777777" w:rsidR="002B3EF4" w:rsidRDefault="002B3EF4" w:rsidP="002B3EF4">
            <w:pPr>
              <w:pStyle w:val="Marginlie"/>
            </w:pPr>
            <w:r>
              <w:t>Opět kleslo úročení spotřebních úvěrů pro domácnosti.</w:t>
            </w:r>
          </w:p>
        </w:tc>
        <w:tc>
          <w:tcPr>
            <w:tcW w:w="250" w:type="dxa"/>
            <w:shd w:val="clear" w:color="auto" w:fill="auto"/>
            <w:tcMar>
              <w:left w:w="0" w:type="dxa"/>
            </w:tcMar>
          </w:tcPr>
          <w:p w14:paraId="0B085002" w14:textId="77777777" w:rsidR="002B3EF4" w:rsidRDefault="002B3EF4" w:rsidP="002B3EF4">
            <w:pPr>
              <w:pStyle w:val="Textpoznpodarou"/>
              <w:jc w:val="both"/>
              <w:rPr>
                <w:spacing w:val="-4"/>
              </w:rPr>
            </w:pPr>
          </w:p>
        </w:tc>
        <w:tc>
          <w:tcPr>
            <w:tcW w:w="7501" w:type="dxa"/>
            <w:shd w:val="clear" w:color="auto" w:fill="auto"/>
            <w:tcMar>
              <w:left w:w="0" w:type="dxa"/>
            </w:tcMar>
          </w:tcPr>
          <w:p w14:paraId="58F20D34" w14:textId="29A3D2E1" w:rsidR="002B3EF4" w:rsidRDefault="002B3EF4" w:rsidP="002B3EF4">
            <w:pPr>
              <w:spacing w:after="0"/>
            </w:pPr>
            <w:r>
              <w:t>Průměrná úroková sazba úvěrů na spotřebu pro domácnosti k 31. 3. činila 8,4 %. To je o 0,23</w:t>
            </w:r>
            <w:r w:rsidR="00870ECD">
              <w:t> p. b.</w:t>
            </w:r>
            <w:r>
              <w:t xml:space="preserve"> méně než na konci roku 2018. Sazba klesla u všech typů fixací. V případě úvěrů na nákup bytové nemovitosti se průměrná úroková míra od prosince 2018 nepatrně zvýšila a ke konci března dosáhla 2,97</w:t>
            </w:r>
            <w:r w:rsidR="00870ECD">
              <w:t> %</w:t>
            </w:r>
            <w:r>
              <w:t>. Růst úročení však má původ v úvěrech na bydlení ze stavebního spoření. Samotné hypoteční úvěry byly po celé 1. čtvrtletí úročeny prakticky stejně jako na konci roku 2018. Průměrné úročení úvěrů pro nefinanční podniky se oproti konci minulého rok</w:t>
            </w:r>
            <w:r w:rsidR="00CB64E1">
              <w:t>u celkově téměř nezměnilo (3,32</w:t>
            </w:r>
            <w:r w:rsidR="00CB64E1" w:rsidRPr="00CB64E1">
              <w:rPr>
                <w:spacing w:val="-2"/>
              </w:rPr>
              <w:t> </w:t>
            </w:r>
            <w:r>
              <w:t>% k 31. 3.). Úročení úvěrů do 7,5 mil. korun se totiž zvýšilo na 4,34</w:t>
            </w:r>
            <w:r w:rsidR="00870ECD">
              <w:t> %</w:t>
            </w:r>
            <w:r>
              <w:t xml:space="preserve"> </w:t>
            </w:r>
            <w:r w:rsidR="00CB64E1">
              <w:t>a</w:t>
            </w:r>
            <w:r w:rsidR="00CB64E1" w:rsidRPr="00CB64E1">
              <w:rPr>
                <w:spacing w:val="-2"/>
              </w:rPr>
              <w:t> </w:t>
            </w:r>
            <w:r>
              <w:t>v případě úvěrů mezi 7,5 a 30 mil. korun kleslo na 3,31</w:t>
            </w:r>
            <w:r w:rsidR="00870ECD">
              <w:t> %</w:t>
            </w:r>
            <w:r>
              <w:t>. Úročení velkých půjček nad 30 mil. korun zůstalo téměř nezměněno na 3,23</w:t>
            </w:r>
            <w:r w:rsidR="00870ECD">
              <w:t> %</w:t>
            </w:r>
            <w:r>
              <w:t xml:space="preserve">. </w:t>
            </w:r>
          </w:p>
        </w:tc>
      </w:tr>
      <w:tr w:rsidR="002B3EF4" w:rsidRPr="009110F7" w14:paraId="60B8B0F6" w14:textId="77777777" w:rsidTr="001125EF">
        <w:trPr>
          <w:trHeight w:val="145"/>
        </w:trPr>
        <w:tc>
          <w:tcPr>
            <w:tcW w:w="1888" w:type="dxa"/>
            <w:shd w:val="clear" w:color="auto" w:fill="auto"/>
            <w:tcMar>
              <w:left w:w="0" w:type="dxa"/>
            </w:tcMar>
          </w:tcPr>
          <w:p w14:paraId="41A51E13" w14:textId="77777777" w:rsidR="002B3EF4" w:rsidRDefault="002B3EF4" w:rsidP="002B3EF4">
            <w:pPr>
              <w:pStyle w:val="Marginlie"/>
            </w:pPr>
            <w:r>
              <w:lastRenderedPageBreak/>
              <w:t>Zpomalil růst objemu úvěrů na spotřebu i bydlení.</w:t>
            </w:r>
          </w:p>
        </w:tc>
        <w:tc>
          <w:tcPr>
            <w:tcW w:w="250" w:type="dxa"/>
            <w:shd w:val="clear" w:color="auto" w:fill="auto"/>
            <w:tcMar>
              <w:left w:w="0" w:type="dxa"/>
            </w:tcMar>
          </w:tcPr>
          <w:p w14:paraId="767FA481" w14:textId="77777777" w:rsidR="002B3EF4" w:rsidRDefault="002B3EF4" w:rsidP="002B3EF4">
            <w:pPr>
              <w:pStyle w:val="Textpoznpodarou"/>
              <w:jc w:val="both"/>
              <w:rPr>
                <w:spacing w:val="-4"/>
              </w:rPr>
            </w:pPr>
          </w:p>
        </w:tc>
        <w:tc>
          <w:tcPr>
            <w:tcW w:w="7501" w:type="dxa"/>
            <w:shd w:val="clear" w:color="auto" w:fill="auto"/>
            <w:tcMar>
              <w:left w:w="0" w:type="dxa"/>
            </w:tcMar>
          </w:tcPr>
          <w:p w14:paraId="19D6CE65" w14:textId="3AD84856" w:rsidR="002B3EF4" w:rsidRDefault="002B3EF4" w:rsidP="002B3EF4">
            <w:r>
              <w:t>Objem poskytnutých spotřebitelských úvěrů domácnostem se ke konci 1. čtvrtletí meziročně zvýšil o 8,0</w:t>
            </w:r>
            <w:r w:rsidR="00870ECD">
              <w:t> %</w:t>
            </w:r>
            <w:r>
              <w:t>. Jedná se o mírné zpomalení tempa v porovnání s 2. pololetím minulého roku. Celkový objem poskytnutých úvěrů na bydlení meziročně vzrostl o 7,9 %, což je nejpomalejší tempo od 1. čtvrtletí 2016. Vývoj samotných hypotečních úvěrů byl zkreslen změnou v metodice vykazování</w:t>
            </w:r>
            <w:r>
              <w:rPr>
                <w:rStyle w:val="Znakapoznpodarou"/>
              </w:rPr>
              <w:footnoteReference w:id="3"/>
            </w:r>
            <w:r>
              <w:t>. Zaznamenaný meziroční nárůst o 10,8</w:t>
            </w:r>
            <w:r w:rsidR="00870ECD">
              <w:t> %</w:t>
            </w:r>
            <w:r>
              <w:t xml:space="preserve"> byl zčásti způsoben překlasifikováním části spotřebních úvěrů na bydlení na hypoteční úvěry. Počet nových hypotečních smluv dosáhl v 1. čtvrtletí 36,1 tisíc</w:t>
            </w:r>
            <w:r w:rsidR="005A0948">
              <w:t>e</w:t>
            </w:r>
            <w:r>
              <w:t xml:space="preserve"> (nejméně od března </w:t>
            </w:r>
            <w:r w:rsidR="00CB64E1">
              <w:t>2014) a meziročně poklesl o 9,9 </w:t>
            </w:r>
            <w:r>
              <w:t>tisíce. Objem nově poskytnutých hypoték dosáhl ve stejném období 82,7</w:t>
            </w:r>
            <w:r w:rsidR="00870ECD">
              <w:t> mld</w:t>
            </w:r>
            <w:r>
              <w:t>., což znamenalo meziroční pokles ve výši 11,5</w:t>
            </w:r>
            <w:r w:rsidR="00870ECD">
              <w:t> mld</w:t>
            </w:r>
            <w:r>
              <w:t>. korun (12,2</w:t>
            </w:r>
            <w:r w:rsidR="00870ECD">
              <w:t> %</w:t>
            </w:r>
            <w:r>
              <w:t>). Zadlužení domácností k 31. 3. dosahovalo 1 727,0</w:t>
            </w:r>
            <w:r w:rsidR="00870ECD">
              <w:t> mld</w:t>
            </w:r>
            <w:r>
              <w:t>. korun a meziročně se zvýšilo o 6,7</w:t>
            </w:r>
            <w:r w:rsidR="00870ECD">
              <w:t> %</w:t>
            </w:r>
            <w:r>
              <w:t>, což představuje zpomalení oproti loňskému roku asi o 0,5</w:t>
            </w:r>
            <w:r w:rsidR="00870ECD">
              <w:t> p. b.</w:t>
            </w:r>
            <w:r>
              <w:t xml:space="preserve"> Zmírnil se růst zadlužení na spotřebu (na 4,8</w:t>
            </w:r>
            <w:r w:rsidR="00870ECD">
              <w:t> %</w:t>
            </w:r>
            <w:r>
              <w:t>)</w:t>
            </w:r>
            <w:r w:rsidR="005A0948">
              <w:t>,</w:t>
            </w:r>
            <w:r>
              <w:t xml:space="preserve"> ale především na bydlení (na 7,8</w:t>
            </w:r>
            <w:r w:rsidR="00870ECD">
              <w:t> %</w:t>
            </w:r>
            <w:r>
              <w:t>).</w:t>
            </w:r>
          </w:p>
        </w:tc>
      </w:tr>
      <w:tr w:rsidR="002B3EF4" w:rsidRPr="009110F7" w14:paraId="2F74026C" w14:textId="77777777" w:rsidTr="001125EF">
        <w:trPr>
          <w:trHeight w:val="145"/>
        </w:trPr>
        <w:tc>
          <w:tcPr>
            <w:tcW w:w="1888" w:type="dxa"/>
            <w:shd w:val="clear" w:color="auto" w:fill="auto"/>
            <w:tcMar>
              <w:left w:w="0" w:type="dxa"/>
            </w:tcMar>
          </w:tcPr>
          <w:p w14:paraId="2869B705" w14:textId="75C9E691" w:rsidR="002B3EF4" w:rsidRDefault="002B3EF4" w:rsidP="002B3EF4">
            <w:pPr>
              <w:pStyle w:val="Marginlie"/>
            </w:pPr>
            <w:r>
              <w:t>Podíl úvěrů v cizí měně ke konci března činil 31,6 % z celkového objemu úvěrů poskytnutých nefinančním podnikům</w:t>
            </w:r>
            <w:r w:rsidR="00580AD3">
              <w:t>.</w:t>
            </w:r>
          </w:p>
        </w:tc>
        <w:tc>
          <w:tcPr>
            <w:tcW w:w="250" w:type="dxa"/>
            <w:shd w:val="clear" w:color="auto" w:fill="auto"/>
            <w:tcMar>
              <w:left w:w="0" w:type="dxa"/>
            </w:tcMar>
          </w:tcPr>
          <w:p w14:paraId="7A9EF2A2" w14:textId="77777777" w:rsidR="002B3EF4" w:rsidRDefault="002B3EF4" w:rsidP="002B3EF4">
            <w:pPr>
              <w:pStyle w:val="Textpoznpodarou"/>
              <w:jc w:val="both"/>
              <w:rPr>
                <w:spacing w:val="-4"/>
              </w:rPr>
            </w:pPr>
          </w:p>
        </w:tc>
        <w:tc>
          <w:tcPr>
            <w:tcW w:w="7501" w:type="dxa"/>
            <w:shd w:val="clear" w:color="auto" w:fill="auto"/>
            <w:tcMar>
              <w:left w:w="0" w:type="dxa"/>
            </w:tcMar>
          </w:tcPr>
          <w:p w14:paraId="3ECF3D6B" w14:textId="77777777" w:rsidR="002B3EF4" w:rsidRDefault="002B3EF4" w:rsidP="002B3EF4">
            <w:r>
              <w:t>Dynamika úvěrů poskytnutých v jednotlivých odvětvích opět odrážela situaci v reálné ekonomice. Zpracovatelský průmysl si udržel solidní tempo (meziroční nárůst úvěrů o 6,4</w:t>
            </w:r>
            <w:r w:rsidR="00870ECD">
              <w:t> %</w:t>
            </w:r>
            <w:r>
              <w:t>). Stavebnictví se stále dařilo, což se projevilo na dvouciferném růstu výše poskytnutých úvěrů (13,7</w:t>
            </w:r>
            <w:r w:rsidR="00870ECD">
              <w:t> %</w:t>
            </w:r>
            <w:r>
              <w:t xml:space="preserve">). Silně rostly také úvěry poskytnuté v informačních </w:t>
            </w:r>
            <w:r w:rsidR="00CB64E1">
              <w:t>a </w:t>
            </w:r>
            <w:r>
              <w:t>komunikačních činnostech (17,4</w:t>
            </w:r>
            <w:r w:rsidR="00870ECD">
              <w:t> %</w:t>
            </w:r>
            <w:r>
              <w:t>). Růst objemu úvěrů a pohledávek nefinančních podniků se i v 1. čtvrtletí 2019 soustředil do úvěrů se střednědobou splatností (17,6 %) a zejména do úvěrů v cizí měně. Celkově tyto půjčky dosáhly 31,6 % z celkového objemu úvěrů pro nefinanční podniky. Krátkodobé úvěry v cizí měně tvořily 30,9</w:t>
            </w:r>
            <w:r w:rsidR="00870ECD">
              <w:t> %</w:t>
            </w:r>
            <w:r>
              <w:t xml:space="preserve"> ze všech krátkodobých úvěrů, podíl střednědobých úvěrů v cizí měně v 1. čt</w:t>
            </w:r>
            <w:r w:rsidR="00D75AC1">
              <w:t>vrtletí poprvé překonal 40</w:t>
            </w:r>
            <w:r w:rsidR="00870ECD">
              <w:t> %</w:t>
            </w:r>
            <w:r w:rsidR="00D75AC1">
              <w:t>.</w:t>
            </w:r>
          </w:p>
        </w:tc>
      </w:tr>
      <w:tr w:rsidR="002B3EF4" w:rsidRPr="009110F7" w14:paraId="3A9FC687" w14:textId="77777777" w:rsidTr="001125EF">
        <w:trPr>
          <w:trHeight w:val="304"/>
        </w:trPr>
        <w:tc>
          <w:tcPr>
            <w:tcW w:w="1888" w:type="dxa"/>
            <w:vMerge w:val="restart"/>
            <w:shd w:val="clear" w:color="auto" w:fill="auto"/>
            <w:tcMar>
              <w:left w:w="0" w:type="dxa"/>
            </w:tcMar>
          </w:tcPr>
          <w:p w14:paraId="108DA6D4" w14:textId="77777777" w:rsidR="002B3EF4" w:rsidRDefault="002B3EF4" w:rsidP="002B3EF4">
            <w:pPr>
              <w:pStyle w:val="Marginlie"/>
            </w:pPr>
          </w:p>
        </w:tc>
        <w:tc>
          <w:tcPr>
            <w:tcW w:w="250" w:type="dxa"/>
            <w:vMerge w:val="restart"/>
            <w:shd w:val="clear" w:color="auto" w:fill="auto"/>
            <w:tcMar>
              <w:left w:w="0" w:type="dxa"/>
            </w:tcMar>
          </w:tcPr>
          <w:p w14:paraId="2545D255" w14:textId="77777777" w:rsidR="002B3EF4" w:rsidRDefault="002B3EF4" w:rsidP="002B3EF4">
            <w:pPr>
              <w:pStyle w:val="Textpoznpodarou"/>
              <w:jc w:val="both"/>
              <w:rPr>
                <w:spacing w:val="-4"/>
              </w:rPr>
            </w:pPr>
          </w:p>
        </w:tc>
        <w:tc>
          <w:tcPr>
            <w:tcW w:w="7501" w:type="dxa"/>
            <w:shd w:val="clear" w:color="auto" w:fill="auto"/>
            <w:tcMar>
              <w:left w:w="0" w:type="dxa"/>
            </w:tcMar>
          </w:tcPr>
          <w:p w14:paraId="02A2CD04" w14:textId="77777777" w:rsidR="002B3EF4" w:rsidRPr="00D75AC1" w:rsidRDefault="002B3EF4" w:rsidP="00935DFE">
            <w:pPr>
              <w:spacing w:after="0"/>
              <w:rPr>
                <w:szCs w:val="20"/>
              </w:rPr>
            </w:pPr>
            <w:r w:rsidRPr="00D75AC1">
              <w:rPr>
                <w:rFonts w:cs="Arial"/>
                <w:b/>
                <w:bCs/>
                <w:color w:val="000000"/>
                <w:szCs w:val="20"/>
              </w:rPr>
              <w:t>Graf č. 1</w:t>
            </w:r>
            <w:r w:rsidR="00935DFE" w:rsidRPr="00D75AC1">
              <w:rPr>
                <w:rFonts w:cs="Arial"/>
                <w:b/>
                <w:bCs/>
                <w:color w:val="000000"/>
                <w:szCs w:val="20"/>
              </w:rPr>
              <w:t>6</w:t>
            </w:r>
            <w:r w:rsidRPr="00D75AC1">
              <w:rPr>
                <w:rFonts w:cs="Arial"/>
                <w:b/>
                <w:bCs/>
                <w:color w:val="000000"/>
                <w:szCs w:val="20"/>
              </w:rPr>
              <w:t xml:space="preserve">  </w:t>
            </w:r>
            <w:r w:rsidRPr="00D75AC1">
              <w:rPr>
                <w:b/>
                <w:spacing w:val="-4"/>
                <w:szCs w:val="20"/>
              </w:rPr>
              <w:t xml:space="preserve">Tržní úrokové sazby </w:t>
            </w:r>
            <w:r w:rsidRPr="00D75AC1">
              <w:rPr>
                <w:spacing w:val="-4"/>
                <w:szCs w:val="20"/>
              </w:rPr>
              <w:t>(v %)</w:t>
            </w:r>
          </w:p>
        </w:tc>
      </w:tr>
      <w:tr w:rsidR="002B3EF4" w:rsidRPr="009110F7" w14:paraId="3D9F5F63" w14:textId="77777777" w:rsidTr="001125EF">
        <w:trPr>
          <w:trHeight w:val="170"/>
        </w:trPr>
        <w:tc>
          <w:tcPr>
            <w:tcW w:w="1888" w:type="dxa"/>
            <w:vMerge/>
            <w:shd w:val="clear" w:color="auto" w:fill="auto"/>
            <w:tcMar>
              <w:left w:w="0" w:type="dxa"/>
            </w:tcMar>
          </w:tcPr>
          <w:p w14:paraId="1E900C1A" w14:textId="77777777" w:rsidR="002B3EF4" w:rsidRPr="009110F7" w:rsidRDefault="002B3EF4" w:rsidP="002B3EF4">
            <w:pPr>
              <w:pStyle w:val="Marginlie"/>
            </w:pPr>
          </w:p>
        </w:tc>
        <w:tc>
          <w:tcPr>
            <w:tcW w:w="250" w:type="dxa"/>
            <w:vMerge/>
            <w:shd w:val="clear" w:color="auto" w:fill="auto"/>
            <w:tcMar>
              <w:left w:w="0" w:type="dxa"/>
            </w:tcMar>
          </w:tcPr>
          <w:p w14:paraId="172D10DF" w14:textId="77777777" w:rsidR="002B3EF4" w:rsidRPr="009110F7" w:rsidRDefault="002B3EF4" w:rsidP="002B3EF4">
            <w:pPr>
              <w:pStyle w:val="Textpoznpodarou"/>
              <w:jc w:val="both"/>
              <w:rPr>
                <w:spacing w:val="-4"/>
              </w:rPr>
            </w:pPr>
          </w:p>
        </w:tc>
        <w:tc>
          <w:tcPr>
            <w:tcW w:w="7501" w:type="dxa"/>
            <w:shd w:val="clear" w:color="auto" w:fill="auto"/>
            <w:tcMar>
              <w:left w:w="0" w:type="dxa"/>
            </w:tcMar>
          </w:tcPr>
          <w:p w14:paraId="36ED032B" w14:textId="77777777" w:rsidR="002B3EF4" w:rsidRPr="009110F7" w:rsidRDefault="002B3EF4" w:rsidP="002B3EF4">
            <w:pPr>
              <w:spacing w:after="0"/>
              <w:rPr>
                <w:sz w:val="14"/>
                <w:szCs w:val="14"/>
              </w:rPr>
            </w:pPr>
            <w:r>
              <w:rPr>
                <w:noProof/>
              </w:rPr>
              <w:drawing>
                <wp:inline distT="0" distB="0" distL="0" distR="0" wp14:anchorId="40839552" wp14:editId="130451BE">
                  <wp:extent cx="4737600" cy="3553200"/>
                  <wp:effectExtent l="0" t="0" r="6350" b="0"/>
                  <wp:docPr id="24" name="Graf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2B3EF4" w:rsidRPr="009110F7" w14:paraId="1A0EACFC" w14:textId="77777777" w:rsidTr="001125EF">
        <w:trPr>
          <w:trHeight w:val="170"/>
        </w:trPr>
        <w:tc>
          <w:tcPr>
            <w:tcW w:w="1888" w:type="dxa"/>
            <w:vMerge/>
            <w:shd w:val="clear" w:color="auto" w:fill="auto"/>
            <w:tcMar>
              <w:left w:w="0" w:type="dxa"/>
            </w:tcMar>
          </w:tcPr>
          <w:p w14:paraId="261B3FD8" w14:textId="77777777" w:rsidR="002B3EF4" w:rsidRPr="009110F7" w:rsidRDefault="002B3EF4" w:rsidP="002B3EF4">
            <w:pPr>
              <w:pStyle w:val="Marginlie"/>
            </w:pPr>
          </w:p>
        </w:tc>
        <w:tc>
          <w:tcPr>
            <w:tcW w:w="250" w:type="dxa"/>
            <w:vMerge/>
            <w:shd w:val="clear" w:color="auto" w:fill="auto"/>
            <w:tcMar>
              <w:left w:w="0" w:type="dxa"/>
            </w:tcMar>
          </w:tcPr>
          <w:p w14:paraId="7E6D0400" w14:textId="77777777" w:rsidR="002B3EF4" w:rsidRPr="009110F7" w:rsidRDefault="002B3EF4" w:rsidP="002B3EF4">
            <w:pPr>
              <w:pStyle w:val="Textpoznpodarou"/>
              <w:jc w:val="both"/>
              <w:rPr>
                <w:spacing w:val="-4"/>
              </w:rPr>
            </w:pPr>
          </w:p>
        </w:tc>
        <w:tc>
          <w:tcPr>
            <w:tcW w:w="7501" w:type="dxa"/>
            <w:shd w:val="clear" w:color="auto" w:fill="auto"/>
            <w:tcMar>
              <w:left w:w="0" w:type="dxa"/>
            </w:tcMar>
          </w:tcPr>
          <w:p w14:paraId="373F7F98" w14:textId="77777777" w:rsidR="002B3EF4" w:rsidRPr="009110F7" w:rsidRDefault="002B3EF4" w:rsidP="002B3EF4">
            <w:pPr>
              <w:spacing w:after="0"/>
              <w:rPr>
                <w:sz w:val="14"/>
                <w:szCs w:val="14"/>
              </w:rPr>
            </w:pPr>
            <w:r>
              <w:rPr>
                <w:sz w:val="14"/>
                <w:szCs w:val="14"/>
              </w:rPr>
              <w:t>Zdroj: ČNB</w:t>
            </w:r>
          </w:p>
        </w:tc>
      </w:tr>
    </w:tbl>
    <w:p w14:paraId="63ECF9C9" w14:textId="4A98C3A6" w:rsidR="00A50D73" w:rsidRPr="009110F7" w:rsidRDefault="00A50D73" w:rsidP="00E93CB4">
      <w:pPr>
        <w:pStyle w:val="Nadpis11"/>
        <w:rPr>
          <w:sz w:val="2"/>
          <w:szCs w:val="2"/>
        </w:rPr>
      </w:pPr>
    </w:p>
    <w:sectPr w:rsidR="00A50D73" w:rsidRPr="009110F7" w:rsidSect="00E93CB4">
      <w:headerReference w:type="even" r:id="rId10"/>
      <w:headerReference w:type="default" r:id="rId11"/>
      <w:footerReference w:type="even" r:id="rId12"/>
      <w:footerReference w:type="default" r:id="rId13"/>
      <w:pgSz w:w="11906" w:h="16838" w:code="9"/>
      <w:pgMar w:top="1134" w:right="1134" w:bottom="1418" w:left="1134" w:header="680" w:footer="737" w:gutter="0"/>
      <w:pgNumType w:start="25"/>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1BDC4D" w16cid:durableId="20AA22BF"/>
  <w16cid:commentId w16cid:paraId="1D79D092" w16cid:durableId="20AA7522"/>
  <w16cid:commentId w16cid:paraId="35C66900" w16cid:durableId="20AA841D"/>
  <w16cid:commentId w16cid:paraId="39CFBFF6" w16cid:durableId="20AA9586"/>
  <w16cid:commentId w16cid:paraId="385B1D8E" w16cid:durableId="20AB3CC7"/>
  <w16cid:commentId w16cid:paraId="1DCDDDF9" w16cid:durableId="20AB3E90"/>
  <w16cid:commentId w16cid:paraId="33D3157C" w16cid:durableId="20AB41FD"/>
  <w16cid:commentId w16cid:paraId="2F2C6295" w16cid:durableId="20AB535B"/>
  <w16cid:commentId w16cid:paraId="50067FCC" w16cid:durableId="20AB53EB"/>
  <w16cid:commentId w16cid:paraId="3FC61740" w16cid:durableId="20AB6E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C3C1C" w14:textId="77777777" w:rsidR="00FE5E52" w:rsidRDefault="00FE5E52" w:rsidP="00E71A58">
      <w:r>
        <w:separator/>
      </w:r>
    </w:p>
  </w:endnote>
  <w:endnote w:type="continuationSeparator" w:id="0">
    <w:p w14:paraId="238819E1" w14:textId="77777777" w:rsidR="00FE5E52" w:rsidRDefault="00FE5E52"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51A0D" w14:textId="334B5A02" w:rsidR="0052200D" w:rsidRPr="00932443" w:rsidRDefault="0052200D" w:rsidP="00A418BC">
    <w:pPr>
      <w:pStyle w:val="Zpat"/>
      <w:rPr>
        <w:szCs w:val="16"/>
      </w:rPr>
    </w:pPr>
    <w:r>
      <w:rPr>
        <w:szCs w:val="16"/>
        <w:lang w:eastAsia="cs-CZ"/>
      </w:rPr>
      <w:drawing>
        <wp:anchor distT="0" distB="0" distL="114300" distR="114300" simplePos="0" relativeHeight="251667968" behindDoc="0" locked="0" layoutInCell="1" allowOverlap="1" wp14:anchorId="71F0B6E3" wp14:editId="3AA519D4">
          <wp:simplePos x="0" y="0"/>
          <wp:positionH relativeFrom="column">
            <wp:align>right</wp:align>
          </wp:positionH>
          <wp:positionV relativeFrom="paragraph">
            <wp:posOffset>-64770</wp:posOffset>
          </wp:positionV>
          <wp:extent cx="428625" cy="201295"/>
          <wp:effectExtent l="0" t="0" r="3175" b="1905"/>
          <wp:wrapNone/>
          <wp:docPr id="9"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E93CB4">
      <w:rPr>
        <w:szCs w:val="16"/>
      </w:rPr>
      <w:t>26</w:t>
    </w:r>
    <w:r w:rsidRPr="00932443">
      <w:rPr>
        <w:szCs w:val="16"/>
      </w:rPr>
      <w:fldChar w:fldCharType="end"/>
    </w:r>
    <w:r w:rsidRPr="00932443">
      <w:rPr>
        <w:szCs w:val="16"/>
      </w:rPr>
      <w:tab/>
    </w:r>
    <w:r>
      <w:rPr>
        <w:szCs w:val="16"/>
      </w:rPr>
      <w:t>1. čtvrtletí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17E4B" w14:textId="4A286957" w:rsidR="0052200D" w:rsidRPr="00932443" w:rsidRDefault="0052200D" w:rsidP="00FA6CB6">
    <w:pPr>
      <w:pStyle w:val="Zpat"/>
      <w:rPr>
        <w:szCs w:val="16"/>
      </w:rPr>
    </w:pPr>
    <w:r w:rsidRPr="00FA6CB6">
      <w:rPr>
        <w:szCs w:val="16"/>
      </w:rPr>
      <w:tab/>
      <w:t>1</w:t>
    </w:r>
    <w:r>
      <w:t xml:space="preserve">. </w:t>
    </w:r>
    <w:r>
      <w:rPr>
        <w:szCs w:val="16"/>
        <w:lang w:eastAsia="cs-CZ"/>
      </w:rPr>
      <w:drawing>
        <wp:anchor distT="0" distB="0" distL="114300" distR="114300" simplePos="0" relativeHeight="251658752" behindDoc="0" locked="0" layoutInCell="1" allowOverlap="1" wp14:anchorId="6ADC9B20" wp14:editId="2C3814E9">
          <wp:simplePos x="0" y="0"/>
          <wp:positionH relativeFrom="column">
            <wp:align>left</wp:align>
          </wp:positionH>
          <wp:positionV relativeFrom="paragraph">
            <wp:posOffset>-122555</wp:posOffset>
          </wp:positionV>
          <wp:extent cx="510540" cy="272415"/>
          <wp:effectExtent l="0" t="0" r="0" b="6985"/>
          <wp:wrapNone/>
          <wp:docPr id="10"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Pr>
        <w:szCs w:val="16"/>
      </w:rPr>
      <w:t>čtvrtletí 2</w:t>
    </w:r>
    <w:r>
      <w:t>019</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E93CB4">
      <w:rPr>
        <w:rStyle w:val="ZpatChar"/>
        <w:szCs w:val="16"/>
      </w:rPr>
      <w:t>25</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69485" w14:textId="77777777" w:rsidR="00FE5E52" w:rsidRDefault="00FE5E52" w:rsidP="00E71A58">
      <w:r>
        <w:separator/>
      </w:r>
    </w:p>
  </w:footnote>
  <w:footnote w:type="continuationSeparator" w:id="0">
    <w:p w14:paraId="5426D27C" w14:textId="77777777" w:rsidR="00FE5E52" w:rsidRDefault="00FE5E52" w:rsidP="00E71A58">
      <w:r>
        <w:continuationSeparator/>
      </w:r>
    </w:p>
  </w:footnote>
  <w:footnote w:id="1">
    <w:p w14:paraId="213B78DB" w14:textId="77777777" w:rsidR="00E93CB4" w:rsidRPr="00E83936" w:rsidRDefault="00E93CB4" w:rsidP="00E93CB4">
      <w:pPr>
        <w:pStyle w:val="Textpoznpodarou"/>
        <w:rPr>
          <w:sz w:val="16"/>
          <w:szCs w:val="16"/>
        </w:rPr>
      </w:pPr>
      <w:r w:rsidRPr="00E83936">
        <w:rPr>
          <w:rStyle w:val="Znakapoznpodarou"/>
          <w:sz w:val="16"/>
          <w:szCs w:val="16"/>
        </w:rPr>
        <w:footnoteRef/>
      </w:r>
      <w:r w:rsidRPr="00E83936">
        <w:rPr>
          <w:sz w:val="16"/>
          <w:szCs w:val="16"/>
        </w:rPr>
        <w:t xml:space="preserve"> Kurzy devizového trhu vyhlašované ČNB</w:t>
      </w:r>
      <w:r>
        <w:rPr>
          <w:sz w:val="16"/>
          <w:szCs w:val="16"/>
        </w:rPr>
        <w:t xml:space="preserve"> v pracovních dnech</w:t>
      </w:r>
      <w:r w:rsidRPr="00E83936">
        <w:rPr>
          <w:sz w:val="16"/>
          <w:szCs w:val="16"/>
        </w:rPr>
        <w:t>.</w:t>
      </w:r>
      <w:r>
        <w:rPr>
          <w:sz w:val="16"/>
          <w:szCs w:val="16"/>
        </w:rPr>
        <w:t xml:space="preserve"> Není-li uvedeno jinak, jsou veškeré údaje převzaty z databáze ARAD České národní banky.</w:t>
      </w:r>
      <w:r w:rsidRPr="00E83936">
        <w:rPr>
          <w:sz w:val="16"/>
          <w:szCs w:val="16"/>
        </w:rPr>
        <w:t xml:space="preserve"> </w:t>
      </w:r>
    </w:p>
  </w:footnote>
  <w:footnote w:id="2">
    <w:p w14:paraId="04C0753D" w14:textId="77777777" w:rsidR="0052200D" w:rsidRPr="00113954" w:rsidRDefault="0052200D">
      <w:pPr>
        <w:pStyle w:val="Textpoznpodarou"/>
        <w:rPr>
          <w:sz w:val="16"/>
          <w:szCs w:val="16"/>
        </w:rPr>
      </w:pPr>
      <w:r w:rsidRPr="00113954">
        <w:rPr>
          <w:rStyle w:val="Znakapoznpodarou"/>
          <w:sz w:val="16"/>
          <w:szCs w:val="16"/>
        </w:rPr>
        <w:footnoteRef/>
      </w:r>
      <w:r w:rsidRPr="00113954">
        <w:rPr>
          <w:sz w:val="16"/>
          <w:szCs w:val="16"/>
        </w:rPr>
        <w:t xml:space="preserve"> Podle komentáře ČNB v lednu 2019 došlo v bankovní statistice oproti prosinci 2018 k poklesu kreditních zůstatků na </w:t>
      </w:r>
      <w:r>
        <w:rPr>
          <w:sz w:val="16"/>
          <w:szCs w:val="16"/>
        </w:rPr>
        <w:t xml:space="preserve">běžných účtech </w:t>
      </w:r>
      <w:r w:rsidRPr="00113954">
        <w:rPr>
          <w:sz w:val="16"/>
          <w:szCs w:val="16"/>
        </w:rPr>
        <w:t>zejména v sektoru domácnosti. Tento výkyv byl způsoben jednorázovou překlasifikací ze strany vykazujících subjektů do úsporných vkladů na požádání.</w:t>
      </w:r>
    </w:p>
  </w:footnote>
  <w:footnote w:id="3">
    <w:p w14:paraId="665E5124" w14:textId="7E74A65E" w:rsidR="0052200D" w:rsidRPr="00C26AB2" w:rsidRDefault="0052200D" w:rsidP="0045321B">
      <w:pPr>
        <w:rPr>
          <w:sz w:val="16"/>
          <w:szCs w:val="16"/>
        </w:rPr>
      </w:pPr>
      <w:r w:rsidRPr="00C26AB2">
        <w:rPr>
          <w:rStyle w:val="Znakapoznpodarou"/>
          <w:sz w:val="16"/>
          <w:szCs w:val="16"/>
        </w:rPr>
        <w:footnoteRef/>
      </w:r>
      <w:r w:rsidRPr="00C26AB2">
        <w:rPr>
          <w:sz w:val="16"/>
          <w:szCs w:val="16"/>
        </w:rPr>
        <w:t xml:space="preserve"> V důsledku úpravy definice hypotečního úvěru podle novelizovaného zákona č. 190/2004 Sb.</w:t>
      </w:r>
      <w:r>
        <w:rPr>
          <w:sz w:val="16"/>
          <w:szCs w:val="16"/>
        </w:rPr>
        <w:t>,</w:t>
      </w:r>
      <w:r w:rsidRPr="00C26AB2">
        <w:rPr>
          <w:sz w:val="16"/>
          <w:szCs w:val="16"/>
        </w:rPr>
        <w:t xml:space="preserve"> s účinností od 4. 1. 2019, o dluhopisech.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985C8" w14:textId="77777777" w:rsidR="0052200D" w:rsidRDefault="0052200D" w:rsidP="00937AE2">
    <w:pPr>
      <w:pStyle w:val="Zhlav"/>
    </w:pPr>
    <w:r>
      <w:t>Vývoj ekonomiky České republiky</w:t>
    </w:r>
  </w:p>
  <w:p w14:paraId="675E4C41" w14:textId="77777777" w:rsidR="0052200D" w:rsidRPr="006F5416" w:rsidRDefault="0052200D"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812FB" w14:textId="77777777" w:rsidR="0052200D" w:rsidRDefault="0052200D" w:rsidP="00937AE2">
    <w:pPr>
      <w:pStyle w:val="Zhlav"/>
    </w:pPr>
    <w:r>
      <w:t>Vývoj ekonomiky České republiky</w:t>
    </w:r>
  </w:p>
  <w:p w14:paraId="0CDCFD48" w14:textId="77777777" w:rsidR="0052200D" w:rsidRPr="006F5416" w:rsidRDefault="0052200D"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5pt;height:11.5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2"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0"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3"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23"/>
  </w:num>
  <w:num w:numId="14">
    <w:abstractNumId w:val="11"/>
  </w:num>
  <w:num w:numId="15">
    <w:abstractNumId w:val="17"/>
  </w:num>
  <w:num w:numId="16">
    <w:abstractNumId w:val="13"/>
  </w:num>
  <w:num w:numId="17">
    <w:abstractNumId w:val="24"/>
  </w:num>
  <w:num w:numId="18">
    <w:abstractNumId w:val="18"/>
  </w:num>
  <w:num w:numId="19">
    <w:abstractNumId w:val="25"/>
  </w:num>
  <w:num w:numId="20">
    <w:abstractNumId w:val="26"/>
  </w:num>
  <w:num w:numId="21">
    <w:abstractNumId w:val="22"/>
  </w:num>
  <w:num w:numId="22">
    <w:abstractNumId w:val="16"/>
  </w:num>
  <w:num w:numId="23">
    <w:abstractNumId w:val="14"/>
  </w:num>
  <w:num w:numId="24">
    <w:abstractNumId w:val="15"/>
  </w:num>
  <w:num w:numId="25">
    <w:abstractNumId w:val="10"/>
  </w:num>
  <w:num w:numId="26">
    <w:abstractNumId w:val="2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209D"/>
    <w:rsid w:val="00003849"/>
    <w:rsid w:val="00003F5C"/>
    <w:rsid w:val="00004D5A"/>
    <w:rsid w:val="000056D5"/>
    <w:rsid w:val="00005D9E"/>
    <w:rsid w:val="000063D5"/>
    <w:rsid w:val="00006625"/>
    <w:rsid w:val="00006ABD"/>
    <w:rsid w:val="00006B67"/>
    <w:rsid w:val="00006C0B"/>
    <w:rsid w:val="000073A0"/>
    <w:rsid w:val="0000767A"/>
    <w:rsid w:val="00007ABE"/>
    <w:rsid w:val="00010256"/>
    <w:rsid w:val="00010702"/>
    <w:rsid w:val="0001128E"/>
    <w:rsid w:val="00011912"/>
    <w:rsid w:val="00016420"/>
    <w:rsid w:val="00017B01"/>
    <w:rsid w:val="00020F22"/>
    <w:rsid w:val="0002195D"/>
    <w:rsid w:val="000228AE"/>
    <w:rsid w:val="000233D1"/>
    <w:rsid w:val="000234D6"/>
    <w:rsid w:val="00023D29"/>
    <w:rsid w:val="00024348"/>
    <w:rsid w:val="00026389"/>
    <w:rsid w:val="00031AE0"/>
    <w:rsid w:val="00031BB2"/>
    <w:rsid w:val="000322EF"/>
    <w:rsid w:val="00033FCD"/>
    <w:rsid w:val="00034DF7"/>
    <w:rsid w:val="00034E68"/>
    <w:rsid w:val="000350C8"/>
    <w:rsid w:val="00036195"/>
    <w:rsid w:val="000374B2"/>
    <w:rsid w:val="000376C0"/>
    <w:rsid w:val="000403A7"/>
    <w:rsid w:val="00040632"/>
    <w:rsid w:val="00041CEC"/>
    <w:rsid w:val="00044183"/>
    <w:rsid w:val="0004694F"/>
    <w:rsid w:val="00047D54"/>
    <w:rsid w:val="000522E4"/>
    <w:rsid w:val="00053713"/>
    <w:rsid w:val="0005434E"/>
    <w:rsid w:val="00055CB6"/>
    <w:rsid w:val="000572DD"/>
    <w:rsid w:val="00057B1E"/>
    <w:rsid w:val="000610E1"/>
    <w:rsid w:val="000616AD"/>
    <w:rsid w:val="000622A6"/>
    <w:rsid w:val="00062EC5"/>
    <w:rsid w:val="00062F22"/>
    <w:rsid w:val="00063975"/>
    <w:rsid w:val="00063CEA"/>
    <w:rsid w:val="000645FC"/>
    <w:rsid w:val="0006533F"/>
    <w:rsid w:val="00065348"/>
    <w:rsid w:val="00065A75"/>
    <w:rsid w:val="00070A87"/>
    <w:rsid w:val="000712B3"/>
    <w:rsid w:val="0007474E"/>
    <w:rsid w:val="0007512B"/>
    <w:rsid w:val="00075551"/>
    <w:rsid w:val="00076D90"/>
    <w:rsid w:val="00077FF0"/>
    <w:rsid w:val="00081A55"/>
    <w:rsid w:val="0008263E"/>
    <w:rsid w:val="00082C19"/>
    <w:rsid w:val="000837CD"/>
    <w:rsid w:val="00084BFF"/>
    <w:rsid w:val="00085395"/>
    <w:rsid w:val="00086896"/>
    <w:rsid w:val="00086AC1"/>
    <w:rsid w:val="00086D19"/>
    <w:rsid w:val="00087634"/>
    <w:rsid w:val="00087F2B"/>
    <w:rsid w:val="00090694"/>
    <w:rsid w:val="000913B1"/>
    <w:rsid w:val="00093241"/>
    <w:rsid w:val="00094A84"/>
    <w:rsid w:val="00095025"/>
    <w:rsid w:val="00095135"/>
    <w:rsid w:val="0009626E"/>
    <w:rsid w:val="00097191"/>
    <w:rsid w:val="000974D1"/>
    <w:rsid w:val="0009799E"/>
    <w:rsid w:val="000A0BC0"/>
    <w:rsid w:val="000A1183"/>
    <w:rsid w:val="000A212B"/>
    <w:rsid w:val="000A256D"/>
    <w:rsid w:val="000A3A2C"/>
    <w:rsid w:val="000A3D9E"/>
    <w:rsid w:val="000A4A54"/>
    <w:rsid w:val="000A4ED9"/>
    <w:rsid w:val="000A7377"/>
    <w:rsid w:val="000B03CC"/>
    <w:rsid w:val="000B4212"/>
    <w:rsid w:val="000C0EA8"/>
    <w:rsid w:val="000C13A2"/>
    <w:rsid w:val="000C30C3"/>
    <w:rsid w:val="000C3408"/>
    <w:rsid w:val="000C35AB"/>
    <w:rsid w:val="000C4769"/>
    <w:rsid w:val="000C4D56"/>
    <w:rsid w:val="000C6AFD"/>
    <w:rsid w:val="000C6C90"/>
    <w:rsid w:val="000D0A26"/>
    <w:rsid w:val="000D3058"/>
    <w:rsid w:val="000D310A"/>
    <w:rsid w:val="000D3EF4"/>
    <w:rsid w:val="000D5637"/>
    <w:rsid w:val="000D6F4E"/>
    <w:rsid w:val="000E0E96"/>
    <w:rsid w:val="000E2C7D"/>
    <w:rsid w:val="000E440D"/>
    <w:rsid w:val="000E4AC5"/>
    <w:rsid w:val="000E6253"/>
    <w:rsid w:val="000E6E4D"/>
    <w:rsid w:val="000E6FBD"/>
    <w:rsid w:val="000E6FCB"/>
    <w:rsid w:val="000F090B"/>
    <w:rsid w:val="000F3F3B"/>
    <w:rsid w:val="000F47E8"/>
    <w:rsid w:val="000F70E4"/>
    <w:rsid w:val="00100F5C"/>
    <w:rsid w:val="00101CDA"/>
    <w:rsid w:val="00102037"/>
    <w:rsid w:val="00103DCB"/>
    <w:rsid w:val="00104C4C"/>
    <w:rsid w:val="00105015"/>
    <w:rsid w:val="001057C2"/>
    <w:rsid w:val="001125EF"/>
    <w:rsid w:val="00112CAB"/>
    <w:rsid w:val="00116D3F"/>
    <w:rsid w:val="00117474"/>
    <w:rsid w:val="00117623"/>
    <w:rsid w:val="00117FEA"/>
    <w:rsid w:val="001200CF"/>
    <w:rsid w:val="001208E3"/>
    <w:rsid w:val="0012192F"/>
    <w:rsid w:val="00122994"/>
    <w:rsid w:val="00124B46"/>
    <w:rsid w:val="001257E0"/>
    <w:rsid w:val="00125D69"/>
    <w:rsid w:val="0012799C"/>
    <w:rsid w:val="00127E15"/>
    <w:rsid w:val="00130ADC"/>
    <w:rsid w:val="00130D9F"/>
    <w:rsid w:val="00132C4D"/>
    <w:rsid w:val="00133FC1"/>
    <w:rsid w:val="00134659"/>
    <w:rsid w:val="001405FA"/>
    <w:rsid w:val="00140D1A"/>
    <w:rsid w:val="00141315"/>
    <w:rsid w:val="00141AA0"/>
    <w:rsid w:val="001425C3"/>
    <w:rsid w:val="0014262D"/>
    <w:rsid w:val="00144588"/>
    <w:rsid w:val="001447DD"/>
    <w:rsid w:val="001459BC"/>
    <w:rsid w:val="00152F4F"/>
    <w:rsid w:val="001544A1"/>
    <w:rsid w:val="001553B8"/>
    <w:rsid w:val="001554C2"/>
    <w:rsid w:val="001571C0"/>
    <w:rsid w:val="0015753D"/>
    <w:rsid w:val="00157CC9"/>
    <w:rsid w:val="001612F4"/>
    <w:rsid w:val="00161553"/>
    <w:rsid w:val="0016256B"/>
    <w:rsid w:val="00162F81"/>
    <w:rsid w:val="00163793"/>
    <w:rsid w:val="00167485"/>
    <w:rsid w:val="00167CB9"/>
    <w:rsid w:val="00167DD8"/>
    <w:rsid w:val="001705AD"/>
    <w:rsid w:val="001706D6"/>
    <w:rsid w:val="001714F2"/>
    <w:rsid w:val="00171FEA"/>
    <w:rsid w:val="00175B9F"/>
    <w:rsid w:val="001762F4"/>
    <w:rsid w:val="00181BBC"/>
    <w:rsid w:val="0018385F"/>
    <w:rsid w:val="00184017"/>
    <w:rsid w:val="00184B08"/>
    <w:rsid w:val="00185010"/>
    <w:rsid w:val="00185C22"/>
    <w:rsid w:val="00192F05"/>
    <w:rsid w:val="00194729"/>
    <w:rsid w:val="00195234"/>
    <w:rsid w:val="00196016"/>
    <w:rsid w:val="00197A70"/>
    <w:rsid w:val="00197C0F"/>
    <w:rsid w:val="001A0487"/>
    <w:rsid w:val="001A1F68"/>
    <w:rsid w:val="001A4EF0"/>
    <w:rsid w:val="001A552F"/>
    <w:rsid w:val="001B2CA9"/>
    <w:rsid w:val="001B3110"/>
    <w:rsid w:val="001B3E38"/>
    <w:rsid w:val="001B40F5"/>
    <w:rsid w:val="001B4729"/>
    <w:rsid w:val="001B4F0E"/>
    <w:rsid w:val="001B6310"/>
    <w:rsid w:val="001B6C09"/>
    <w:rsid w:val="001C05CD"/>
    <w:rsid w:val="001C0F17"/>
    <w:rsid w:val="001C1B66"/>
    <w:rsid w:val="001C31A2"/>
    <w:rsid w:val="001C4BB8"/>
    <w:rsid w:val="001C5E46"/>
    <w:rsid w:val="001C6B3B"/>
    <w:rsid w:val="001D0EF1"/>
    <w:rsid w:val="001D22C2"/>
    <w:rsid w:val="001D2C99"/>
    <w:rsid w:val="001D54C1"/>
    <w:rsid w:val="001D556E"/>
    <w:rsid w:val="001D5DF2"/>
    <w:rsid w:val="001D68B2"/>
    <w:rsid w:val="001D7EFD"/>
    <w:rsid w:val="001D7F60"/>
    <w:rsid w:val="001E504C"/>
    <w:rsid w:val="001E5A17"/>
    <w:rsid w:val="001E74C5"/>
    <w:rsid w:val="001F1236"/>
    <w:rsid w:val="001F2F90"/>
    <w:rsid w:val="001F4597"/>
    <w:rsid w:val="001F4826"/>
    <w:rsid w:val="001F7CE0"/>
    <w:rsid w:val="00200085"/>
    <w:rsid w:val="00203332"/>
    <w:rsid w:val="00203CD5"/>
    <w:rsid w:val="00203D8F"/>
    <w:rsid w:val="00203DA4"/>
    <w:rsid w:val="00205186"/>
    <w:rsid w:val="00206516"/>
    <w:rsid w:val="002071D5"/>
    <w:rsid w:val="002111E5"/>
    <w:rsid w:val="002118B9"/>
    <w:rsid w:val="002142C0"/>
    <w:rsid w:val="00217C5B"/>
    <w:rsid w:val="00220A43"/>
    <w:rsid w:val="0022139E"/>
    <w:rsid w:val="00222729"/>
    <w:rsid w:val="002233D6"/>
    <w:rsid w:val="0022441D"/>
    <w:rsid w:val="00224574"/>
    <w:rsid w:val="00224E3F"/>
    <w:rsid w:val="002252E0"/>
    <w:rsid w:val="002255F6"/>
    <w:rsid w:val="00227605"/>
    <w:rsid w:val="00227850"/>
    <w:rsid w:val="00227A53"/>
    <w:rsid w:val="00227E2E"/>
    <w:rsid w:val="00227F53"/>
    <w:rsid w:val="00230C6E"/>
    <w:rsid w:val="00230E21"/>
    <w:rsid w:val="002316A8"/>
    <w:rsid w:val="0023288F"/>
    <w:rsid w:val="00233603"/>
    <w:rsid w:val="002340EF"/>
    <w:rsid w:val="00234B82"/>
    <w:rsid w:val="00236443"/>
    <w:rsid w:val="00236700"/>
    <w:rsid w:val="00240AF3"/>
    <w:rsid w:val="002418D5"/>
    <w:rsid w:val="00241B06"/>
    <w:rsid w:val="002436BA"/>
    <w:rsid w:val="00244A15"/>
    <w:rsid w:val="002452D9"/>
    <w:rsid w:val="00247319"/>
    <w:rsid w:val="0024799E"/>
    <w:rsid w:val="00247E60"/>
    <w:rsid w:val="00251C53"/>
    <w:rsid w:val="00252AB9"/>
    <w:rsid w:val="00253C0F"/>
    <w:rsid w:val="002558C1"/>
    <w:rsid w:val="00256207"/>
    <w:rsid w:val="002575F3"/>
    <w:rsid w:val="002603E1"/>
    <w:rsid w:val="0026120E"/>
    <w:rsid w:val="00262582"/>
    <w:rsid w:val="0026291D"/>
    <w:rsid w:val="00264309"/>
    <w:rsid w:val="0026564B"/>
    <w:rsid w:val="00265E85"/>
    <w:rsid w:val="00267B49"/>
    <w:rsid w:val="0027025F"/>
    <w:rsid w:val="002709CC"/>
    <w:rsid w:val="00271022"/>
    <w:rsid w:val="00271465"/>
    <w:rsid w:val="002721F5"/>
    <w:rsid w:val="00272DF4"/>
    <w:rsid w:val="0027583D"/>
    <w:rsid w:val="00275DEF"/>
    <w:rsid w:val="002763A2"/>
    <w:rsid w:val="00276B33"/>
    <w:rsid w:val="002812E3"/>
    <w:rsid w:val="002837AE"/>
    <w:rsid w:val="00283C13"/>
    <w:rsid w:val="002853FA"/>
    <w:rsid w:val="00285412"/>
    <w:rsid w:val="00286220"/>
    <w:rsid w:val="00291640"/>
    <w:rsid w:val="0029237E"/>
    <w:rsid w:val="00292997"/>
    <w:rsid w:val="00293D24"/>
    <w:rsid w:val="0029509B"/>
    <w:rsid w:val="0029588F"/>
    <w:rsid w:val="00297256"/>
    <w:rsid w:val="00297A5C"/>
    <w:rsid w:val="00297D51"/>
    <w:rsid w:val="002A0122"/>
    <w:rsid w:val="002A016B"/>
    <w:rsid w:val="002A16D4"/>
    <w:rsid w:val="002A1E4F"/>
    <w:rsid w:val="002A230C"/>
    <w:rsid w:val="002A2AF7"/>
    <w:rsid w:val="002A3EA2"/>
    <w:rsid w:val="002A532A"/>
    <w:rsid w:val="002A5846"/>
    <w:rsid w:val="002A5D97"/>
    <w:rsid w:val="002A603E"/>
    <w:rsid w:val="002A63B9"/>
    <w:rsid w:val="002B3EF4"/>
    <w:rsid w:val="002B4845"/>
    <w:rsid w:val="002B72AA"/>
    <w:rsid w:val="002C1F09"/>
    <w:rsid w:val="002C22A4"/>
    <w:rsid w:val="002C260B"/>
    <w:rsid w:val="002C27A6"/>
    <w:rsid w:val="002C398D"/>
    <w:rsid w:val="002C40D2"/>
    <w:rsid w:val="002C43BD"/>
    <w:rsid w:val="002C5245"/>
    <w:rsid w:val="002D05CB"/>
    <w:rsid w:val="002D0E59"/>
    <w:rsid w:val="002D455C"/>
    <w:rsid w:val="002E02A1"/>
    <w:rsid w:val="002E196A"/>
    <w:rsid w:val="002E20C7"/>
    <w:rsid w:val="002E20CD"/>
    <w:rsid w:val="002E222E"/>
    <w:rsid w:val="002E28D8"/>
    <w:rsid w:val="002E37D1"/>
    <w:rsid w:val="002E3BEE"/>
    <w:rsid w:val="002E4E4C"/>
    <w:rsid w:val="002E4EA7"/>
    <w:rsid w:val="002E5846"/>
    <w:rsid w:val="002E792B"/>
    <w:rsid w:val="002F1DCB"/>
    <w:rsid w:val="002F1DE4"/>
    <w:rsid w:val="002F333D"/>
    <w:rsid w:val="002F351A"/>
    <w:rsid w:val="002F46D6"/>
    <w:rsid w:val="002F498A"/>
    <w:rsid w:val="002F4AD8"/>
    <w:rsid w:val="002F5820"/>
    <w:rsid w:val="00300C31"/>
    <w:rsid w:val="00304771"/>
    <w:rsid w:val="003052D4"/>
    <w:rsid w:val="00306C5B"/>
    <w:rsid w:val="00307DB3"/>
    <w:rsid w:val="00307ED2"/>
    <w:rsid w:val="0031076D"/>
    <w:rsid w:val="00311AA6"/>
    <w:rsid w:val="00311C4D"/>
    <w:rsid w:val="003121AB"/>
    <w:rsid w:val="003153C8"/>
    <w:rsid w:val="00315524"/>
    <w:rsid w:val="0032058C"/>
    <w:rsid w:val="003208D0"/>
    <w:rsid w:val="003209D6"/>
    <w:rsid w:val="003217B9"/>
    <w:rsid w:val="00321924"/>
    <w:rsid w:val="00321EB6"/>
    <w:rsid w:val="003220A5"/>
    <w:rsid w:val="00323A1C"/>
    <w:rsid w:val="00324B59"/>
    <w:rsid w:val="0032656E"/>
    <w:rsid w:val="00332190"/>
    <w:rsid w:val="00333CD0"/>
    <w:rsid w:val="0033448D"/>
    <w:rsid w:val="00334AD2"/>
    <w:rsid w:val="0033709C"/>
    <w:rsid w:val="003370C5"/>
    <w:rsid w:val="00341D26"/>
    <w:rsid w:val="00341F05"/>
    <w:rsid w:val="0034335E"/>
    <w:rsid w:val="00344668"/>
    <w:rsid w:val="003462D9"/>
    <w:rsid w:val="00347247"/>
    <w:rsid w:val="00347DD4"/>
    <w:rsid w:val="00352B43"/>
    <w:rsid w:val="00352C28"/>
    <w:rsid w:val="0036077F"/>
    <w:rsid w:val="00360C86"/>
    <w:rsid w:val="00360F7A"/>
    <w:rsid w:val="00360FBC"/>
    <w:rsid w:val="00361537"/>
    <w:rsid w:val="0036242A"/>
    <w:rsid w:val="00362C23"/>
    <w:rsid w:val="00362E90"/>
    <w:rsid w:val="00364FA0"/>
    <w:rsid w:val="003657F3"/>
    <w:rsid w:val="00367F84"/>
    <w:rsid w:val="003712BC"/>
    <w:rsid w:val="00372164"/>
    <w:rsid w:val="003738BD"/>
    <w:rsid w:val="00374263"/>
    <w:rsid w:val="003746F0"/>
    <w:rsid w:val="00374A20"/>
    <w:rsid w:val="00374E21"/>
    <w:rsid w:val="003810F0"/>
    <w:rsid w:val="003818DC"/>
    <w:rsid w:val="00382513"/>
    <w:rsid w:val="00383388"/>
    <w:rsid w:val="003834F8"/>
    <w:rsid w:val="003838D0"/>
    <w:rsid w:val="003840C2"/>
    <w:rsid w:val="00384327"/>
    <w:rsid w:val="00384A89"/>
    <w:rsid w:val="00385086"/>
    <w:rsid w:val="00385D98"/>
    <w:rsid w:val="00390306"/>
    <w:rsid w:val="003908A6"/>
    <w:rsid w:val="003927F6"/>
    <w:rsid w:val="00396739"/>
    <w:rsid w:val="003A04F6"/>
    <w:rsid w:val="003A2B4D"/>
    <w:rsid w:val="003A2D12"/>
    <w:rsid w:val="003A45E3"/>
    <w:rsid w:val="003A478C"/>
    <w:rsid w:val="003A5525"/>
    <w:rsid w:val="003A5889"/>
    <w:rsid w:val="003A6B38"/>
    <w:rsid w:val="003A6B83"/>
    <w:rsid w:val="003A722F"/>
    <w:rsid w:val="003B039F"/>
    <w:rsid w:val="003B0DF4"/>
    <w:rsid w:val="003B1F9D"/>
    <w:rsid w:val="003B2AD1"/>
    <w:rsid w:val="003B2D2E"/>
    <w:rsid w:val="003B461F"/>
    <w:rsid w:val="003B483F"/>
    <w:rsid w:val="003B4998"/>
    <w:rsid w:val="003B5A32"/>
    <w:rsid w:val="003C0B07"/>
    <w:rsid w:val="003C2CE7"/>
    <w:rsid w:val="003C3490"/>
    <w:rsid w:val="003C3608"/>
    <w:rsid w:val="003C3D2C"/>
    <w:rsid w:val="003C6221"/>
    <w:rsid w:val="003C68CC"/>
    <w:rsid w:val="003C7E62"/>
    <w:rsid w:val="003D12B9"/>
    <w:rsid w:val="003D242B"/>
    <w:rsid w:val="003D2492"/>
    <w:rsid w:val="003D29AA"/>
    <w:rsid w:val="003D2A99"/>
    <w:rsid w:val="003D6920"/>
    <w:rsid w:val="003E1EF8"/>
    <w:rsid w:val="003E4C91"/>
    <w:rsid w:val="003E52D8"/>
    <w:rsid w:val="003F313C"/>
    <w:rsid w:val="003F37FC"/>
    <w:rsid w:val="003F4318"/>
    <w:rsid w:val="003F4B2C"/>
    <w:rsid w:val="003F551C"/>
    <w:rsid w:val="003F626D"/>
    <w:rsid w:val="003F72ED"/>
    <w:rsid w:val="003F7D23"/>
    <w:rsid w:val="00400050"/>
    <w:rsid w:val="004002C8"/>
    <w:rsid w:val="00400468"/>
    <w:rsid w:val="0040099D"/>
    <w:rsid w:val="00401B23"/>
    <w:rsid w:val="00402ADB"/>
    <w:rsid w:val="0040368D"/>
    <w:rsid w:val="00405318"/>
    <w:rsid w:val="004059D2"/>
    <w:rsid w:val="00406C2E"/>
    <w:rsid w:val="00406EB0"/>
    <w:rsid w:val="00407711"/>
    <w:rsid w:val="00407C13"/>
    <w:rsid w:val="004103F6"/>
    <w:rsid w:val="00410638"/>
    <w:rsid w:val="00412511"/>
    <w:rsid w:val="004125C2"/>
    <w:rsid w:val="00412DFA"/>
    <w:rsid w:val="00413465"/>
    <w:rsid w:val="0041501E"/>
    <w:rsid w:val="00415452"/>
    <w:rsid w:val="004159C3"/>
    <w:rsid w:val="00415A57"/>
    <w:rsid w:val="00416DAC"/>
    <w:rsid w:val="00420880"/>
    <w:rsid w:val="00421179"/>
    <w:rsid w:val="00431BFF"/>
    <w:rsid w:val="00432A58"/>
    <w:rsid w:val="004331C3"/>
    <w:rsid w:val="00434617"/>
    <w:rsid w:val="00435051"/>
    <w:rsid w:val="00435C69"/>
    <w:rsid w:val="004360FB"/>
    <w:rsid w:val="00437CED"/>
    <w:rsid w:val="00440900"/>
    <w:rsid w:val="0044121D"/>
    <w:rsid w:val="00441BF6"/>
    <w:rsid w:val="004441A0"/>
    <w:rsid w:val="00445861"/>
    <w:rsid w:val="00445A8E"/>
    <w:rsid w:val="00446D44"/>
    <w:rsid w:val="0045078A"/>
    <w:rsid w:val="0045086D"/>
    <w:rsid w:val="00451EF1"/>
    <w:rsid w:val="00452E60"/>
    <w:rsid w:val="0045321B"/>
    <w:rsid w:val="00456FE5"/>
    <w:rsid w:val="00457490"/>
    <w:rsid w:val="00457953"/>
    <w:rsid w:val="00460656"/>
    <w:rsid w:val="00460FB3"/>
    <w:rsid w:val="00464851"/>
    <w:rsid w:val="00467B14"/>
    <w:rsid w:val="004707FE"/>
    <w:rsid w:val="0047276D"/>
    <w:rsid w:val="00472AF6"/>
    <w:rsid w:val="00473482"/>
    <w:rsid w:val="00474A04"/>
    <w:rsid w:val="00476240"/>
    <w:rsid w:val="00476439"/>
    <w:rsid w:val="004769E1"/>
    <w:rsid w:val="0047735C"/>
    <w:rsid w:val="004776BC"/>
    <w:rsid w:val="00477820"/>
    <w:rsid w:val="00477B96"/>
    <w:rsid w:val="00480BAE"/>
    <w:rsid w:val="0048139F"/>
    <w:rsid w:val="00481E40"/>
    <w:rsid w:val="00482405"/>
    <w:rsid w:val="004826A7"/>
    <w:rsid w:val="0048368C"/>
    <w:rsid w:val="00484ECE"/>
    <w:rsid w:val="00486132"/>
    <w:rsid w:val="0048686D"/>
    <w:rsid w:val="00486A4D"/>
    <w:rsid w:val="004915CB"/>
    <w:rsid w:val="004924DC"/>
    <w:rsid w:val="00492879"/>
    <w:rsid w:val="004979A5"/>
    <w:rsid w:val="004A036E"/>
    <w:rsid w:val="004A14E4"/>
    <w:rsid w:val="004A204E"/>
    <w:rsid w:val="004A26A5"/>
    <w:rsid w:val="004A27F0"/>
    <w:rsid w:val="004A3212"/>
    <w:rsid w:val="004A37CD"/>
    <w:rsid w:val="004A40D9"/>
    <w:rsid w:val="004A4F8A"/>
    <w:rsid w:val="004A5494"/>
    <w:rsid w:val="004A61C5"/>
    <w:rsid w:val="004A62A0"/>
    <w:rsid w:val="004A77DF"/>
    <w:rsid w:val="004B1417"/>
    <w:rsid w:val="004B305C"/>
    <w:rsid w:val="004B339A"/>
    <w:rsid w:val="004B55B7"/>
    <w:rsid w:val="004B6468"/>
    <w:rsid w:val="004B6EF8"/>
    <w:rsid w:val="004B7125"/>
    <w:rsid w:val="004B756A"/>
    <w:rsid w:val="004B7FB1"/>
    <w:rsid w:val="004C0B3F"/>
    <w:rsid w:val="004C2C2D"/>
    <w:rsid w:val="004C384C"/>
    <w:rsid w:val="004C3867"/>
    <w:rsid w:val="004C3DB0"/>
    <w:rsid w:val="004C439A"/>
    <w:rsid w:val="004C4720"/>
    <w:rsid w:val="004C4CD0"/>
    <w:rsid w:val="004C5060"/>
    <w:rsid w:val="004C5165"/>
    <w:rsid w:val="004C589C"/>
    <w:rsid w:val="004C5AE8"/>
    <w:rsid w:val="004C6E0E"/>
    <w:rsid w:val="004C70DC"/>
    <w:rsid w:val="004D0211"/>
    <w:rsid w:val="004D0794"/>
    <w:rsid w:val="004D3296"/>
    <w:rsid w:val="004D5B0F"/>
    <w:rsid w:val="004D7626"/>
    <w:rsid w:val="004E1A40"/>
    <w:rsid w:val="004E200A"/>
    <w:rsid w:val="004E23FC"/>
    <w:rsid w:val="004E2409"/>
    <w:rsid w:val="004E261D"/>
    <w:rsid w:val="004E5F41"/>
    <w:rsid w:val="004E6DE6"/>
    <w:rsid w:val="004E765E"/>
    <w:rsid w:val="004E7815"/>
    <w:rsid w:val="004F06F5"/>
    <w:rsid w:val="004F12A4"/>
    <w:rsid w:val="004F253F"/>
    <w:rsid w:val="004F33A0"/>
    <w:rsid w:val="004F3BD2"/>
    <w:rsid w:val="004F46ED"/>
    <w:rsid w:val="00503D54"/>
    <w:rsid w:val="005048E2"/>
    <w:rsid w:val="00506603"/>
    <w:rsid w:val="0050689D"/>
    <w:rsid w:val="005077F5"/>
    <w:rsid w:val="005108C0"/>
    <w:rsid w:val="0051094F"/>
    <w:rsid w:val="00511873"/>
    <w:rsid w:val="00512461"/>
    <w:rsid w:val="00512A2F"/>
    <w:rsid w:val="00513B7E"/>
    <w:rsid w:val="0051475D"/>
    <w:rsid w:val="00514B11"/>
    <w:rsid w:val="00515BE9"/>
    <w:rsid w:val="00515C74"/>
    <w:rsid w:val="00517113"/>
    <w:rsid w:val="0052007E"/>
    <w:rsid w:val="00521CAD"/>
    <w:rsid w:val="0052200D"/>
    <w:rsid w:val="00522E01"/>
    <w:rsid w:val="0052337A"/>
    <w:rsid w:val="00524385"/>
    <w:rsid w:val="005246BE"/>
    <w:rsid w:val="00525137"/>
    <w:rsid w:val="005251DD"/>
    <w:rsid w:val="0053012B"/>
    <w:rsid w:val="005301A6"/>
    <w:rsid w:val="00530A68"/>
    <w:rsid w:val="00530AD4"/>
    <w:rsid w:val="00531C5A"/>
    <w:rsid w:val="00532CE7"/>
    <w:rsid w:val="00532D8B"/>
    <w:rsid w:val="0053324C"/>
    <w:rsid w:val="00534A28"/>
    <w:rsid w:val="00535018"/>
    <w:rsid w:val="0053595E"/>
    <w:rsid w:val="00537571"/>
    <w:rsid w:val="00540056"/>
    <w:rsid w:val="005410E2"/>
    <w:rsid w:val="00541508"/>
    <w:rsid w:val="00541AE3"/>
    <w:rsid w:val="00543498"/>
    <w:rsid w:val="00544011"/>
    <w:rsid w:val="00544BE5"/>
    <w:rsid w:val="005500F9"/>
    <w:rsid w:val="00550160"/>
    <w:rsid w:val="005523A8"/>
    <w:rsid w:val="00552F2C"/>
    <w:rsid w:val="00553A25"/>
    <w:rsid w:val="005547EB"/>
    <w:rsid w:val="005555E0"/>
    <w:rsid w:val="0055599F"/>
    <w:rsid w:val="00556D68"/>
    <w:rsid w:val="005570D6"/>
    <w:rsid w:val="00557E45"/>
    <w:rsid w:val="00561F44"/>
    <w:rsid w:val="00562B4D"/>
    <w:rsid w:val="00563EB8"/>
    <w:rsid w:val="005647BF"/>
    <w:rsid w:val="00564AF1"/>
    <w:rsid w:val="005655DB"/>
    <w:rsid w:val="00570270"/>
    <w:rsid w:val="00570BC3"/>
    <w:rsid w:val="0057182A"/>
    <w:rsid w:val="00571E59"/>
    <w:rsid w:val="00572079"/>
    <w:rsid w:val="00572900"/>
    <w:rsid w:val="00573602"/>
    <w:rsid w:val="0057364B"/>
    <w:rsid w:val="00574773"/>
    <w:rsid w:val="005761EC"/>
    <w:rsid w:val="00577C07"/>
    <w:rsid w:val="00577DB1"/>
    <w:rsid w:val="00580AD3"/>
    <w:rsid w:val="00580DE7"/>
    <w:rsid w:val="00583E52"/>
    <w:rsid w:val="00583FFD"/>
    <w:rsid w:val="0058519A"/>
    <w:rsid w:val="005856BD"/>
    <w:rsid w:val="00586BCA"/>
    <w:rsid w:val="00590B28"/>
    <w:rsid w:val="005911BE"/>
    <w:rsid w:val="00591273"/>
    <w:rsid w:val="00591E9E"/>
    <w:rsid w:val="005927A4"/>
    <w:rsid w:val="00593152"/>
    <w:rsid w:val="005956A3"/>
    <w:rsid w:val="00595958"/>
    <w:rsid w:val="00595CAB"/>
    <w:rsid w:val="00597BBF"/>
    <w:rsid w:val="005A0948"/>
    <w:rsid w:val="005A10F2"/>
    <w:rsid w:val="005A21E0"/>
    <w:rsid w:val="005A28FF"/>
    <w:rsid w:val="005A2C09"/>
    <w:rsid w:val="005A3778"/>
    <w:rsid w:val="005A3DF8"/>
    <w:rsid w:val="005A5549"/>
    <w:rsid w:val="005A7CF8"/>
    <w:rsid w:val="005B121D"/>
    <w:rsid w:val="005B41C9"/>
    <w:rsid w:val="005B4853"/>
    <w:rsid w:val="005B6CA1"/>
    <w:rsid w:val="005B770C"/>
    <w:rsid w:val="005C06ED"/>
    <w:rsid w:val="005C11B8"/>
    <w:rsid w:val="005C2609"/>
    <w:rsid w:val="005C412B"/>
    <w:rsid w:val="005C43EC"/>
    <w:rsid w:val="005C45DD"/>
    <w:rsid w:val="005D3F06"/>
    <w:rsid w:val="005D4B73"/>
    <w:rsid w:val="005D5802"/>
    <w:rsid w:val="005D5AA9"/>
    <w:rsid w:val="005D66E6"/>
    <w:rsid w:val="005D7119"/>
    <w:rsid w:val="005D76C8"/>
    <w:rsid w:val="005D7890"/>
    <w:rsid w:val="005E19C1"/>
    <w:rsid w:val="005E2194"/>
    <w:rsid w:val="005E24F0"/>
    <w:rsid w:val="005E36FE"/>
    <w:rsid w:val="005E490F"/>
    <w:rsid w:val="005E4BC9"/>
    <w:rsid w:val="005E5314"/>
    <w:rsid w:val="005E7C78"/>
    <w:rsid w:val="005F04A7"/>
    <w:rsid w:val="005F114F"/>
    <w:rsid w:val="005F18C5"/>
    <w:rsid w:val="005F2A08"/>
    <w:rsid w:val="005F36CC"/>
    <w:rsid w:val="005F3EB1"/>
    <w:rsid w:val="005F466B"/>
    <w:rsid w:val="005F46D8"/>
    <w:rsid w:val="005F480F"/>
    <w:rsid w:val="005F5469"/>
    <w:rsid w:val="005F63F3"/>
    <w:rsid w:val="005F6D7F"/>
    <w:rsid w:val="005F7174"/>
    <w:rsid w:val="00601EEF"/>
    <w:rsid w:val="00604307"/>
    <w:rsid w:val="0060487F"/>
    <w:rsid w:val="00604EAD"/>
    <w:rsid w:val="0060513F"/>
    <w:rsid w:val="006104FB"/>
    <w:rsid w:val="00612A2F"/>
    <w:rsid w:val="00612AAE"/>
    <w:rsid w:val="00612FD9"/>
    <w:rsid w:val="006139E0"/>
    <w:rsid w:val="00614D35"/>
    <w:rsid w:val="006156B4"/>
    <w:rsid w:val="00615DAF"/>
    <w:rsid w:val="00616E05"/>
    <w:rsid w:val="00617985"/>
    <w:rsid w:val="0062131B"/>
    <w:rsid w:val="0062263A"/>
    <w:rsid w:val="006227DF"/>
    <w:rsid w:val="006236C8"/>
    <w:rsid w:val="00624093"/>
    <w:rsid w:val="00626079"/>
    <w:rsid w:val="00631698"/>
    <w:rsid w:val="00631E44"/>
    <w:rsid w:val="00634C57"/>
    <w:rsid w:val="00634CE7"/>
    <w:rsid w:val="006350D5"/>
    <w:rsid w:val="0063642C"/>
    <w:rsid w:val="00637858"/>
    <w:rsid w:val="006404A7"/>
    <w:rsid w:val="00640A38"/>
    <w:rsid w:val="00641787"/>
    <w:rsid w:val="00642489"/>
    <w:rsid w:val="00644055"/>
    <w:rsid w:val="00644137"/>
    <w:rsid w:val="0064478C"/>
    <w:rsid w:val="006451E4"/>
    <w:rsid w:val="00645B33"/>
    <w:rsid w:val="006516CB"/>
    <w:rsid w:val="00653BD0"/>
    <w:rsid w:val="00654110"/>
    <w:rsid w:val="00656C5D"/>
    <w:rsid w:val="00656CFB"/>
    <w:rsid w:val="00657E87"/>
    <w:rsid w:val="00660D2D"/>
    <w:rsid w:val="00662469"/>
    <w:rsid w:val="00664205"/>
    <w:rsid w:val="00664647"/>
    <w:rsid w:val="00664803"/>
    <w:rsid w:val="00665982"/>
    <w:rsid w:val="00665BA4"/>
    <w:rsid w:val="00667856"/>
    <w:rsid w:val="00667AF2"/>
    <w:rsid w:val="00670489"/>
    <w:rsid w:val="006710C9"/>
    <w:rsid w:val="006741CD"/>
    <w:rsid w:val="00674D89"/>
    <w:rsid w:val="00675E37"/>
    <w:rsid w:val="00676736"/>
    <w:rsid w:val="006769A4"/>
    <w:rsid w:val="00676D76"/>
    <w:rsid w:val="00676F9F"/>
    <w:rsid w:val="00677591"/>
    <w:rsid w:val="00677594"/>
    <w:rsid w:val="0068032F"/>
    <w:rsid w:val="00680D37"/>
    <w:rsid w:val="0068174E"/>
    <w:rsid w:val="00681DCE"/>
    <w:rsid w:val="0068260E"/>
    <w:rsid w:val="006846B3"/>
    <w:rsid w:val="00684D59"/>
    <w:rsid w:val="00684E25"/>
    <w:rsid w:val="006858A4"/>
    <w:rsid w:val="00686718"/>
    <w:rsid w:val="00686BFA"/>
    <w:rsid w:val="00686DED"/>
    <w:rsid w:val="006875A0"/>
    <w:rsid w:val="00687D27"/>
    <w:rsid w:val="00691943"/>
    <w:rsid w:val="00693550"/>
    <w:rsid w:val="00695065"/>
    <w:rsid w:val="00695BEF"/>
    <w:rsid w:val="006966C7"/>
    <w:rsid w:val="006968C1"/>
    <w:rsid w:val="006977F6"/>
    <w:rsid w:val="00697A13"/>
    <w:rsid w:val="006A109C"/>
    <w:rsid w:val="006A6565"/>
    <w:rsid w:val="006A7691"/>
    <w:rsid w:val="006A7EE2"/>
    <w:rsid w:val="006B0514"/>
    <w:rsid w:val="006B0F92"/>
    <w:rsid w:val="006B2785"/>
    <w:rsid w:val="006B344A"/>
    <w:rsid w:val="006B58C9"/>
    <w:rsid w:val="006B60ED"/>
    <w:rsid w:val="006B6CC5"/>
    <w:rsid w:val="006B74AC"/>
    <w:rsid w:val="006B78D8"/>
    <w:rsid w:val="006B79EA"/>
    <w:rsid w:val="006C0C5D"/>
    <w:rsid w:val="006C113F"/>
    <w:rsid w:val="006C123E"/>
    <w:rsid w:val="006C15A1"/>
    <w:rsid w:val="006C1752"/>
    <w:rsid w:val="006C28CA"/>
    <w:rsid w:val="006C2BBF"/>
    <w:rsid w:val="006C2FBD"/>
    <w:rsid w:val="006C4355"/>
    <w:rsid w:val="006C469D"/>
    <w:rsid w:val="006C46B5"/>
    <w:rsid w:val="006C484F"/>
    <w:rsid w:val="006C52EC"/>
    <w:rsid w:val="006C56D4"/>
    <w:rsid w:val="006C6681"/>
    <w:rsid w:val="006C683C"/>
    <w:rsid w:val="006C6924"/>
    <w:rsid w:val="006C6C1E"/>
    <w:rsid w:val="006C7076"/>
    <w:rsid w:val="006C7CA6"/>
    <w:rsid w:val="006D18B3"/>
    <w:rsid w:val="006D1E89"/>
    <w:rsid w:val="006D317E"/>
    <w:rsid w:val="006D3E8A"/>
    <w:rsid w:val="006D61F6"/>
    <w:rsid w:val="006E1332"/>
    <w:rsid w:val="006E279A"/>
    <w:rsid w:val="006E313B"/>
    <w:rsid w:val="006E3A45"/>
    <w:rsid w:val="006E53AD"/>
    <w:rsid w:val="006E58CB"/>
    <w:rsid w:val="006E7227"/>
    <w:rsid w:val="006F0741"/>
    <w:rsid w:val="006F1C27"/>
    <w:rsid w:val="006F2A65"/>
    <w:rsid w:val="006F40DF"/>
    <w:rsid w:val="006F42BB"/>
    <w:rsid w:val="006F438E"/>
    <w:rsid w:val="006F440B"/>
    <w:rsid w:val="006F5416"/>
    <w:rsid w:val="006F624B"/>
    <w:rsid w:val="006F6D87"/>
    <w:rsid w:val="0070398A"/>
    <w:rsid w:val="00705242"/>
    <w:rsid w:val="007055E0"/>
    <w:rsid w:val="007065C5"/>
    <w:rsid w:val="00706AA0"/>
    <w:rsid w:val="00706AD4"/>
    <w:rsid w:val="00707150"/>
    <w:rsid w:val="007124D7"/>
    <w:rsid w:val="00712C20"/>
    <w:rsid w:val="00713549"/>
    <w:rsid w:val="007140BE"/>
    <w:rsid w:val="00715502"/>
    <w:rsid w:val="00715E4D"/>
    <w:rsid w:val="00716F48"/>
    <w:rsid w:val="00717114"/>
    <w:rsid w:val="0071779F"/>
    <w:rsid w:val="007211F5"/>
    <w:rsid w:val="00722777"/>
    <w:rsid w:val="00723435"/>
    <w:rsid w:val="00723436"/>
    <w:rsid w:val="007240E2"/>
    <w:rsid w:val="0072583E"/>
    <w:rsid w:val="00725BB5"/>
    <w:rsid w:val="00727C02"/>
    <w:rsid w:val="00730AE8"/>
    <w:rsid w:val="00730F1B"/>
    <w:rsid w:val="0073186D"/>
    <w:rsid w:val="0073333D"/>
    <w:rsid w:val="007343D9"/>
    <w:rsid w:val="00735448"/>
    <w:rsid w:val="00737DEC"/>
    <w:rsid w:val="00741493"/>
    <w:rsid w:val="007434E5"/>
    <w:rsid w:val="0074499B"/>
    <w:rsid w:val="007450BF"/>
    <w:rsid w:val="007477BD"/>
    <w:rsid w:val="00752180"/>
    <w:rsid w:val="00752323"/>
    <w:rsid w:val="007532B7"/>
    <w:rsid w:val="00753CAB"/>
    <w:rsid w:val="00754A70"/>
    <w:rsid w:val="00754BC9"/>
    <w:rsid w:val="00755202"/>
    <w:rsid w:val="00755D3A"/>
    <w:rsid w:val="0075751D"/>
    <w:rsid w:val="007578D3"/>
    <w:rsid w:val="007602CF"/>
    <w:rsid w:val="00760391"/>
    <w:rsid w:val="007609C6"/>
    <w:rsid w:val="007615F3"/>
    <w:rsid w:val="0076175D"/>
    <w:rsid w:val="00761CB5"/>
    <w:rsid w:val="007629D5"/>
    <w:rsid w:val="007635F8"/>
    <w:rsid w:val="00763B85"/>
    <w:rsid w:val="00764974"/>
    <w:rsid w:val="00764D18"/>
    <w:rsid w:val="0076521E"/>
    <w:rsid w:val="007661E9"/>
    <w:rsid w:val="00766460"/>
    <w:rsid w:val="00767062"/>
    <w:rsid w:val="00767777"/>
    <w:rsid w:val="00771972"/>
    <w:rsid w:val="00772DAB"/>
    <w:rsid w:val="00774D2C"/>
    <w:rsid w:val="0077605B"/>
    <w:rsid w:val="00776169"/>
    <w:rsid w:val="00776527"/>
    <w:rsid w:val="00777040"/>
    <w:rsid w:val="00777CE6"/>
    <w:rsid w:val="00780EF1"/>
    <w:rsid w:val="00781A91"/>
    <w:rsid w:val="00785778"/>
    <w:rsid w:val="00786C87"/>
    <w:rsid w:val="0078755E"/>
    <w:rsid w:val="007877C9"/>
    <w:rsid w:val="00790764"/>
    <w:rsid w:val="0079085F"/>
    <w:rsid w:val="00790E96"/>
    <w:rsid w:val="00791005"/>
    <w:rsid w:val="00793D78"/>
    <w:rsid w:val="0079453C"/>
    <w:rsid w:val="00794677"/>
    <w:rsid w:val="007A170B"/>
    <w:rsid w:val="007A2A3A"/>
    <w:rsid w:val="007A33E2"/>
    <w:rsid w:val="007A3CAF"/>
    <w:rsid w:val="007A4782"/>
    <w:rsid w:val="007A516D"/>
    <w:rsid w:val="007A5E65"/>
    <w:rsid w:val="007A65E1"/>
    <w:rsid w:val="007A775D"/>
    <w:rsid w:val="007B0834"/>
    <w:rsid w:val="007B0E83"/>
    <w:rsid w:val="007B11FA"/>
    <w:rsid w:val="007B1396"/>
    <w:rsid w:val="007B16D6"/>
    <w:rsid w:val="007B2011"/>
    <w:rsid w:val="007B2CFE"/>
    <w:rsid w:val="007B309B"/>
    <w:rsid w:val="007B3D5E"/>
    <w:rsid w:val="007B3DCB"/>
    <w:rsid w:val="007B5725"/>
    <w:rsid w:val="007B6689"/>
    <w:rsid w:val="007B6747"/>
    <w:rsid w:val="007B6F72"/>
    <w:rsid w:val="007C1F0C"/>
    <w:rsid w:val="007C1FFB"/>
    <w:rsid w:val="007C2D94"/>
    <w:rsid w:val="007C5F92"/>
    <w:rsid w:val="007C6227"/>
    <w:rsid w:val="007C6BBD"/>
    <w:rsid w:val="007C6D89"/>
    <w:rsid w:val="007D0382"/>
    <w:rsid w:val="007D1A1F"/>
    <w:rsid w:val="007D2E18"/>
    <w:rsid w:val="007D40DF"/>
    <w:rsid w:val="007D42E5"/>
    <w:rsid w:val="007D4458"/>
    <w:rsid w:val="007E0535"/>
    <w:rsid w:val="007E0D4A"/>
    <w:rsid w:val="007E1788"/>
    <w:rsid w:val="007E1EE3"/>
    <w:rsid w:val="007E29B4"/>
    <w:rsid w:val="007E2F12"/>
    <w:rsid w:val="007E435A"/>
    <w:rsid w:val="007E49F7"/>
    <w:rsid w:val="007E4C70"/>
    <w:rsid w:val="007E78B6"/>
    <w:rsid w:val="007E7E61"/>
    <w:rsid w:val="007F0845"/>
    <w:rsid w:val="007F20F3"/>
    <w:rsid w:val="007F2353"/>
    <w:rsid w:val="007F2390"/>
    <w:rsid w:val="007F2CAC"/>
    <w:rsid w:val="007F4740"/>
    <w:rsid w:val="007F595A"/>
    <w:rsid w:val="007F708D"/>
    <w:rsid w:val="008006B3"/>
    <w:rsid w:val="0080158A"/>
    <w:rsid w:val="00801E13"/>
    <w:rsid w:val="00803008"/>
    <w:rsid w:val="00803069"/>
    <w:rsid w:val="0080734C"/>
    <w:rsid w:val="00807C82"/>
    <w:rsid w:val="008117CC"/>
    <w:rsid w:val="00813D58"/>
    <w:rsid w:val="00813DCA"/>
    <w:rsid w:val="008161A6"/>
    <w:rsid w:val="008165B8"/>
    <w:rsid w:val="00816905"/>
    <w:rsid w:val="00816D98"/>
    <w:rsid w:val="00817A17"/>
    <w:rsid w:val="00817EC1"/>
    <w:rsid w:val="0082112D"/>
    <w:rsid w:val="00821FF6"/>
    <w:rsid w:val="00822574"/>
    <w:rsid w:val="00822F08"/>
    <w:rsid w:val="00825C4D"/>
    <w:rsid w:val="00826A08"/>
    <w:rsid w:val="00826AC0"/>
    <w:rsid w:val="00827186"/>
    <w:rsid w:val="00827C8E"/>
    <w:rsid w:val="00830569"/>
    <w:rsid w:val="00830AEA"/>
    <w:rsid w:val="00830E86"/>
    <w:rsid w:val="0083143E"/>
    <w:rsid w:val="008315D5"/>
    <w:rsid w:val="00831CDE"/>
    <w:rsid w:val="00834304"/>
    <w:rsid w:val="00834FAA"/>
    <w:rsid w:val="008354FB"/>
    <w:rsid w:val="00836086"/>
    <w:rsid w:val="0083630F"/>
    <w:rsid w:val="00836A06"/>
    <w:rsid w:val="008374BC"/>
    <w:rsid w:val="00837E48"/>
    <w:rsid w:val="00840293"/>
    <w:rsid w:val="008408D4"/>
    <w:rsid w:val="008417B5"/>
    <w:rsid w:val="00841901"/>
    <w:rsid w:val="008458BD"/>
    <w:rsid w:val="00846121"/>
    <w:rsid w:val="008466C6"/>
    <w:rsid w:val="0084708F"/>
    <w:rsid w:val="008477C8"/>
    <w:rsid w:val="008478A6"/>
    <w:rsid w:val="008502F6"/>
    <w:rsid w:val="0085114D"/>
    <w:rsid w:val="008520A8"/>
    <w:rsid w:val="00852217"/>
    <w:rsid w:val="00853282"/>
    <w:rsid w:val="00855408"/>
    <w:rsid w:val="00856D65"/>
    <w:rsid w:val="00861B41"/>
    <w:rsid w:val="00861B9F"/>
    <w:rsid w:val="00861BE3"/>
    <w:rsid w:val="008625D3"/>
    <w:rsid w:val="00863434"/>
    <w:rsid w:val="0086344F"/>
    <w:rsid w:val="008641AC"/>
    <w:rsid w:val="00865E4C"/>
    <w:rsid w:val="0086796D"/>
    <w:rsid w:val="00867DAB"/>
    <w:rsid w:val="0087000B"/>
    <w:rsid w:val="008701E4"/>
    <w:rsid w:val="008704E9"/>
    <w:rsid w:val="00870ECD"/>
    <w:rsid w:val="008734E7"/>
    <w:rsid w:val="0087368D"/>
    <w:rsid w:val="00874FE8"/>
    <w:rsid w:val="00875A32"/>
    <w:rsid w:val="00876086"/>
    <w:rsid w:val="00876E83"/>
    <w:rsid w:val="008772BC"/>
    <w:rsid w:val="00881CD7"/>
    <w:rsid w:val="00882911"/>
    <w:rsid w:val="00885D40"/>
    <w:rsid w:val="008873D4"/>
    <w:rsid w:val="00891EDF"/>
    <w:rsid w:val="00892872"/>
    <w:rsid w:val="0089296D"/>
    <w:rsid w:val="00893E85"/>
    <w:rsid w:val="00893EBE"/>
    <w:rsid w:val="00894031"/>
    <w:rsid w:val="00894C5D"/>
    <w:rsid w:val="00895508"/>
    <w:rsid w:val="008967E9"/>
    <w:rsid w:val="00896A5C"/>
    <w:rsid w:val="008972D2"/>
    <w:rsid w:val="0089754C"/>
    <w:rsid w:val="008A0ADD"/>
    <w:rsid w:val="008A0D27"/>
    <w:rsid w:val="008A37E2"/>
    <w:rsid w:val="008A388E"/>
    <w:rsid w:val="008A3CBA"/>
    <w:rsid w:val="008A4B59"/>
    <w:rsid w:val="008A63E1"/>
    <w:rsid w:val="008A66B7"/>
    <w:rsid w:val="008A7127"/>
    <w:rsid w:val="008B3A80"/>
    <w:rsid w:val="008B3C07"/>
    <w:rsid w:val="008B3F7B"/>
    <w:rsid w:val="008B6106"/>
    <w:rsid w:val="008B7C02"/>
    <w:rsid w:val="008B7D2B"/>
    <w:rsid w:val="008B7EF9"/>
    <w:rsid w:val="008C0049"/>
    <w:rsid w:val="008C0E88"/>
    <w:rsid w:val="008C1717"/>
    <w:rsid w:val="008C4B50"/>
    <w:rsid w:val="008C7569"/>
    <w:rsid w:val="008D0DBD"/>
    <w:rsid w:val="008D127E"/>
    <w:rsid w:val="008D1CA8"/>
    <w:rsid w:val="008D1E6A"/>
    <w:rsid w:val="008D2A16"/>
    <w:rsid w:val="008D33F5"/>
    <w:rsid w:val="008D35E4"/>
    <w:rsid w:val="008D6C3A"/>
    <w:rsid w:val="008E0001"/>
    <w:rsid w:val="008E292B"/>
    <w:rsid w:val="008E2C57"/>
    <w:rsid w:val="008E31FF"/>
    <w:rsid w:val="008E3287"/>
    <w:rsid w:val="008E6DCB"/>
    <w:rsid w:val="008E6F06"/>
    <w:rsid w:val="008E7B8E"/>
    <w:rsid w:val="008E7FC9"/>
    <w:rsid w:val="008F029B"/>
    <w:rsid w:val="008F2A5D"/>
    <w:rsid w:val="008F3636"/>
    <w:rsid w:val="008F3FC9"/>
    <w:rsid w:val="008F5383"/>
    <w:rsid w:val="008F585B"/>
    <w:rsid w:val="009003A8"/>
    <w:rsid w:val="00900977"/>
    <w:rsid w:val="009021DA"/>
    <w:rsid w:val="00902500"/>
    <w:rsid w:val="00902EFF"/>
    <w:rsid w:val="00903A8E"/>
    <w:rsid w:val="0090432C"/>
    <w:rsid w:val="00904F96"/>
    <w:rsid w:val="009052A3"/>
    <w:rsid w:val="009056D7"/>
    <w:rsid w:val="00905B8D"/>
    <w:rsid w:val="00906401"/>
    <w:rsid w:val="009065CB"/>
    <w:rsid w:val="00906B79"/>
    <w:rsid w:val="0090786F"/>
    <w:rsid w:val="009110F7"/>
    <w:rsid w:val="0091155E"/>
    <w:rsid w:val="00912437"/>
    <w:rsid w:val="00912A92"/>
    <w:rsid w:val="00915D07"/>
    <w:rsid w:val="009162AE"/>
    <w:rsid w:val="00917251"/>
    <w:rsid w:val="0091728D"/>
    <w:rsid w:val="009203CC"/>
    <w:rsid w:val="00920EC4"/>
    <w:rsid w:val="0092180B"/>
    <w:rsid w:val="00921F14"/>
    <w:rsid w:val="00923CB0"/>
    <w:rsid w:val="00924871"/>
    <w:rsid w:val="00924AC8"/>
    <w:rsid w:val="00925429"/>
    <w:rsid w:val="0092597A"/>
    <w:rsid w:val="00926520"/>
    <w:rsid w:val="00926CF0"/>
    <w:rsid w:val="009273A9"/>
    <w:rsid w:val="0093033E"/>
    <w:rsid w:val="009305FC"/>
    <w:rsid w:val="00930FB1"/>
    <w:rsid w:val="0093139F"/>
    <w:rsid w:val="00932443"/>
    <w:rsid w:val="00932B32"/>
    <w:rsid w:val="00933F4A"/>
    <w:rsid w:val="009341F1"/>
    <w:rsid w:val="00934FF2"/>
    <w:rsid w:val="00935BD4"/>
    <w:rsid w:val="00935DFE"/>
    <w:rsid w:val="009373B2"/>
    <w:rsid w:val="00937AE2"/>
    <w:rsid w:val="0094061F"/>
    <w:rsid w:val="00940F0F"/>
    <w:rsid w:val="0094416B"/>
    <w:rsid w:val="0094427A"/>
    <w:rsid w:val="00944C7C"/>
    <w:rsid w:val="00945245"/>
    <w:rsid w:val="00945523"/>
    <w:rsid w:val="00950921"/>
    <w:rsid w:val="00951D68"/>
    <w:rsid w:val="00952B7B"/>
    <w:rsid w:val="00954F39"/>
    <w:rsid w:val="0095664B"/>
    <w:rsid w:val="009568DC"/>
    <w:rsid w:val="00957445"/>
    <w:rsid w:val="0095759C"/>
    <w:rsid w:val="009618EE"/>
    <w:rsid w:val="009624D2"/>
    <w:rsid w:val="009628D9"/>
    <w:rsid w:val="009637AE"/>
    <w:rsid w:val="009640F6"/>
    <w:rsid w:val="00964776"/>
    <w:rsid w:val="00964A4E"/>
    <w:rsid w:val="00964B35"/>
    <w:rsid w:val="009651C7"/>
    <w:rsid w:val="00965797"/>
    <w:rsid w:val="00965A10"/>
    <w:rsid w:val="009670A3"/>
    <w:rsid w:val="009674BE"/>
    <w:rsid w:val="00971B87"/>
    <w:rsid w:val="00971C77"/>
    <w:rsid w:val="00972FCD"/>
    <w:rsid w:val="009741AE"/>
    <w:rsid w:val="009741FC"/>
    <w:rsid w:val="00974923"/>
    <w:rsid w:val="00975909"/>
    <w:rsid w:val="00977C3D"/>
    <w:rsid w:val="00980D3D"/>
    <w:rsid w:val="0098103E"/>
    <w:rsid w:val="00983101"/>
    <w:rsid w:val="00983E41"/>
    <w:rsid w:val="00987A30"/>
    <w:rsid w:val="00990312"/>
    <w:rsid w:val="0099182E"/>
    <w:rsid w:val="00992CF3"/>
    <w:rsid w:val="0099321E"/>
    <w:rsid w:val="00994868"/>
    <w:rsid w:val="00994D28"/>
    <w:rsid w:val="00994F2C"/>
    <w:rsid w:val="009957CC"/>
    <w:rsid w:val="009968D6"/>
    <w:rsid w:val="00997953"/>
    <w:rsid w:val="009A10A0"/>
    <w:rsid w:val="009A1CAB"/>
    <w:rsid w:val="009A2359"/>
    <w:rsid w:val="009A24F1"/>
    <w:rsid w:val="009A4D57"/>
    <w:rsid w:val="009A60D1"/>
    <w:rsid w:val="009A64F5"/>
    <w:rsid w:val="009B00D2"/>
    <w:rsid w:val="009B05B3"/>
    <w:rsid w:val="009B284F"/>
    <w:rsid w:val="009B3764"/>
    <w:rsid w:val="009B52AC"/>
    <w:rsid w:val="009B59EA"/>
    <w:rsid w:val="009B66CE"/>
    <w:rsid w:val="009B6FD3"/>
    <w:rsid w:val="009B7DB2"/>
    <w:rsid w:val="009C1750"/>
    <w:rsid w:val="009C2E29"/>
    <w:rsid w:val="009C3E8F"/>
    <w:rsid w:val="009C554B"/>
    <w:rsid w:val="009C7126"/>
    <w:rsid w:val="009C719E"/>
    <w:rsid w:val="009C7799"/>
    <w:rsid w:val="009D07A9"/>
    <w:rsid w:val="009D0AE2"/>
    <w:rsid w:val="009D0EBB"/>
    <w:rsid w:val="009D3ACD"/>
    <w:rsid w:val="009D4F21"/>
    <w:rsid w:val="009D587D"/>
    <w:rsid w:val="009D7731"/>
    <w:rsid w:val="009E1120"/>
    <w:rsid w:val="009E1922"/>
    <w:rsid w:val="009E1A3D"/>
    <w:rsid w:val="009E4715"/>
    <w:rsid w:val="009E5273"/>
    <w:rsid w:val="009E57A8"/>
    <w:rsid w:val="009E5B85"/>
    <w:rsid w:val="009E5DDB"/>
    <w:rsid w:val="009F4982"/>
    <w:rsid w:val="009F4CA7"/>
    <w:rsid w:val="009F7D36"/>
    <w:rsid w:val="00A00E71"/>
    <w:rsid w:val="00A0306F"/>
    <w:rsid w:val="00A03B10"/>
    <w:rsid w:val="00A03E2E"/>
    <w:rsid w:val="00A04616"/>
    <w:rsid w:val="00A04717"/>
    <w:rsid w:val="00A05EE4"/>
    <w:rsid w:val="00A06F99"/>
    <w:rsid w:val="00A10D66"/>
    <w:rsid w:val="00A14114"/>
    <w:rsid w:val="00A16413"/>
    <w:rsid w:val="00A16545"/>
    <w:rsid w:val="00A16AED"/>
    <w:rsid w:val="00A16E1D"/>
    <w:rsid w:val="00A171D5"/>
    <w:rsid w:val="00A17A15"/>
    <w:rsid w:val="00A17D5B"/>
    <w:rsid w:val="00A201E1"/>
    <w:rsid w:val="00A20FE1"/>
    <w:rsid w:val="00A23E43"/>
    <w:rsid w:val="00A24ED9"/>
    <w:rsid w:val="00A25216"/>
    <w:rsid w:val="00A2628E"/>
    <w:rsid w:val="00A266BF"/>
    <w:rsid w:val="00A2731E"/>
    <w:rsid w:val="00A309AC"/>
    <w:rsid w:val="00A30F65"/>
    <w:rsid w:val="00A3279E"/>
    <w:rsid w:val="00A35900"/>
    <w:rsid w:val="00A40EAC"/>
    <w:rsid w:val="00A418BC"/>
    <w:rsid w:val="00A41FCF"/>
    <w:rsid w:val="00A43CF8"/>
    <w:rsid w:val="00A43DF2"/>
    <w:rsid w:val="00A445A8"/>
    <w:rsid w:val="00A44B0D"/>
    <w:rsid w:val="00A44D21"/>
    <w:rsid w:val="00A45087"/>
    <w:rsid w:val="00A45489"/>
    <w:rsid w:val="00A465E9"/>
    <w:rsid w:val="00A468E7"/>
    <w:rsid w:val="00A46DE0"/>
    <w:rsid w:val="00A50D73"/>
    <w:rsid w:val="00A52A88"/>
    <w:rsid w:val="00A52CAD"/>
    <w:rsid w:val="00A53FC7"/>
    <w:rsid w:val="00A55569"/>
    <w:rsid w:val="00A60AC1"/>
    <w:rsid w:val="00A626FF"/>
    <w:rsid w:val="00A62CE1"/>
    <w:rsid w:val="00A65469"/>
    <w:rsid w:val="00A655D3"/>
    <w:rsid w:val="00A662D9"/>
    <w:rsid w:val="00A6741E"/>
    <w:rsid w:val="00A7016A"/>
    <w:rsid w:val="00A7018D"/>
    <w:rsid w:val="00A7191D"/>
    <w:rsid w:val="00A722F9"/>
    <w:rsid w:val="00A72D42"/>
    <w:rsid w:val="00A75E40"/>
    <w:rsid w:val="00A77D1D"/>
    <w:rsid w:val="00A81652"/>
    <w:rsid w:val="00A83150"/>
    <w:rsid w:val="00A83398"/>
    <w:rsid w:val="00A83D6E"/>
    <w:rsid w:val="00A8521A"/>
    <w:rsid w:val="00A857C0"/>
    <w:rsid w:val="00A90F2C"/>
    <w:rsid w:val="00A90FED"/>
    <w:rsid w:val="00A9189D"/>
    <w:rsid w:val="00A91E71"/>
    <w:rsid w:val="00A925B1"/>
    <w:rsid w:val="00A934F9"/>
    <w:rsid w:val="00A95F1A"/>
    <w:rsid w:val="00A96116"/>
    <w:rsid w:val="00A9614E"/>
    <w:rsid w:val="00A96C0F"/>
    <w:rsid w:val="00AA212F"/>
    <w:rsid w:val="00AA2996"/>
    <w:rsid w:val="00AA2AF4"/>
    <w:rsid w:val="00AA4282"/>
    <w:rsid w:val="00AA52BF"/>
    <w:rsid w:val="00AA559A"/>
    <w:rsid w:val="00AA6C31"/>
    <w:rsid w:val="00AA7752"/>
    <w:rsid w:val="00AA7CE8"/>
    <w:rsid w:val="00AB1457"/>
    <w:rsid w:val="00AB2AF1"/>
    <w:rsid w:val="00AB5A64"/>
    <w:rsid w:val="00AB5CA1"/>
    <w:rsid w:val="00AB6456"/>
    <w:rsid w:val="00AC044E"/>
    <w:rsid w:val="00AC2118"/>
    <w:rsid w:val="00AC2395"/>
    <w:rsid w:val="00AC2960"/>
    <w:rsid w:val="00AC2AC4"/>
    <w:rsid w:val="00AC4284"/>
    <w:rsid w:val="00AC45BD"/>
    <w:rsid w:val="00AC50BB"/>
    <w:rsid w:val="00AD0EE7"/>
    <w:rsid w:val="00AD168E"/>
    <w:rsid w:val="00AD306C"/>
    <w:rsid w:val="00AD44CD"/>
    <w:rsid w:val="00AD5AD2"/>
    <w:rsid w:val="00AD6462"/>
    <w:rsid w:val="00AD66C5"/>
    <w:rsid w:val="00AD68C4"/>
    <w:rsid w:val="00AD71F9"/>
    <w:rsid w:val="00AE09B3"/>
    <w:rsid w:val="00AE1A83"/>
    <w:rsid w:val="00AE30BE"/>
    <w:rsid w:val="00AE3E6A"/>
    <w:rsid w:val="00AE797C"/>
    <w:rsid w:val="00AE7CE7"/>
    <w:rsid w:val="00AE7FAB"/>
    <w:rsid w:val="00AF0DE4"/>
    <w:rsid w:val="00AF1E87"/>
    <w:rsid w:val="00AF436B"/>
    <w:rsid w:val="00AF5179"/>
    <w:rsid w:val="00AF5CC2"/>
    <w:rsid w:val="00AF6776"/>
    <w:rsid w:val="00AF6F98"/>
    <w:rsid w:val="00B00913"/>
    <w:rsid w:val="00B01593"/>
    <w:rsid w:val="00B01FF9"/>
    <w:rsid w:val="00B023F2"/>
    <w:rsid w:val="00B038CA"/>
    <w:rsid w:val="00B06DB4"/>
    <w:rsid w:val="00B10A4D"/>
    <w:rsid w:val="00B10C90"/>
    <w:rsid w:val="00B11002"/>
    <w:rsid w:val="00B121B2"/>
    <w:rsid w:val="00B141B6"/>
    <w:rsid w:val="00B14BC1"/>
    <w:rsid w:val="00B16EB8"/>
    <w:rsid w:val="00B17E71"/>
    <w:rsid w:val="00B17FDE"/>
    <w:rsid w:val="00B20632"/>
    <w:rsid w:val="00B2379C"/>
    <w:rsid w:val="00B23D5D"/>
    <w:rsid w:val="00B2687D"/>
    <w:rsid w:val="00B3108D"/>
    <w:rsid w:val="00B32DDB"/>
    <w:rsid w:val="00B32F57"/>
    <w:rsid w:val="00B3345C"/>
    <w:rsid w:val="00B34528"/>
    <w:rsid w:val="00B34CC9"/>
    <w:rsid w:val="00B3563B"/>
    <w:rsid w:val="00B36BDC"/>
    <w:rsid w:val="00B37D3A"/>
    <w:rsid w:val="00B402FC"/>
    <w:rsid w:val="00B422E2"/>
    <w:rsid w:val="00B42D5F"/>
    <w:rsid w:val="00B439DA"/>
    <w:rsid w:val="00B4411A"/>
    <w:rsid w:val="00B46604"/>
    <w:rsid w:val="00B47089"/>
    <w:rsid w:val="00B47587"/>
    <w:rsid w:val="00B52151"/>
    <w:rsid w:val="00B530CD"/>
    <w:rsid w:val="00B53C7D"/>
    <w:rsid w:val="00B53E56"/>
    <w:rsid w:val="00B55A97"/>
    <w:rsid w:val="00B55F5E"/>
    <w:rsid w:val="00B5642C"/>
    <w:rsid w:val="00B56B6F"/>
    <w:rsid w:val="00B5752E"/>
    <w:rsid w:val="00B60AC1"/>
    <w:rsid w:val="00B62316"/>
    <w:rsid w:val="00B63A11"/>
    <w:rsid w:val="00B64425"/>
    <w:rsid w:val="00B64C24"/>
    <w:rsid w:val="00B65CEF"/>
    <w:rsid w:val="00B6608F"/>
    <w:rsid w:val="00B679FB"/>
    <w:rsid w:val="00B73A14"/>
    <w:rsid w:val="00B748BD"/>
    <w:rsid w:val="00B7680F"/>
    <w:rsid w:val="00B76D1E"/>
    <w:rsid w:val="00B77543"/>
    <w:rsid w:val="00B77584"/>
    <w:rsid w:val="00B80EC6"/>
    <w:rsid w:val="00B81288"/>
    <w:rsid w:val="00B81D70"/>
    <w:rsid w:val="00B833B9"/>
    <w:rsid w:val="00B83E07"/>
    <w:rsid w:val="00B84CF6"/>
    <w:rsid w:val="00B85016"/>
    <w:rsid w:val="00B8561A"/>
    <w:rsid w:val="00B86643"/>
    <w:rsid w:val="00B90131"/>
    <w:rsid w:val="00B92951"/>
    <w:rsid w:val="00B92D1D"/>
    <w:rsid w:val="00B930CE"/>
    <w:rsid w:val="00B938C5"/>
    <w:rsid w:val="00B9554A"/>
    <w:rsid w:val="00B95940"/>
    <w:rsid w:val="00B95ACA"/>
    <w:rsid w:val="00B97ACC"/>
    <w:rsid w:val="00B97FE2"/>
    <w:rsid w:val="00BA3787"/>
    <w:rsid w:val="00BA46E8"/>
    <w:rsid w:val="00BA4E19"/>
    <w:rsid w:val="00BA6436"/>
    <w:rsid w:val="00BA684E"/>
    <w:rsid w:val="00BA6C2B"/>
    <w:rsid w:val="00BA7B64"/>
    <w:rsid w:val="00BB02A3"/>
    <w:rsid w:val="00BB0351"/>
    <w:rsid w:val="00BB15C3"/>
    <w:rsid w:val="00BB1AF4"/>
    <w:rsid w:val="00BB2202"/>
    <w:rsid w:val="00BB3C6B"/>
    <w:rsid w:val="00BB3FD6"/>
    <w:rsid w:val="00BB453F"/>
    <w:rsid w:val="00BB46F3"/>
    <w:rsid w:val="00BB4CB1"/>
    <w:rsid w:val="00BB4F98"/>
    <w:rsid w:val="00BB5AB2"/>
    <w:rsid w:val="00BB5ABF"/>
    <w:rsid w:val="00BB6EA2"/>
    <w:rsid w:val="00BB7B5B"/>
    <w:rsid w:val="00BC003F"/>
    <w:rsid w:val="00BC327F"/>
    <w:rsid w:val="00BC3512"/>
    <w:rsid w:val="00BC50BE"/>
    <w:rsid w:val="00BC5332"/>
    <w:rsid w:val="00BC5715"/>
    <w:rsid w:val="00BC5C12"/>
    <w:rsid w:val="00BC7154"/>
    <w:rsid w:val="00BC731E"/>
    <w:rsid w:val="00BC7614"/>
    <w:rsid w:val="00BD25BB"/>
    <w:rsid w:val="00BD2AF8"/>
    <w:rsid w:val="00BD366B"/>
    <w:rsid w:val="00BD410B"/>
    <w:rsid w:val="00BD4A73"/>
    <w:rsid w:val="00BD6C75"/>
    <w:rsid w:val="00BD6D50"/>
    <w:rsid w:val="00BE0AD1"/>
    <w:rsid w:val="00BE0EF9"/>
    <w:rsid w:val="00BE10A1"/>
    <w:rsid w:val="00BE18B9"/>
    <w:rsid w:val="00BE190A"/>
    <w:rsid w:val="00BE2495"/>
    <w:rsid w:val="00BE24DD"/>
    <w:rsid w:val="00BE386D"/>
    <w:rsid w:val="00BE557B"/>
    <w:rsid w:val="00BF02C8"/>
    <w:rsid w:val="00BF1578"/>
    <w:rsid w:val="00BF15CA"/>
    <w:rsid w:val="00BF1D12"/>
    <w:rsid w:val="00BF1D3A"/>
    <w:rsid w:val="00BF2B5B"/>
    <w:rsid w:val="00BF2D41"/>
    <w:rsid w:val="00BF32DC"/>
    <w:rsid w:val="00BF4329"/>
    <w:rsid w:val="00BF4E43"/>
    <w:rsid w:val="00BF5C4C"/>
    <w:rsid w:val="00C006D6"/>
    <w:rsid w:val="00C00BD7"/>
    <w:rsid w:val="00C01410"/>
    <w:rsid w:val="00C04B78"/>
    <w:rsid w:val="00C052AA"/>
    <w:rsid w:val="00C06EE3"/>
    <w:rsid w:val="00C07749"/>
    <w:rsid w:val="00C11244"/>
    <w:rsid w:val="00C11D48"/>
    <w:rsid w:val="00C1493E"/>
    <w:rsid w:val="00C15DBD"/>
    <w:rsid w:val="00C2010D"/>
    <w:rsid w:val="00C20CB5"/>
    <w:rsid w:val="00C21430"/>
    <w:rsid w:val="00C21E61"/>
    <w:rsid w:val="00C21F94"/>
    <w:rsid w:val="00C234DB"/>
    <w:rsid w:val="00C2479A"/>
    <w:rsid w:val="00C24903"/>
    <w:rsid w:val="00C2590D"/>
    <w:rsid w:val="00C25D9C"/>
    <w:rsid w:val="00C27913"/>
    <w:rsid w:val="00C300E2"/>
    <w:rsid w:val="00C31F21"/>
    <w:rsid w:val="00C32631"/>
    <w:rsid w:val="00C33301"/>
    <w:rsid w:val="00C33311"/>
    <w:rsid w:val="00C33B68"/>
    <w:rsid w:val="00C35570"/>
    <w:rsid w:val="00C35A2A"/>
    <w:rsid w:val="00C36A79"/>
    <w:rsid w:val="00C401A9"/>
    <w:rsid w:val="00C401D2"/>
    <w:rsid w:val="00C4031A"/>
    <w:rsid w:val="00C405D4"/>
    <w:rsid w:val="00C419D5"/>
    <w:rsid w:val="00C4513B"/>
    <w:rsid w:val="00C50E79"/>
    <w:rsid w:val="00C525FB"/>
    <w:rsid w:val="00C5390B"/>
    <w:rsid w:val="00C54257"/>
    <w:rsid w:val="00C54697"/>
    <w:rsid w:val="00C550CE"/>
    <w:rsid w:val="00C553A5"/>
    <w:rsid w:val="00C55402"/>
    <w:rsid w:val="00C5603B"/>
    <w:rsid w:val="00C61F47"/>
    <w:rsid w:val="00C62828"/>
    <w:rsid w:val="00C719A3"/>
    <w:rsid w:val="00C71D2F"/>
    <w:rsid w:val="00C72984"/>
    <w:rsid w:val="00C73885"/>
    <w:rsid w:val="00C73C93"/>
    <w:rsid w:val="00C7435A"/>
    <w:rsid w:val="00C747B1"/>
    <w:rsid w:val="00C755F9"/>
    <w:rsid w:val="00C82191"/>
    <w:rsid w:val="00C83134"/>
    <w:rsid w:val="00C832F3"/>
    <w:rsid w:val="00C845A4"/>
    <w:rsid w:val="00C85545"/>
    <w:rsid w:val="00C855B5"/>
    <w:rsid w:val="00C85F0E"/>
    <w:rsid w:val="00C90CF4"/>
    <w:rsid w:val="00C922DE"/>
    <w:rsid w:val="00C92843"/>
    <w:rsid w:val="00C92EB6"/>
    <w:rsid w:val="00C93389"/>
    <w:rsid w:val="00C94CDD"/>
    <w:rsid w:val="00CA0346"/>
    <w:rsid w:val="00CA1BD6"/>
    <w:rsid w:val="00CA37FF"/>
    <w:rsid w:val="00CA423A"/>
    <w:rsid w:val="00CA47BC"/>
    <w:rsid w:val="00CA6AB4"/>
    <w:rsid w:val="00CA7255"/>
    <w:rsid w:val="00CB2351"/>
    <w:rsid w:val="00CB4930"/>
    <w:rsid w:val="00CB4C63"/>
    <w:rsid w:val="00CB5A48"/>
    <w:rsid w:val="00CB5E10"/>
    <w:rsid w:val="00CB613B"/>
    <w:rsid w:val="00CB6152"/>
    <w:rsid w:val="00CB64E1"/>
    <w:rsid w:val="00CC0834"/>
    <w:rsid w:val="00CC20FE"/>
    <w:rsid w:val="00CC2E7D"/>
    <w:rsid w:val="00CC655F"/>
    <w:rsid w:val="00CC6FE5"/>
    <w:rsid w:val="00CC7458"/>
    <w:rsid w:val="00CC76BD"/>
    <w:rsid w:val="00CC7A87"/>
    <w:rsid w:val="00CD10A5"/>
    <w:rsid w:val="00CD1129"/>
    <w:rsid w:val="00CD1A80"/>
    <w:rsid w:val="00CD1CB5"/>
    <w:rsid w:val="00CD2076"/>
    <w:rsid w:val="00CD24CE"/>
    <w:rsid w:val="00CD29B5"/>
    <w:rsid w:val="00CD2B78"/>
    <w:rsid w:val="00CD3FAB"/>
    <w:rsid w:val="00CD5456"/>
    <w:rsid w:val="00CD5C3E"/>
    <w:rsid w:val="00CD6331"/>
    <w:rsid w:val="00CE14BE"/>
    <w:rsid w:val="00CE17A4"/>
    <w:rsid w:val="00CE1BA9"/>
    <w:rsid w:val="00CE2D8F"/>
    <w:rsid w:val="00CE3E48"/>
    <w:rsid w:val="00CE47B8"/>
    <w:rsid w:val="00CE62FA"/>
    <w:rsid w:val="00CE670B"/>
    <w:rsid w:val="00CE6833"/>
    <w:rsid w:val="00CF2E4D"/>
    <w:rsid w:val="00CF4908"/>
    <w:rsid w:val="00CF51EC"/>
    <w:rsid w:val="00CF545D"/>
    <w:rsid w:val="00CF5873"/>
    <w:rsid w:val="00CF73AE"/>
    <w:rsid w:val="00D0242D"/>
    <w:rsid w:val="00D02716"/>
    <w:rsid w:val="00D03A72"/>
    <w:rsid w:val="00D040DD"/>
    <w:rsid w:val="00D05C65"/>
    <w:rsid w:val="00D06B56"/>
    <w:rsid w:val="00D06D68"/>
    <w:rsid w:val="00D075BE"/>
    <w:rsid w:val="00D10C15"/>
    <w:rsid w:val="00D11476"/>
    <w:rsid w:val="00D12C25"/>
    <w:rsid w:val="00D133B4"/>
    <w:rsid w:val="00D13986"/>
    <w:rsid w:val="00D14C5B"/>
    <w:rsid w:val="00D15FED"/>
    <w:rsid w:val="00D214EF"/>
    <w:rsid w:val="00D215B0"/>
    <w:rsid w:val="00D21D6D"/>
    <w:rsid w:val="00D21D83"/>
    <w:rsid w:val="00D235B7"/>
    <w:rsid w:val="00D23FAE"/>
    <w:rsid w:val="00D25F28"/>
    <w:rsid w:val="00D26071"/>
    <w:rsid w:val="00D269B9"/>
    <w:rsid w:val="00D27973"/>
    <w:rsid w:val="00D31537"/>
    <w:rsid w:val="00D31E1E"/>
    <w:rsid w:val="00D32824"/>
    <w:rsid w:val="00D334E2"/>
    <w:rsid w:val="00D35AD6"/>
    <w:rsid w:val="00D35BBB"/>
    <w:rsid w:val="00D35E1A"/>
    <w:rsid w:val="00D36DFB"/>
    <w:rsid w:val="00D36E1C"/>
    <w:rsid w:val="00D373AF"/>
    <w:rsid w:val="00D40556"/>
    <w:rsid w:val="00D41F74"/>
    <w:rsid w:val="00D43ED2"/>
    <w:rsid w:val="00D50F46"/>
    <w:rsid w:val="00D5384E"/>
    <w:rsid w:val="00D544E7"/>
    <w:rsid w:val="00D5560A"/>
    <w:rsid w:val="00D56FBF"/>
    <w:rsid w:val="00D57677"/>
    <w:rsid w:val="00D60415"/>
    <w:rsid w:val="00D60E3C"/>
    <w:rsid w:val="00D63BE5"/>
    <w:rsid w:val="00D6475F"/>
    <w:rsid w:val="00D66223"/>
    <w:rsid w:val="00D667B8"/>
    <w:rsid w:val="00D70289"/>
    <w:rsid w:val="00D70822"/>
    <w:rsid w:val="00D72076"/>
    <w:rsid w:val="00D726A9"/>
    <w:rsid w:val="00D743E0"/>
    <w:rsid w:val="00D75AC1"/>
    <w:rsid w:val="00D77252"/>
    <w:rsid w:val="00D8084C"/>
    <w:rsid w:val="00D81809"/>
    <w:rsid w:val="00D82EF1"/>
    <w:rsid w:val="00D84F43"/>
    <w:rsid w:val="00D85114"/>
    <w:rsid w:val="00D85821"/>
    <w:rsid w:val="00D8598C"/>
    <w:rsid w:val="00D87C06"/>
    <w:rsid w:val="00D915EA"/>
    <w:rsid w:val="00D919ED"/>
    <w:rsid w:val="00D922A1"/>
    <w:rsid w:val="00D928BE"/>
    <w:rsid w:val="00D95302"/>
    <w:rsid w:val="00D95C5D"/>
    <w:rsid w:val="00D97D00"/>
    <w:rsid w:val="00DA096C"/>
    <w:rsid w:val="00DA1AB6"/>
    <w:rsid w:val="00DA544C"/>
    <w:rsid w:val="00DA5F8E"/>
    <w:rsid w:val="00DA6364"/>
    <w:rsid w:val="00DA7114"/>
    <w:rsid w:val="00DA7C0C"/>
    <w:rsid w:val="00DB08A9"/>
    <w:rsid w:val="00DB2DFA"/>
    <w:rsid w:val="00DB2EC8"/>
    <w:rsid w:val="00DB459B"/>
    <w:rsid w:val="00DB47FD"/>
    <w:rsid w:val="00DB5E9A"/>
    <w:rsid w:val="00DB657E"/>
    <w:rsid w:val="00DB7342"/>
    <w:rsid w:val="00DC17D0"/>
    <w:rsid w:val="00DC2B41"/>
    <w:rsid w:val="00DC435B"/>
    <w:rsid w:val="00DC53D8"/>
    <w:rsid w:val="00DC56FE"/>
    <w:rsid w:val="00DC5B3B"/>
    <w:rsid w:val="00DC6C2D"/>
    <w:rsid w:val="00DC7B1A"/>
    <w:rsid w:val="00DD04B0"/>
    <w:rsid w:val="00DD129F"/>
    <w:rsid w:val="00DD29B5"/>
    <w:rsid w:val="00DD32DD"/>
    <w:rsid w:val="00DD5287"/>
    <w:rsid w:val="00DE0D8B"/>
    <w:rsid w:val="00DE1237"/>
    <w:rsid w:val="00DE140F"/>
    <w:rsid w:val="00DE2491"/>
    <w:rsid w:val="00DE7AC8"/>
    <w:rsid w:val="00DF3643"/>
    <w:rsid w:val="00DF42FF"/>
    <w:rsid w:val="00DF4369"/>
    <w:rsid w:val="00DF4423"/>
    <w:rsid w:val="00DF4ADF"/>
    <w:rsid w:val="00DF5D1E"/>
    <w:rsid w:val="00DF7F88"/>
    <w:rsid w:val="00E01C0E"/>
    <w:rsid w:val="00E0368F"/>
    <w:rsid w:val="00E03D73"/>
    <w:rsid w:val="00E03F9A"/>
    <w:rsid w:val="00E04694"/>
    <w:rsid w:val="00E129E7"/>
    <w:rsid w:val="00E12ABE"/>
    <w:rsid w:val="00E12B1E"/>
    <w:rsid w:val="00E1444C"/>
    <w:rsid w:val="00E17262"/>
    <w:rsid w:val="00E20016"/>
    <w:rsid w:val="00E2009B"/>
    <w:rsid w:val="00E20BB9"/>
    <w:rsid w:val="00E20BCC"/>
    <w:rsid w:val="00E2251C"/>
    <w:rsid w:val="00E2363D"/>
    <w:rsid w:val="00E23C6A"/>
    <w:rsid w:val="00E253A2"/>
    <w:rsid w:val="00E260F6"/>
    <w:rsid w:val="00E27127"/>
    <w:rsid w:val="00E27233"/>
    <w:rsid w:val="00E31771"/>
    <w:rsid w:val="00E31A3E"/>
    <w:rsid w:val="00E32080"/>
    <w:rsid w:val="00E3309D"/>
    <w:rsid w:val="00E3724A"/>
    <w:rsid w:val="00E378B1"/>
    <w:rsid w:val="00E417BE"/>
    <w:rsid w:val="00E41CD5"/>
    <w:rsid w:val="00E43A9E"/>
    <w:rsid w:val="00E453F9"/>
    <w:rsid w:val="00E45D7D"/>
    <w:rsid w:val="00E4623F"/>
    <w:rsid w:val="00E4665D"/>
    <w:rsid w:val="00E47854"/>
    <w:rsid w:val="00E47EBA"/>
    <w:rsid w:val="00E50156"/>
    <w:rsid w:val="00E5076C"/>
    <w:rsid w:val="00E50D2E"/>
    <w:rsid w:val="00E53470"/>
    <w:rsid w:val="00E539F6"/>
    <w:rsid w:val="00E54698"/>
    <w:rsid w:val="00E55791"/>
    <w:rsid w:val="00E578A2"/>
    <w:rsid w:val="00E60043"/>
    <w:rsid w:val="00E61740"/>
    <w:rsid w:val="00E61EB5"/>
    <w:rsid w:val="00E6324D"/>
    <w:rsid w:val="00E6519D"/>
    <w:rsid w:val="00E66062"/>
    <w:rsid w:val="00E6660E"/>
    <w:rsid w:val="00E67305"/>
    <w:rsid w:val="00E67696"/>
    <w:rsid w:val="00E71A58"/>
    <w:rsid w:val="00E72A26"/>
    <w:rsid w:val="00E72A7A"/>
    <w:rsid w:val="00E7335A"/>
    <w:rsid w:val="00E747DC"/>
    <w:rsid w:val="00E75C94"/>
    <w:rsid w:val="00E76B9B"/>
    <w:rsid w:val="00E76E61"/>
    <w:rsid w:val="00E80CA3"/>
    <w:rsid w:val="00E82618"/>
    <w:rsid w:val="00E84E09"/>
    <w:rsid w:val="00E90CA8"/>
    <w:rsid w:val="00E930A1"/>
    <w:rsid w:val="00E93820"/>
    <w:rsid w:val="00E93CB4"/>
    <w:rsid w:val="00E94A86"/>
    <w:rsid w:val="00E953F6"/>
    <w:rsid w:val="00E96143"/>
    <w:rsid w:val="00E96833"/>
    <w:rsid w:val="00EA0C68"/>
    <w:rsid w:val="00EA1D0E"/>
    <w:rsid w:val="00EA2841"/>
    <w:rsid w:val="00EA32BC"/>
    <w:rsid w:val="00EA35A7"/>
    <w:rsid w:val="00EA3B32"/>
    <w:rsid w:val="00EA3D05"/>
    <w:rsid w:val="00EA4402"/>
    <w:rsid w:val="00EA4B8D"/>
    <w:rsid w:val="00EA513E"/>
    <w:rsid w:val="00EA7419"/>
    <w:rsid w:val="00EB0E32"/>
    <w:rsid w:val="00EB4511"/>
    <w:rsid w:val="00EB48D7"/>
    <w:rsid w:val="00EB4A8E"/>
    <w:rsid w:val="00EB4BC5"/>
    <w:rsid w:val="00EB5BF7"/>
    <w:rsid w:val="00EB5E79"/>
    <w:rsid w:val="00EB6FAC"/>
    <w:rsid w:val="00EB7BAC"/>
    <w:rsid w:val="00EC03D7"/>
    <w:rsid w:val="00EC13A7"/>
    <w:rsid w:val="00EC2EB6"/>
    <w:rsid w:val="00ED0EF0"/>
    <w:rsid w:val="00ED12B9"/>
    <w:rsid w:val="00ED16B8"/>
    <w:rsid w:val="00ED1DF0"/>
    <w:rsid w:val="00ED2EA1"/>
    <w:rsid w:val="00ED3F10"/>
    <w:rsid w:val="00ED4D04"/>
    <w:rsid w:val="00ED5907"/>
    <w:rsid w:val="00ED5F5B"/>
    <w:rsid w:val="00ED62C6"/>
    <w:rsid w:val="00ED64C1"/>
    <w:rsid w:val="00EE3446"/>
    <w:rsid w:val="00EE3E78"/>
    <w:rsid w:val="00EE41FD"/>
    <w:rsid w:val="00EE460E"/>
    <w:rsid w:val="00EE4B1B"/>
    <w:rsid w:val="00EE5FBA"/>
    <w:rsid w:val="00EE6E06"/>
    <w:rsid w:val="00EE7179"/>
    <w:rsid w:val="00EF150D"/>
    <w:rsid w:val="00EF1F5A"/>
    <w:rsid w:val="00EF47BF"/>
    <w:rsid w:val="00EF59B1"/>
    <w:rsid w:val="00EF5A13"/>
    <w:rsid w:val="00EF5FF9"/>
    <w:rsid w:val="00EF7CC7"/>
    <w:rsid w:val="00F0160B"/>
    <w:rsid w:val="00F0193E"/>
    <w:rsid w:val="00F03F8D"/>
    <w:rsid w:val="00F04811"/>
    <w:rsid w:val="00F0488C"/>
    <w:rsid w:val="00F073ED"/>
    <w:rsid w:val="00F07C4C"/>
    <w:rsid w:val="00F10F11"/>
    <w:rsid w:val="00F11159"/>
    <w:rsid w:val="00F12CFB"/>
    <w:rsid w:val="00F15AAA"/>
    <w:rsid w:val="00F15BEF"/>
    <w:rsid w:val="00F17898"/>
    <w:rsid w:val="00F207C2"/>
    <w:rsid w:val="00F21337"/>
    <w:rsid w:val="00F219A1"/>
    <w:rsid w:val="00F23E20"/>
    <w:rsid w:val="00F24407"/>
    <w:rsid w:val="00F24FAA"/>
    <w:rsid w:val="00F25040"/>
    <w:rsid w:val="00F27071"/>
    <w:rsid w:val="00F27331"/>
    <w:rsid w:val="00F27EE5"/>
    <w:rsid w:val="00F307CB"/>
    <w:rsid w:val="00F30C65"/>
    <w:rsid w:val="00F32649"/>
    <w:rsid w:val="00F33523"/>
    <w:rsid w:val="00F3364D"/>
    <w:rsid w:val="00F349BF"/>
    <w:rsid w:val="00F34DDC"/>
    <w:rsid w:val="00F37EDC"/>
    <w:rsid w:val="00F437CC"/>
    <w:rsid w:val="00F44537"/>
    <w:rsid w:val="00F46185"/>
    <w:rsid w:val="00F46423"/>
    <w:rsid w:val="00F4696A"/>
    <w:rsid w:val="00F47067"/>
    <w:rsid w:val="00F525EB"/>
    <w:rsid w:val="00F52CB5"/>
    <w:rsid w:val="00F53A68"/>
    <w:rsid w:val="00F55A92"/>
    <w:rsid w:val="00F62BFF"/>
    <w:rsid w:val="00F63AAE"/>
    <w:rsid w:val="00F63DDE"/>
    <w:rsid w:val="00F63FB7"/>
    <w:rsid w:val="00F6421B"/>
    <w:rsid w:val="00F647F1"/>
    <w:rsid w:val="00F649D2"/>
    <w:rsid w:val="00F6602B"/>
    <w:rsid w:val="00F7150B"/>
    <w:rsid w:val="00F71DE6"/>
    <w:rsid w:val="00F72D71"/>
    <w:rsid w:val="00F7381C"/>
    <w:rsid w:val="00F73A0C"/>
    <w:rsid w:val="00F7549F"/>
    <w:rsid w:val="00F756DB"/>
    <w:rsid w:val="00F767A8"/>
    <w:rsid w:val="00F84E7D"/>
    <w:rsid w:val="00F85066"/>
    <w:rsid w:val="00F87A4D"/>
    <w:rsid w:val="00F93688"/>
    <w:rsid w:val="00F939F3"/>
    <w:rsid w:val="00F9644E"/>
    <w:rsid w:val="00FA0105"/>
    <w:rsid w:val="00FA05A0"/>
    <w:rsid w:val="00FA17CC"/>
    <w:rsid w:val="00FA1F01"/>
    <w:rsid w:val="00FA26DF"/>
    <w:rsid w:val="00FA4CB7"/>
    <w:rsid w:val="00FA5112"/>
    <w:rsid w:val="00FA5526"/>
    <w:rsid w:val="00FA5D4D"/>
    <w:rsid w:val="00FA6CB6"/>
    <w:rsid w:val="00FA70D3"/>
    <w:rsid w:val="00FA7AEC"/>
    <w:rsid w:val="00FB0AEA"/>
    <w:rsid w:val="00FB0EE2"/>
    <w:rsid w:val="00FB1A79"/>
    <w:rsid w:val="00FB208B"/>
    <w:rsid w:val="00FB2B2D"/>
    <w:rsid w:val="00FB542E"/>
    <w:rsid w:val="00FB564F"/>
    <w:rsid w:val="00FB7DBB"/>
    <w:rsid w:val="00FC05F8"/>
    <w:rsid w:val="00FC0E5F"/>
    <w:rsid w:val="00FC1266"/>
    <w:rsid w:val="00FC1A95"/>
    <w:rsid w:val="00FC1ED4"/>
    <w:rsid w:val="00FC3BEC"/>
    <w:rsid w:val="00FC440B"/>
    <w:rsid w:val="00FC56DE"/>
    <w:rsid w:val="00FC64DE"/>
    <w:rsid w:val="00FC684B"/>
    <w:rsid w:val="00FC7D98"/>
    <w:rsid w:val="00FD1135"/>
    <w:rsid w:val="00FD3265"/>
    <w:rsid w:val="00FD3CF7"/>
    <w:rsid w:val="00FD4916"/>
    <w:rsid w:val="00FD4D12"/>
    <w:rsid w:val="00FD4F73"/>
    <w:rsid w:val="00FD595E"/>
    <w:rsid w:val="00FE27C7"/>
    <w:rsid w:val="00FE2C7E"/>
    <w:rsid w:val="00FE2F78"/>
    <w:rsid w:val="00FE3137"/>
    <w:rsid w:val="00FE346B"/>
    <w:rsid w:val="00FE48E4"/>
    <w:rsid w:val="00FE5E52"/>
    <w:rsid w:val="00FE634C"/>
    <w:rsid w:val="00FE6E69"/>
    <w:rsid w:val="00FE6F59"/>
    <w:rsid w:val="00FF3D76"/>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74EEB6EC"/>
  <w15:docId w15:val="{02E7EBF8-5A4E-462D-AC4B-706FC6EE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9"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okumenty\Anal&#253;za\Q\2019Q1\Makroanal&#253;za%20graf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557159743329959E-2"/>
          <c:y val="2.1711264016309892E-2"/>
          <c:w val="0.93757303275920301"/>
          <c:h val="0.73130361364405005"/>
        </c:manualLayout>
      </c:layout>
      <c:barChart>
        <c:barDir val="col"/>
        <c:grouping val="clustered"/>
        <c:varyColors val="0"/>
        <c:ser>
          <c:idx val="0"/>
          <c:order val="0"/>
          <c:tx>
            <c:strRef>
              <c:f>'Měnové podmínky 1'!$C$5</c:f>
              <c:strCache>
                <c:ptCount val="1"/>
                <c:pt idx="0">
                  <c:v>2T repo sazba</c:v>
                </c:pt>
              </c:strCache>
            </c:strRef>
          </c:tx>
          <c:spPr>
            <a:solidFill>
              <a:schemeClr val="bg1">
                <a:lumMod val="65000"/>
              </a:schemeClr>
            </a:solidFill>
          </c:spPr>
          <c:invertIfNegative val="0"/>
          <c:cat>
            <c:multiLvlStrRef>
              <c:f>'Měnové podmínky 1'!$A$30:$B$93</c:f>
              <c:multiLvlStrCache>
                <c:ptCount val="64"/>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lvl>
                <c:lvl>
                  <c:pt idx="0">
                    <c:v>2014</c:v>
                  </c:pt>
                  <c:pt idx="12">
                    <c:v>2015</c:v>
                  </c:pt>
                  <c:pt idx="24">
                    <c:v>2016</c:v>
                  </c:pt>
                  <c:pt idx="36">
                    <c:v>2017</c:v>
                  </c:pt>
                  <c:pt idx="48">
                    <c:v>2018</c:v>
                  </c:pt>
                  <c:pt idx="60">
                    <c:v>2019</c:v>
                  </c:pt>
                </c:lvl>
              </c:multiLvlStrCache>
            </c:multiLvlStrRef>
          </c:cat>
          <c:val>
            <c:numRef>
              <c:f>'Měnové podmínky 1'!$C$30:$C$93</c:f>
              <c:numCache>
                <c:formatCode>0.00</c:formatCode>
                <c:ptCount val="64"/>
                <c:pt idx="0">
                  <c:v>0.05</c:v>
                </c:pt>
                <c:pt idx="1">
                  <c:v>0.05</c:v>
                </c:pt>
                <c:pt idx="2">
                  <c:v>0.05</c:v>
                </c:pt>
                <c:pt idx="3">
                  <c:v>0.05</c:v>
                </c:pt>
                <c:pt idx="4">
                  <c:v>0.05</c:v>
                </c:pt>
                <c:pt idx="5">
                  <c:v>0.05</c:v>
                </c:pt>
                <c:pt idx="6">
                  <c:v>0.05</c:v>
                </c:pt>
                <c:pt idx="7">
                  <c:v>0.05</c:v>
                </c:pt>
                <c:pt idx="8">
                  <c:v>0.05</c:v>
                </c:pt>
                <c:pt idx="9">
                  <c:v>0.05</c:v>
                </c:pt>
                <c:pt idx="10">
                  <c:v>0.05</c:v>
                </c:pt>
                <c:pt idx="11">
                  <c:v>0.05</c:v>
                </c:pt>
                <c:pt idx="12">
                  <c:v>0.05</c:v>
                </c:pt>
                <c:pt idx="13">
                  <c:v>0.05</c:v>
                </c:pt>
                <c:pt idx="14">
                  <c:v>0.05</c:v>
                </c:pt>
                <c:pt idx="15">
                  <c:v>0.05</c:v>
                </c:pt>
                <c:pt idx="16">
                  <c:v>0.05</c:v>
                </c:pt>
                <c:pt idx="17">
                  <c:v>0.05</c:v>
                </c:pt>
                <c:pt idx="18">
                  <c:v>0.05</c:v>
                </c:pt>
                <c:pt idx="19">
                  <c:v>0.05</c:v>
                </c:pt>
                <c:pt idx="20">
                  <c:v>0.05</c:v>
                </c:pt>
                <c:pt idx="21">
                  <c:v>0.05</c:v>
                </c:pt>
                <c:pt idx="22">
                  <c:v>0.05</c:v>
                </c:pt>
                <c:pt idx="23">
                  <c:v>0.05</c:v>
                </c:pt>
                <c:pt idx="24" formatCode="General">
                  <c:v>0.05</c:v>
                </c:pt>
                <c:pt idx="25" formatCode="General">
                  <c:v>0.05</c:v>
                </c:pt>
                <c:pt idx="26" formatCode="General">
                  <c:v>0.05</c:v>
                </c:pt>
                <c:pt idx="27" formatCode="General">
                  <c:v>0.05</c:v>
                </c:pt>
                <c:pt idx="28" formatCode="General">
                  <c:v>0.05</c:v>
                </c:pt>
                <c:pt idx="29" formatCode="General">
                  <c:v>0.05</c:v>
                </c:pt>
                <c:pt idx="30" formatCode="General">
                  <c:v>0.05</c:v>
                </c:pt>
                <c:pt idx="31" formatCode="General">
                  <c:v>0.05</c:v>
                </c:pt>
                <c:pt idx="32" formatCode="General">
                  <c:v>0.05</c:v>
                </c:pt>
                <c:pt idx="33" formatCode="General">
                  <c:v>0.05</c:v>
                </c:pt>
                <c:pt idx="34" formatCode="General">
                  <c:v>0.05</c:v>
                </c:pt>
                <c:pt idx="35" formatCode="General">
                  <c:v>0.05</c:v>
                </c:pt>
                <c:pt idx="36" formatCode="General">
                  <c:v>0.05</c:v>
                </c:pt>
                <c:pt idx="37" formatCode="General">
                  <c:v>0.05</c:v>
                </c:pt>
                <c:pt idx="38" formatCode="General">
                  <c:v>0.05</c:v>
                </c:pt>
                <c:pt idx="39" formatCode="General">
                  <c:v>0.05</c:v>
                </c:pt>
                <c:pt idx="40" formatCode="General">
                  <c:v>0.05</c:v>
                </c:pt>
                <c:pt idx="41" formatCode="General">
                  <c:v>0.05</c:v>
                </c:pt>
                <c:pt idx="42" formatCode="General">
                  <c:v>0.05</c:v>
                </c:pt>
                <c:pt idx="43" formatCode="General">
                  <c:v>0.25</c:v>
                </c:pt>
                <c:pt idx="44" formatCode="General">
                  <c:v>0.25</c:v>
                </c:pt>
                <c:pt idx="45" formatCode="General">
                  <c:v>0.25</c:v>
                </c:pt>
                <c:pt idx="46" formatCode="General">
                  <c:v>0.5</c:v>
                </c:pt>
                <c:pt idx="47" formatCode="General">
                  <c:v>0.5</c:v>
                </c:pt>
                <c:pt idx="48" formatCode="General">
                  <c:v>0.5</c:v>
                </c:pt>
                <c:pt idx="49" formatCode="General">
                  <c:v>0.75</c:v>
                </c:pt>
                <c:pt idx="50" formatCode="General">
                  <c:v>0.75</c:v>
                </c:pt>
                <c:pt idx="51" formatCode="General">
                  <c:v>0.75</c:v>
                </c:pt>
                <c:pt idx="52" formatCode="General">
                  <c:v>0.75</c:v>
                </c:pt>
                <c:pt idx="53" formatCode="General">
                  <c:v>1</c:v>
                </c:pt>
                <c:pt idx="54" formatCode="General">
                  <c:v>1</c:v>
                </c:pt>
                <c:pt idx="55" formatCode="General">
                  <c:v>1.25</c:v>
                </c:pt>
                <c:pt idx="56" formatCode="General">
                  <c:v>1.5</c:v>
                </c:pt>
                <c:pt idx="57" formatCode="General">
                  <c:v>1.5</c:v>
                </c:pt>
                <c:pt idx="58" formatCode="General">
                  <c:v>1.75</c:v>
                </c:pt>
                <c:pt idx="59" formatCode="General">
                  <c:v>1.75</c:v>
                </c:pt>
                <c:pt idx="60" formatCode="General">
                  <c:v>1.75</c:v>
                </c:pt>
                <c:pt idx="61" formatCode="General">
                  <c:v>1.75</c:v>
                </c:pt>
                <c:pt idx="62" formatCode="General">
                  <c:v>1.75</c:v>
                </c:pt>
                <c:pt idx="63" formatCode="General">
                  <c:v>1.75</c:v>
                </c:pt>
              </c:numCache>
            </c:numRef>
          </c:val>
          <c:extLst>
            <c:ext xmlns:c16="http://schemas.microsoft.com/office/drawing/2014/chart" uri="{C3380CC4-5D6E-409C-BE32-E72D297353CC}">
              <c16:uniqueId val="{00000000-1D07-4BCB-A28C-A23478592E2B}"/>
            </c:ext>
          </c:extLst>
        </c:ser>
        <c:dLbls>
          <c:showLegendKey val="0"/>
          <c:showVal val="0"/>
          <c:showCatName val="0"/>
          <c:showSerName val="0"/>
          <c:showPercent val="0"/>
          <c:showBubbleSize val="0"/>
        </c:dLbls>
        <c:gapWidth val="31"/>
        <c:axId val="271742464"/>
        <c:axId val="271744000"/>
      </c:barChart>
      <c:lineChart>
        <c:grouping val="standard"/>
        <c:varyColors val="0"/>
        <c:ser>
          <c:idx val="3"/>
          <c:order val="1"/>
          <c:tx>
            <c:strRef>
              <c:f>'Měnové podmínky 1'!$F$5</c:f>
              <c:strCache>
                <c:ptCount val="1"/>
                <c:pt idx="0">
                  <c:v>Průměrný výnos státních dluhopisů (2Y)</c:v>
                </c:pt>
              </c:strCache>
            </c:strRef>
          </c:tx>
          <c:spPr>
            <a:ln w="19050">
              <a:solidFill>
                <a:srgbClr val="7DBB2D"/>
              </a:solidFill>
            </a:ln>
          </c:spPr>
          <c:marker>
            <c:symbol val="none"/>
          </c:marker>
          <c:cat>
            <c:multiLvlStrRef>
              <c:f>'Měnové podmínky 1'!$A$30:$B$93</c:f>
              <c:multiLvlStrCache>
                <c:ptCount val="64"/>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lvl>
                <c:lvl>
                  <c:pt idx="0">
                    <c:v>2014</c:v>
                  </c:pt>
                  <c:pt idx="12">
                    <c:v>2015</c:v>
                  </c:pt>
                  <c:pt idx="24">
                    <c:v>2016</c:v>
                  </c:pt>
                  <c:pt idx="36">
                    <c:v>2017</c:v>
                  </c:pt>
                  <c:pt idx="48">
                    <c:v>2018</c:v>
                  </c:pt>
                  <c:pt idx="60">
                    <c:v>2019</c:v>
                  </c:pt>
                </c:lvl>
              </c:multiLvlStrCache>
            </c:multiLvlStrRef>
          </c:cat>
          <c:val>
            <c:numRef>
              <c:f>'Měnové podmínky 1'!$F$30:$F$93</c:f>
              <c:numCache>
                <c:formatCode>General</c:formatCode>
                <c:ptCount val="64"/>
                <c:pt idx="0">
                  <c:v>0.23</c:v>
                </c:pt>
                <c:pt idx="1">
                  <c:v>0.28000000000000003</c:v>
                </c:pt>
                <c:pt idx="2">
                  <c:v>0.26</c:v>
                </c:pt>
                <c:pt idx="3">
                  <c:v>0.23</c:v>
                </c:pt>
                <c:pt idx="4">
                  <c:v>0.21</c:v>
                </c:pt>
                <c:pt idx="5">
                  <c:v>0.24</c:v>
                </c:pt>
                <c:pt idx="6">
                  <c:v>0.23</c:v>
                </c:pt>
                <c:pt idx="7">
                  <c:v>0.18</c:v>
                </c:pt>
                <c:pt idx="8">
                  <c:v>0.14000000000000001</c:v>
                </c:pt>
                <c:pt idx="9">
                  <c:v>0.1</c:v>
                </c:pt>
                <c:pt idx="10">
                  <c:v>0.12</c:v>
                </c:pt>
                <c:pt idx="11">
                  <c:v>0.13</c:v>
                </c:pt>
                <c:pt idx="12">
                  <c:v>0.09</c:v>
                </c:pt>
                <c:pt idx="13">
                  <c:v>0.06</c:v>
                </c:pt>
                <c:pt idx="14">
                  <c:v>0.04</c:v>
                </c:pt>
                <c:pt idx="15">
                  <c:v>-0.03</c:v>
                </c:pt>
                <c:pt idx="16">
                  <c:v>0.04</c:v>
                </c:pt>
                <c:pt idx="17">
                  <c:v>0.11</c:v>
                </c:pt>
                <c:pt idx="18">
                  <c:v>0.02</c:v>
                </c:pt>
                <c:pt idx="19">
                  <c:v>-7.0000000000000007E-2</c:v>
                </c:pt>
                <c:pt idx="20">
                  <c:v>-0.3</c:v>
                </c:pt>
                <c:pt idx="21">
                  <c:v>-0.28000000000000003</c:v>
                </c:pt>
                <c:pt idx="22">
                  <c:v>-0.33</c:v>
                </c:pt>
                <c:pt idx="23">
                  <c:v>-0.38</c:v>
                </c:pt>
                <c:pt idx="24">
                  <c:v>-0.21</c:v>
                </c:pt>
                <c:pt idx="25">
                  <c:v>-0.18</c:v>
                </c:pt>
                <c:pt idx="26">
                  <c:v>-0.17</c:v>
                </c:pt>
                <c:pt idx="27">
                  <c:v>-0.08</c:v>
                </c:pt>
                <c:pt idx="28">
                  <c:v>-0.04</c:v>
                </c:pt>
                <c:pt idx="29">
                  <c:v>-0.05</c:v>
                </c:pt>
                <c:pt idx="30">
                  <c:v>-0.13</c:v>
                </c:pt>
                <c:pt idx="31">
                  <c:v>-0.22</c:v>
                </c:pt>
                <c:pt idx="32">
                  <c:v>-0.5</c:v>
                </c:pt>
                <c:pt idx="33">
                  <c:v>-0.74</c:v>
                </c:pt>
                <c:pt idx="34">
                  <c:v>-0.73</c:v>
                </c:pt>
                <c:pt idx="35">
                  <c:v>-0.81</c:v>
                </c:pt>
                <c:pt idx="36">
                  <c:v>-0.88</c:v>
                </c:pt>
                <c:pt idx="37">
                  <c:v>-0.53</c:v>
                </c:pt>
                <c:pt idx="38">
                  <c:v>-0.44</c:v>
                </c:pt>
                <c:pt idx="39">
                  <c:v>-0.23</c:v>
                </c:pt>
                <c:pt idx="40">
                  <c:v>-0.24</c:v>
                </c:pt>
                <c:pt idx="41">
                  <c:v>-0.25</c:v>
                </c:pt>
                <c:pt idx="42">
                  <c:v>-0.28999999999999998</c:v>
                </c:pt>
                <c:pt idx="43">
                  <c:v>-0.33</c:v>
                </c:pt>
                <c:pt idx="44">
                  <c:v>-0.28999999999999998</c:v>
                </c:pt>
                <c:pt idx="45">
                  <c:v>0.12</c:v>
                </c:pt>
                <c:pt idx="46">
                  <c:v>0.31</c:v>
                </c:pt>
                <c:pt idx="47">
                  <c:v>0.19</c:v>
                </c:pt>
                <c:pt idx="48">
                  <c:v>0.46</c:v>
                </c:pt>
                <c:pt idx="49">
                  <c:v>0.55000000000000004</c:v>
                </c:pt>
                <c:pt idx="50">
                  <c:v>0.62</c:v>
                </c:pt>
                <c:pt idx="51">
                  <c:v>0.6</c:v>
                </c:pt>
                <c:pt idx="52">
                  <c:v>0.7</c:v>
                </c:pt>
                <c:pt idx="53">
                  <c:v>0.89</c:v>
                </c:pt>
                <c:pt idx="54">
                  <c:v>1.0900000000000001</c:v>
                </c:pt>
                <c:pt idx="55">
                  <c:v>1.26</c:v>
                </c:pt>
                <c:pt idx="56">
                  <c:v>1.34</c:v>
                </c:pt>
                <c:pt idx="57">
                  <c:v>1.44</c:v>
                </c:pt>
                <c:pt idx="58">
                  <c:v>1.49</c:v>
                </c:pt>
                <c:pt idx="59">
                  <c:v>1.52</c:v>
                </c:pt>
                <c:pt idx="60">
                  <c:v>1.66</c:v>
                </c:pt>
                <c:pt idx="61">
                  <c:v>1.74</c:v>
                </c:pt>
                <c:pt idx="62">
                  <c:v>1.71</c:v>
                </c:pt>
                <c:pt idx="63">
                  <c:v>1.63</c:v>
                </c:pt>
              </c:numCache>
            </c:numRef>
          </c:val>
          <c:smooth val="0"/>
          <c:extLst>
            <c:ext xmlns:c16="http://schemas.microsoft.com/office/drawing/2014/chart" uri="{C3380CC4-5D6E-409C-BE32-E72D297353CC}">
              <c16:uniqueId val="{00000001-1D07-4BCB-A28C-A23478592E2B}"/>
            </c:ext>
          </c:extLst>
        </c:ser>
        <c:ser>
          <c:idx val="1"/>
          <c:order val="2"/>
          <c:tx>
            <c:strRef>
              <c:f>'Měnové podmínky 1'!$D$5</c:f>
              <c:strCache>
                <c:ptCount val="1"/>
                <c:pt idx="0">
                  <c:v>PRIBOR (3M)</c:v>
                </c:pt>
              </c:strCache>
            </c:strRef>
          </c:tx>
          <c:spPr>
            <a:ln w="19050">
              <a:solidFill>
                <a:srgbClr val="0071BC"/>
              </a:solidFill>
            </a:ln>
          </c:spPr>
          <c:marker>
            <c:symbol val="none"/>
          </c:marker>
          <c:cat>
            <c:multiLvlStrRef>
              <c:f>'Měnové podmínky 1'!$A$30:$B$93</c:f>
              <c:multiLvlStrCache>
                <c:ptCount val="64"/>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lvl>
                <c:lvl>
                  <c:pt idx="0">
                    <c:v>2014</c:v>
                  </c:pt>
                  <c:pt idx="12">
                    <c:v>2015</c:v>
                  </c:pt>
                  <c:pt idx="24">
                    <c:v>2016</c:v>
                  </c:pt>
                  <c:pt idx="36">
                    <c:v>2017</c:v>
                  </c:pt>
                  <c:pt idx="48">
                    <c:v>2018</c:v>
                  </c:pt>
                  <c:pt idx="60">
                    <c:v>2019</c:v>
                  </c:pt>
                </c:lvl>
              </c:multiLvlStrCache>
            </c:multiLvlStrRef>
          </c:cat>
          <c:val>
            <c:numRef>
              <c:f>'Měnové podmínky 1'!$D$30:$D$93</c:f>
              <c:numCache>
                <c:formatCode>General</c:formatCode>
                <c:ptCount val="64"/>
                <c:pt idx="0">
                  <c:v>0.37</c:v>
                </c:pt>
                <c:pt idx="1">
                  <c:v>0.37</c:v>
                </c:pt>
                <c:pt idx="2">
                  <c:v>0.37</c:v>
                </c:pt>
                <c:pt idx="3">
                  <c:v>0.37</c:v>
                </c:pt>
                <c:pt idx="4">
                  <c:v>0.37</c:v>
                </c:pt>
                <c:pt idx="5">
                  <c:v>0.35</c:v>
                </c:pt>
                <c:pt idx="6">
                  <c:v>0.35</c:v>
                </c:pt>
                <c:pt idx="7">
                  <c:v>0.35</c:v>
                </c:pt>
                <c:pt idx="8">
                  <c:v>0.35</c:v>
                </c:pt>
                <c:pt idx="9">
                  <c:v>0.35</c:v>
                </c:pt>
                <c:pt idx="10">
                  <c:v>0.34</c:v>
                </c:pt>
                <c:pt idx="11">
                  <c:v>0.34</c:v>
                </c:pt>
                <c:pt idx="12">
                  <c:v>0.33</c:v>
                </c:pt>
                <c:pt idx="13">
                  <c:v>0.33</c:v>
                </c:pt>
                <c:pt idx="14">
                  <c:v>0.32</c:v>
                </c:pt>
                <c:pt idx="15">
                  <c:v>0.31</c:v>
                </c:pt>
                <c:pt idx="16">
                  <c:v>0.31</c:v>
                </c:pt>
                <c:pt idx="17">
                  <c:v>0.31</c:v>
                </c:pt>
                <c:pt idx="18">
                  <c:v>0.31</c:v>
                </c:pt>
                <c:pt idx="19">
                  <c:v>0.31</c:v>
                </c:pt>
                <c:pt idx="20">
                  <c:v>0.3</c:v>
                </c:pt>
                <c:pt idx="21">
                  <c:v>0.28999999999999998</c:v>
                </c:pt>
                <c:pt idx="22">
                  <c:v>0.28999999999999998</c:v>
                </c:pt>
                <c:pt idx="23">
                  <c:v>0.28999999999999998</c:v>
                </c:pt>
                <c:pt idx="24">
                  <c:v>0.28999999999999998</c:v>
                </c:pt>
                <c:pt idx="25">
                  <c:v>0.28000000000000003</c:v>
                </c:pt>
                <c:pt idx="26">
                  <c:v>0.28999999999999998</c:v>
                </c:pt>
                <c:pt idx="27">
                  <c:v>0.28999999999999998</c:v>
                </c:pt>
                <c:pt idx="28">
                  <c:v>0.28999999999999998</c:v>
                </c:pt>
                <c:pt idx="29">
                  <c:v>0.28999999999999998</c:v>
                </c:pt>
                <c:pt idx="30">
                  <c:v>0.28999999999999998</c:v>
                </c:pt>
                <c:pt idx="31">
                  <c:v>0.28999999999999998</c:v>
                </c:pt>
                <c:pt idx="32">
                  <c:v>0.28999999999999998</c:v>
                </c:pt>
                <c:pt idx="33">
                  <c:v>0.28999999999999998</c:v>
                </c:pt>
                <c:pt idx="34">
                  <c:v>0.28999999999999998</c:v>
                </c:pt>
                <c:pt idx="35">
                  <c:v>0.28999999999999998</c:v>
                </c:pt>
                <c:pt idx="36">
                  <c:v>0.28000000000000003</c:v>
                </c:pt>
                <c:pt idx="37">
                  <c:v>0.28000000000000003</c:v>
                </c:pt>
                <c:pt idx="38">
                  <c:v>0.28000000000000003</c:v>
                </c:pt>
                <c:pt idx="39">
                  <c:v>0.28999999999999998</c:v>
                </c:pt>
                <c:pt idx="40">
                  <c:v>0.3</c:v>
                </c:pt>
                <c:pt idx="41">
                  <c:v>0.3</c:v>
                </c:pt>
                <c:pt idx="42">
                  <c:v>0.3</c:v>
                </c:pt>
                <c:pt idx="43">
                  <c:v>0.43</c:v>
                </c:pt>
                <c:pt idx="44">
                  <c:v>0.46</c:v>
                </c:pt>
                <c:pt idx="45">
                  <c:v>0.51</c:v>
                </c:pt>
                <c:pt idx="46">
                  <c:v>0.71</c:v>
                </c:pt>
                <c:pt idx="47">
                  <c:v>0.75</c:v>
                </c:pt>
                <c:pt idx="48">
                  <c:v>0.77</c:v>
                </c:pt>
                <c:pt idx="49">
                  <c:v>0.9</c:v>
                </c:pt>
                <c:pt idx="50">
                  <c:v>0.9</c:v>
                </c:pt>
                <c:pt idx="51">
                  <c:v>0.9</c:v>
                </c:pt>
                <c:pt idx="52">
                  <c:v>0.9</c:v>
                </c:pt>
                <c:pt idx="53">
                  <c:v>0.93</c:v>
                </c:pt>
                <c:pt idx="54">
                  <c:v>1.18</c:v>
                </c:pt>
                <c:pt idx="55">
                  <c:v>1.45</c:v>
                </c:pt>
                <c:pt idx="56">
                  <c:v>1.54</c:v>
                </c:pt>
                <c:pt idx="57">
                  <c:v>1.76</c:v>
                </c:pt>
                <c:pt idx="58">
                  <c:v>1.99</c:v>
                </c:pt>
                <c:pt idx="59">
                  <c:v>2.0099999999999998</c:v>
                </c:pt>
                <c:pt idx="60">
                  <c:v>2.0099999999999998</c:v>
                </c:pt>
                <c:pt idx="61">
                  <c:v>2.0099999999999998</c:v>
                </c:pt>
                <c:pt idx="62">
                  <c:v>2.0299999999999998</c:v>
                </c:pt>
                <c:pt idx="63">
                  <c:v>2.02</c:v>
                </c:pt>
              </c:numCache>
            </c:numRef>
          </c:val>
          <c:smooth val="0"/>
          <c:extLst>
            <c:ext xmlns:c16="http://schemas.microsoft.com/office/drawing/2014/chart" uri="{C3380CC4-5D6E-409C-BE32-E72D297353CC}">
              <c16:uniqueId val="{00000002-1D07-4BCB-A28C-A23478592E2B}"/>
            </c:ext>
          </c:extLst>
        </c:ser>
        <c:ser>
          <c:idx val="4"/>
          <c:order val="3"/>
          <c:tx>
            <c:strRef>
              <c:f>'Měnové podmínky 1'!$G$5</c:f>
              <c:strCache>
                <c:ptCount val="1"/>
                <c:pt idx="0">
                  <c:v>Průměrný výnos státních dluhopisů (5Y)</c:v>
                </c:pt>
              </c:strCache>
            </c:strRef>
          </c:tx>
          <c:spPr>
            <a:ln w="19050">
              <a:solidFill>
                <a:srgbClr val="F8A124"/>
              </a:solidFill>
            </a:ln>
          </c:spPr>
          <c:marker>
            <c:symbol val="none"/>
          </c:marker>
          <c:cat>
            <c:multiLvlStrRef>
              <c:f>'Měnové podmínky 1'!$A$30:$B$93</c:f>
              <c:multiLvlStrCache>
                <c:ptCount val="64"/>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lvl>
                <c:lvl>
                  <c:pt idx="0">
                    <c:v>2014</c:v>
                  </c:pt>
                  <c:pt idx="12">
                    <c:v>2015</c:v>
                  </c:pt>
                  <c:pt idx="24">
                    <c:v>2016</c:v>
                  </c:pt>
                  <c:pt idx="36">
                    <c:v>2017</c:v>
                  </c:pt>
                  <c:pt idx="48">
                    <c:v>2018</c:v>
                  </c:pt>
                  <c:pt idx="60">
                    <c:v>2019</c:v>
                  </c:pt>
                </c:lvl>
              </c:multiLvlStrCache>
            </c:multiLvlStrRef>
          </c:cat>
          <c:val>
            <c:numRef>
              <c:f>'Měnové podmínky 1'!$G$30:$G$93</c:f>
              <c:numCache>
                <c:formatCode>General</c:formatCode>
                <c:ptCount val="64"/>
                <c:pt idx="0">
                  <c:v>1.0900000000000001</c:v>
                </c:pt>
                <c:pt idx="1">
                  <c:v>1.2</c:v>
                </c:pt>
                <c:pt idx="2">
                  <c:v>1.1399999999999999</c:v>
                </c:pt>
                <c:pt idx="3">
                  <c:v>0.99</c:v>
                </c:pt>
                <c:pt idx="4">
                  <c:v>0.8</c:v>
                </c:pt>
                <c:pt idx="5">
                  <c:v>0.68</c:v>
                </c:pt>
                <c:pt idx="6">
                  <c:v>0.65</c:v>
                </c:pt>
                <c:pt idx="7">
                  <c:v>0.62</c:v>
                </c:pt>
                <c:pt idx="8">
                  <c:v>0.51</c:v>
                </c:pt>
                <c:pt idx="9">
                  <c:v>0.37</c:v>
                </c:pt>
                <c:pt idx="10">
                  <c:v>0.24</c:v>
                </c:pt>
                <c:pt idx="11">
                  <c:v>0.22</c:v>
                </c:pt>
                <c:pt idx="12">
                  <c:v>0.13</c:v>
                </c:pt>
                <c:pt idx="13">
                  <c:v>0.17</c:v>
                </c:pt>
                <c:pt idx="14">
                  <c:v>0.14000000000000001</c:v>
                </c:pt>
                <c:pt idx="15">
                  <c:v>0.05</c:v>
                </c:pt>
                <c:pt idx="16">
                  <c:v>0.22</c:v>
                </c:pt>
                <c:pt idx="17">
                  <c:v>0.43</c:v>
                </c:pt>
                <c:pt idx="18">
                  <c:v>0.35</c:v>
                </c:pt>
                <c:pt idx="19">
                  <c:v>0.2</c:v>
                </c:pt>
                <c:pt idx="20">
                  <c:v>0.06</c:v>
                </c:pt>
                <c:pt idx="21">
                  <c:v>-0.05</c:v>
                </c:pt>
                <c:pt idx="22">
                  <c:v>-0.05</c:v>
                </c:pt>
                <c:pt idx="23">
                  <c:v>-0.11</c:v>
                </c:pt>
                <c:pt idx="24">
                  <c:v>0.04</c:v>
                </c:pt>
                <c:pt idx="25">
                  <c:v>-0.08</c:v>
                </c:pt>
                <c:pt idx="26">
                  <c:v>-0.1</c:v>
                </c:pt>
                <c:pt idx="27">
                  <c:v>0.04</c:v>
                </c:pt>
                <c:pt idx="28">
                  <c:v>7.0000000000000007E-2</c:v>
                </c:pt>
                <c:pt idx="29">
                  <c:v>0.05</c:v>
                </c:pt>
                <c:pt idx="30">
                  <c:v>-0.02</c:v>
                </c:pt>
                <c:pt idx="31">
                  <c:v>-0.09</c:v>
                </c:pt>
                <c:pt idx="32">
                  <c:v>-0.19</c:v>
                </c:pt>
                <c:pt idx="33">
                  <c:v>-0.17</c:v>
                </c:pt>
                <c:pt idx="34">
                  <c:v>-0.17</c:v>
                </c:pt>
                <c:pt idx="35">
                  <c:v>-0.21</c:v>
                </c:pt>
                <c:pt idx="36">
                  <c:v>-0.22</c:v>
                </c:pt>
                <c:pt idx="37">
                  <c:v>0.09</c:v>
                </c:pt>
                <c:pt idx="38">
                  <c:v>0.1</c:v>
                </c:pt>
                <c:pt idx="39">
                  <c:v>0.16</c:v>
                </c:pt>
                <c:pt idx="40">
                  <c:v>0.04</c:v>
                </c:pt>
                <c:pt idx="41">
                  <c:v>-0.03</c:v>
                </c:pt>
                <c:pt idx="42">
                  <c:v>0.14000000000000001</c:v>
                </c:pt>
                <c:pt idx="43">
                  <c:v>0.09</c:v>
                </c:pt>
                <c:pt idx="44">
                  <c:v>0.1</c:v>
                </c:pt>
                <c:pt idx="45">
                  <c:v>0.63</c:v>
                </c:pt>
                <c:pt idx="46">
                  <c:v>0.87</c:v>
                </c:pt>
                <c:pt idx="47">
                  <c:v>0.68</c:v>
                </c:pt>
                <c:pt idx="48">
                  <c:v>0.99</c:v>
                </c:pt>
                <c:pt idx="49">
                  <c:v>1.07</c:v>
                </c:pt>
                <c:pt idx="50">
                  <c:v>1.0900000000000001</c:v>
                </c:pt>
                <c:pt idx="51">
                  <c:v>1.05</c:v>
                </c:pt>
                <c:pt idx="52">
                  <c:v>1.21</c:v>
                </c:pt>
                <c:pt idx="53">
                  <c:v>1.41</c:v>
                </c:pt>
                <c:pt idx="54">
                  <c:v>1.44</c:v>
                </c:pt>
                <c:pt idx="55">
                  <c:v>1.55</c:v>
                </c:pt>
                <c:pt idx="56">
                  <c:v>1.7</c:v>
                </c:pt>
                <c:pt idx="57">
                  <c:v>1.81</c:v>
                </c:pt>
                <c:pt idx="58">
                  <c:v>1.79</c:v>
                </c:pt>
                <c:pt idx="59">
                  <c:v>1.71</c:v>
                </c:pt>
                <c:pt idx="60">
                  <c:v>1.6</c:v>
                </c:pt>
                <c:pt idx="61">
                  <c:v>1.61</c:v>
                </c:pt>
                <c:pt idx="62">
                  <c:v>1.7</c:v>
                </c:pt>
                <c:pt idx="63">
                  <c:v>1.63</c:v>
                </c:pt>
              </c:numCache>
            </c:numRef>
          </c:val>
          <c:smooth val="0"/>
          <c:extLst>
            <c:ext xmlns:c16="http://schemas.microsoft.com/office/drawing/2014/chart" uri="{C3380CC4-5D6E-409C-BE32-E72D297353CC}">
              <c16:uniqueId val="{00000003-1D07-4BCB-A28C-A23478592E2B}"/>
            </c:ext>
          </c:extLst>
        </c:ser>
        <c:ser>
          <c:idx val="2"/>
          <c:order val="4"/>
          <c:tx>
            <c:strRef>
              <c:f>'Měnové podmínky 1'!$E$5</c:f>
              <c:strCache>
                <c:ptCount val="1"/>
                <c:pt idx="0">
                  <c:v>PRIBOR (1Y)</c:v>
                </c:pt>
              </c:strCache>
            </c:strRef>
          </c:tx>
          <c:spPr>
            <a:ln w="19050">
              <a:solidFill>
                <a:srgbClr val="BD1B21"/>
              </a:solidFill>
            </a:ln>
          </c:spPr>
          <c:marker>
            <c:symbol val="none"/>
          </c:marker>
          <c:cat>
            <c:multiLvlStrRef>
              <c:f>'Měnové podmínky 1'!$A$30:$B$93</c:f>
              <c:multiLvlStrCache>
                <c:ptCount val="64"/>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lvl>
                <c:lvl>
                  <c:pt idx="0">
                    <c:v>2014</c:v>
                  </c:pt>
                  <c:pt idx="12">
                    <c:v>2015</c:v>
                  </c:pt>
                  <c:pt idx="24">
                    <c:v>2016</c:v>
                  </c:pt>
                  <c:pt idx="36">
                    <c:v>2017</c:v>
                  </c:pt>
                  <c:pt idx="48">
                    <c:v>2018</c:v>
                  </c:pt>
                  <c:pt idx="60">
                    <c:v>2019</c:v>
                  </c:pt>
                </c:lvl>
              </c:multiLvlStrCache>
            </c:multiLvlStrRef>
          </c:cat>
          <c:val>
            <c:numRef>
              <c:f>'Měnové podmínky 1'!$E$30:$E$93</c:f>
              <c:numCache>
                <c:formatCode>General</c:formatCode>
                <c:ptCount val="64"/>
                <c:pt idx="0">
                  <c:v>0.57999999999999996</c:v>
                </c:pt>
                <c:pt idx="1">
                  <c:v>0.55000000000000004</c:v>
                </c:pt>
                <c:pt idx="2">
                  <c:v>0.55000000000000004</c:v>
                </c:pt>
                <c:pt idx="3">
                  <c:v>0.55000000000000004</c:v>
                </c:pt>
                <c:pt idx="4">
                  <c:v>0.54</c:v>
                </c:pt>
                <c:pt idx="5">
                  <c:v>0.53</c:v>
                </c:pt>
                <c:pt idx="6">
                  <c:v>0.52</c:v>
                </c:pt>
                <c:pt idx="7">
                  <c:v>0.52</c:v>
                </c:pt>
                <c:pt idx="8">
                  <c:v>0.52</c:v>
                </c:pt>
                <c:pt idx="9">
                  <c:v>0.52</c:v>
                </c:pt>
                <c:pt idx="10">
                  <c:v>0.51</c:v>
                </c:pt>
                <c:pt idx="11">
                  <c:v>0.51</c:v>
                </c:pt>
                <c:pt idx="12">
                  <c:v>0.51</c:v>
                </c:pt>
                <c:pt idx="13">
                  <c:v>0.51</c:v>
                </c:pt>
                <c:pt idx="14">
                  <c:v>0.49</c:v>
                </c:pt>
                <c:pt idx="15">
                  <c:v>0.48</c:v>
                </c:pt>
                <c:pt idx="16">
                  <c:v>0.48</c:v>
                </c:pt>
                <c:pt idx="17">
                  <c:v>0.48</c:v>
                </c:pt>
                <c:pt idx="18">
                  <c:v>0.48</c:v>
                </c:pt>
                <c:pt idx="19">
                  <c:v>0.48</c:v>
                </c:pt>
                <c:pt idx="20">
                  <c:v>0.47</c:v>
                </c:pt>
                <c:pt idx="21">
                  <c:v>0.46</c:v>
                </c:pt>
                <c:pt idx="22">
                  <c:v>0.46</c:v>
                </c:pt>
                <c:pt idx="23">
                  <c:v>0.46</c:v>
                </c:pt>
                <c:pt idx="24">
                  <c:v>0.45</c:v>
                </c:pt>
                <c:pt idx="25">
                  <c:v>0.45</c:v>
                </c:pt>
                <c:pt idx="26">
                  <c:v>0.45</c:v>
                </c:pt>
                <c:pt idx="27">
                  <c:v>0.45</c:v>
                </c:pt>
                <c:pt idx="28">
                  <c:v>0.45</c:v>
                </c:pt>
                <c:pt idx="29">
                  <c:v>0.45</c:v>
                </c:pt>
                <c:pt idx="30">
                  <c:v>0.45</c:v>
                </c:pt>
                <c:pt idx="31">
                  <c:v>0.45</c:v>
                </c:pt>
                <c:pt idx="32">
                  <c:v>0.45</c:v>
                </c:pt>
                <c:pt idx="33">
                  <c:v>0.45</c:v>
                </c:pt>
                <c:pt idx="34">
                  <c:v>0.45</c:v>
                </c:pt>
                <c:pt idx="35">
                  <c:v>0.45</c:v>
                </c:pt>
                <c:pt idx="36">
                  <c:v>0.44</c:v>
                </c:pt>
                <c:pt idx="37">
                  <c:v>0.44</c:v>
                </c:pt>
                <c:pt idx="38">
                  <c:v>0.44</c:v>
                </c:pt>
                <c:pt idx="39">
                  <c:v>0.45</c:v>
                </c:pt>
                <c:pt idx="40">
                  <c:v>0.46</c:v>
                </c:pt>
                <c:pt idx="41">
                  <c:v>0.46</c:v>
                </c:pt>
                <c:pt idx="42">
                  <c:v>0.47</c:v>
                </c:pt>
                <c:pt idx="43">
                  <c:v>0.6</c:v>
                </c:pt>
                <c:pt idx="44">
                  <c:v>0.64</c:v>
                </c:pt>
                <c:pt idx="45">
                  <c:v>0.69</c:v>
                </c:pt>
                <c:pt idx="46">
                  <c:v>0.91</c:v>
                </c:pt>
                <c:pt idx="47">
                  <c:v>0.96</c:v>
                </c:pt>
                <c:pt idx="48">
                  <c:v>0.98</c:v>
                </c:pt>
                <c:pt idx="49">
                  <c:v>1.1100000000000001</c:v>
                </c:pt>
                <c:pt idx="50">
                  <c:v>1.1200000000000001</c:v>
                </c:pt>
                <c:pt idx="51">
                  <c:v>1.1200000000000001</c:v>
                </c:pt>
                <c:pt idx="52">
                  <c:v>1.1200000000000001</c:v>
                </c:pt>
                <c:pt idx="53">
                  <c:v>1.1499999999999999</c:v>
                </c:pt>
                <c:pt idx="54">
                  <c:v>1.39</c:v>
                </c:pt>
                <c:pt idx="55">
                  <c:v>1.67</c:v>
                </c:pt>
                <c:pt idx="56">
                  <c:v>1.79</c:v>
                </c:pt>
                <c:pt idx="57">
                  <c:v>1.95</c:v>
                </c:pt>
                <c:pt idx="58">
                  <c:v>2.1800000000000002</c:v>
                </c:pt>
                <c:pt idx="59">
                  <c:v>2.21</c:v>
                </c:pt>
                <c:pt idx="60">
                  <c:v>2.21</c:v>
                </c:pt>
                <c:pt idx="61">
                  <c:v>2.2000000000000002</c:v>
                </c:pt>
                <c:pt idx="62">
                  <c:v>2.2000000000000002</c:v>
                </c:pt>
                <c:pt idx="63">
                  <c:v>2.21</c:v>
                </c:pt>
              </c:numCache>
            </c:numRef>
          </c:val>
          <c:smooth val="0"/>
          <c:extLst>
            <c:ext xmlns:c16="http://schemas.microsoft.com/office/drawing/2014/chart" uri="{C3380CC4-5D6E-409C-BE32-E72D297353CC}">
              <c16:uniqueId val="{00000004-1D07-4BCB-A28C-A23478592E2B}"/>
            </c:ext>
          </c:extLst>
        </c:ser>
        <c:ser>
          <c:idx val="5"/>
          <c:order val="5"/>
          <c:tx>
            <c:strRef>
              <c:f>'Měnové podmínky 1'!$H$5</c:f>
              <c:strCache>
                <c:ptCount val="1"/>
                <c:pt idx="0">
                  <c:v>Průměrný výnos státních dluhopisů (10Y)</c:v>
                </c:pt>
              </c:strCache>
            </c:strRef>
          </c:tx>
          <c:spPr>
            <a:ln w="19050">
              <a:solidFill>
                <a:srgbClr val="48AEE7"/>
              </a:solidFill>
            </a:ln>
          </c:spPr>
          <c:marker>
            <c:symbol val="none"/>
          </c:marker>
          <c:cat>
            <c:multiLvlStrRef>
              <c:f>'Měnové podmínky 1'!$A$30:$B$93</c:f>
              <c:multiLvlStrCache>
                <c:ptCount val="64"/>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lvl>
                <c:lvl>
                  <c:pt idx="0">
                    <c:v>2014</c:v>
                  </c:pt>
                  <c:pt idx="12">
                    <c:v>2015</c:v>
                  </c:pt>
                  <c:pt idx="24">
                    <c:v>2016</c:v>
                  </c:pt>
                  <c:pt idx="36">
                    <c:v>2017</c:v>
                  </c:pt>
                  <c:pt idx="48">
                    <c:v>2018</c:v>
                  </c:pt>
                  <c:pt idx="60">
                    <c:v>2019</c:v>
                  </c:pt>
                </c:lvl>
              </c:multiLvlStrCache>
            </c:multiLvlStrRef>
          </c:cat>
          <c:val>
            <c:numRef>
              <c:f>'Měnové podmínky 1'!$H$30:$H$93</c:f>
              <c:numCache>
                <c:formatCode>General</c:formatCode>
                <c:ptCount val="64"/>
                <c:pt idx="0">
                  <c:v>2.4300000000000002</c:v>
                </c:pt>
                <c:pt idx="1">
                  <c:v>2.2799999999999998</c:v>
                </c:pt>
                <c:pt idx="2">
                  <c:v>2.2000000000000002</c:v>
                </c:pt>
                <c:pt idx="3">
                  <c:v>2</c:v>
                </c:pt>
                <c:pt idx="4">
                  <c:v>1.73</c:v>
                </c:pt>
                <c:pt idx="5">
                  <c:v>1.55</c:v>
                </c:pt>
                <c:pt idx="6">
                  <c:v>1.49</c:v>
                </c:pt>
                <c:pt idx="7">
                  <c:v>1.38</c:v>
                </c:pt>
                <c:pt idx="8">
                  <c:v>1.21</c:v>
                </c:pt>
                <c:pt idx="9">
                  <c:v>1.1000000000000001</c:v>
                </c:pt>
                <c:pt idx="10">
                  <c:v>0.87</c:v>
                </c:pt>
                <c:pt idx="11">
                  <c:v>0.67</c:v>
                </c:pt>
                <c:pt idx="12">
                  <c:v>0.35</c:v>
                </c:pt>
                <c:pt idx="13">
                  <c:v>0.4</c:v>
                </c:pt>
                <c:pt idx="14">
                  <c:v>0.35</c:v>
                </c:pt>
                <c:pt idx="15">
                  <c:v>0.26</c:v>
                </c:pt>
                <c:pt idx="16">
                  <c:v>0.6</c:v>
                </c:pt>
                <c:pt idx="17">
                  <c:v>1.01</c:v>
                </c:pt>
                <c:pt idx="18">
                  <c:v>0.97</c:v>
                </c:pt>
                <c:pt idx="19">
                  <c:v>0.74</c:v>
                </c:pt>
                <c:pt idx="20">
                  <c:v>0.68</c:v>
                </c:pt>
                <c:pt idx="21">
                  <c:v>0.56000000000000005</c:v>
                </c:pt>
                <c:pt idx="22">
                  <c:v>0.49</c:v>
                </c:pt>
                <c:pt idx="23">
                  <c:v>0.49</c:v>
                </c:pt>
                <c:pt idx="24">
                  <c:v>0.62</c:v>
                </c:pt>
                <c:pt idx="25">
                  <c:v>0.46</c:v>
                </c:pt>
                <c:pt idx="26">
                  <c:v>0.35</c:v>
                </c:pt>
                <c:pt idx="27">
                  <c:v>0.43</c:v>
                </c:pt>
                <c:pt idx="28">
                  <c:v>0.46</c:v>
                </c:pt>
                <c:pt idx="29">
                  <c:v>0.45</c:v>
                </c:pt>
                <c:pt idx="30">
                  <c:v>0.37</c:v>
                </c:pt>
                <c:pt idx="31">
                  <c:v>0.28999999999999998</c:v>
                </c:pt>
                <c:pt idx="32">
                  <c:v>0.25</c:v>
                </c:pt>
                <c:pt idx="33">
                  <c:v>0.37</c:v>
                </c:pt>
                <c:pt idx="34">
                  <c:v>0.55000000000000004</c:v>
                </c:pt>
                <c:pt idx="35">
                  <c:v>0.53</c:v>
                </c:pt>
                <c:pt idx="36">
                  <c:v>0.47</c:v>
                </c:pt>
                <c:pt idx="37">
                  <c:v>0.63</c:v>
                </c:pt>
                <c:pt idx="38">
                  <c:v>0.87</c:v>
                </c:pt>
                <c:pt idx="39">
                  <c:v>0.96</c:v>
                </c:pt>
                <c:pt idx="40">
                  <c:v>0.74</c:v>
                </c:pt>
                <c:pt idx="41">
                  <c:v>0.77</c:v>
                </c:pt>
                <c:pt idx="42">
                  <c:v>0.9</c:v>
                </c:pt>
                <c:pt idx="43">
                  <c:v>0.83</c:v>
                </c:pt>
                <c:pt idx="44">
                  <c:v>0.97</c:v>
                </c:pt>
                <c:pt idx="45">
                  <c:v>1.45</c:v>
                </c:pt>
                <c:pt idx="46">
                  <c:v>1.68</c:v>
                </c:pt>
                <c:pt idx="47">
                  <c:v>1.5</c:v>
                </c:pt>
                <c:pt idx="48">
                  <c:v>1.77</c:v>
                </c:pt>
                <c:pt idx="49">
                  <c:v>1.82</c:v>
                </c:pt>
                <c:pt idx="50">
                  <c:v>1.81</c:v>
                </c:pt>
                <c:pt idx="51">
                  <c:v>1.74</c:v>
                </c:pt>
                <c:pt idx="52">
                  <c:v>1.89</c:v>
                </c:pt>
                <c:pt idx="53">
                  <c:v>2.14</c:v>
                </c:pt>
                <c:pt idx="54">
                  <c:v>2.11</c:v>
                </c:pt>
                <c:pt idx="55">
                  <c:v>2.14</c:v>
                </c:pt>
                <c:pt idx="56">
                  <c:v>2.14</c:v>
                </c:pt>
                <c:pt idx="57">
                  <c:v>2.14</c:v>
                </c:pt>
                <c:pt idx="58">
                  <c:v>2.0699999999999998</c:v>
                </c:pt>
                <c:pt idx="59">
                  <c:v>2.0099999999999998</c:v>
                </c:pt>
                <c:pt idx="60">
                  <c:v>1.85</c:v>
                </c:pt>
                <c:pt idx="61">
                  <c:v>1.76</c:v>
                </c:pt>
                <c:pt idx="62">
                  <c:v>1.82</c:v>
                </c:pt>
                <c:pt idx="63">
                  <c:v>1.82</c:v>
                </c:pt>
              </c:numCache>
            </c:numRef>
          </c:val>
          <c:smooth val="0"/>
          <c:extLst>
            <c:ext xmlns:c16="http://schemas.microsoft.com/office/drawing/2014/chart" uri="{C3380CC4-5D6E-409C-BE32-E72D297353CC}">
              <c16:uniqueId val="{00000005-1D07-4BCB-A28C-A23478592E2B}"/>
            </c:ext>
          </c:extLst>
        </c:ser>
        <c:dLbls>
          <c:showLegendKey val="0"/>
          <c:showVal val="0"/>
          <c:showCatName val="0"/>
          <c:showSerName val="0"/>
          <c:showPercent val="0"/>
          <c:showBubbleSize val="0"/>
        </c:dLbls>
        <c:marker val="1"/>
        <c:smooth val="0"/>
        <c:axId val="271742464"/>
        <c:axId val="271744000"/>
      </c:lineChart>
      <c:catAx>
        <c:axId val="271742464"/>
        <c:scaling>
          <c:orientation val="minMax"/>
        </c:scaling>
        <c:delete val="0"/>
        <c:axPos val="b"/>
        <c:numFmt formatCode="General" sourceLinked="0"/>
        <c:majorTickMark val="out"/>
        <c:minorTickMark val="none"/>
        <c:tickLblPos val="low"/>
        <c:spPr>
          <a:ln>
            <a:solidFill>
              <a:schemeClr val="tx1"/>
            </a:solidFill>
          </a:ln>
        </c:spPr>
        <c:crossAx val="271744000"/>
        <c:crosses val="autoZero"/>
        <c:auto val="1"/>
        <c:lblAlgn val="ctr"/>
        <c:lblOffset val="100"/>
        <c:noMultiLvlLbl val="0"/>
      </c:catAx>
      <c:valAx>
        <c:axId val="271744000"/>
        <c:scaling>
          <c:orientation val="minMax"/>
          <c:min val="-1"/>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71742464"/>
        <c:crosses val="autoZero"/>
        <c:crossBetween val="between"/>
        <c:majorUnit val="1"/>
      </c:valAx>
      <c:spPr>
        <a:ln>
          <a:solidFill>
            <a:schemeClr val="tx1"/>
          </a:solidFill>
        </a:ln>
      </c:spPr>
    </c:plotArea>
    <c:legend>
      <c:legendPos val="b"/>
      <c:layout>
        <c:manualLayout>
          <c:xMode val="edge"/>
          <c:yMode val="edge"/>
          <c:x val="4.2139690982776534E-2"/>
          <c:y val="0.87558269120103249"/>
          <c:w val="0.93886651469098281"/>
          <c:h val="0.11015705924459968"/>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51F26-5A2F-4066-999A-B49ED02A691D}">
  <ds:schemaRefs>
    <ds:schemaRef ds:uri="http://schemas.openxmlformats.org/officeDocument/2006/bibliography"/>
  </ds:schemaRefs>
</ds:datastoreItem>
</file>

<file path=customXml/itemProps2.xml><?xml version="1.0" encoding="utf-8"?>
<ds:datastoreItem xmlns:ds="http://schemas.openxmlformats.org/officeDocument/2006/customXml" ds:itemID="{83A4A5F7-FD51-4754-BD63-E6061D552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7</TotalTime>
  <Pages>2</Pages>
  <Words>825</Words>
  <Characters>4874</Characters>
  <Application>Microsoft Office Word</Application>
  <DocSecurity>0</DocSecurity>
  <Lines>40</Lines>
  <Paragraphs>11</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5688</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Karolína Súkupová</dc:creator>
  <cp:lastModifiedBy>Mgr. Karolína Zábojníková</cp:lastModifiedBy>
  <cp:revision>5</cp:revision>
  <cp:lastPrinted>2019-04-08T10:52:00Z</cp:lastPrinted>
  <dcterms:created xsi:type="dcterms:W3CDTF">2019-06-13T09:58:00Z</dcterms:created>
  <dcterms:modified xsi:type="dcterms:W3CDTF">2019-06-13T10:25:00Z</dcterms:modified>
</cp:coreProperties>
</file>