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88C87" w14:textId="77777777" w:rsidR="00B4411A" w:rsidRDefault="00935BD4" w:rsidP="000D3058">
      <w:pPr>
        <w:pStyle w:val="Nadpis11"/>
      </w:pPr>
      <w:bookmarkStart w:id="0" w:name="_Toc11237636"/>
      <w:r w:rsidRPr="009110F7">
        <w:t>6</w:t>
      </w:r>
      <w:r w:rsidR="000D3058" w:rsidRPr="009110F7">
        <w:t xml:space="preserve">. </w:t>
      </w:r>
      <w:r w:rsidRPr="009110F7">
        <w:t>Trh práce</w:t>
      </w:r>
      <w:bookmarkEnd w:id="0"/>
    </w:p>
    <w:tbl>
      <w:tblPr>
        <w:tblW w:w="9654" w:type="dxa"/>
        <w:tblInd w:w="-30" w:type="dxa"/>
        <w:tblCellMar>
          <w:left w:w="0" w:type="dxa"/>
          <w:right w:w="0" w:type="dxa"/>
        </w:tblCellMar>
        <w:tblLook w:val="00A0" w:firstRow="1" w:lastRow="0" w:firstColumn="1" w:lastColumn="0" w:noHBand="0" w:noVBand="0"/>
      </w:tblPr>
      <w:tblGrid>
        <w:gridCol w:w="1790"/>
        <w:gridCol w:w="14"/>
        <w:gridCol w:w="202"/>
        <w:gridCol w:w="30"/>
        <w:gridCol w:w="7618"/>
      </w:tblGrid>
      <w:tr w:rsidR="00003849" w14:paraId="3F5F95EC" w14:textId="77777777" w:rsidTr="000A3D9E">
        <w:trPr>
          <w:trHeight w:val="145"/>
        </w:trPr>
        <w:tc>
          <w:tcPr>
            <w:tcW w:w="1790" w:type="dxa"/>
            <w:shd w:val="clear" w:color="auto" w:fill="auto"/>
            <w:tcMar>
              <w:left w:w="0" w:type="dxa"/>
            </w:tcMar>
          </w:tcPr>
          <w:p w14:paraId="5C740004" w14:textId="77777777" w:rsidR="00003849" w:rsidRDefault="00003849" w:rsidP="000A3D9E">
            <w:pPr>
              <w:pStyle w:val="Marginlie"/>
            </w:pPr>
            <w:r>
              <w:t xml:space="preserve">Údaje v 1. čtvrtletí 2019 dřívější obavy z výraznějšího zvolnění růstu zaměstnanosti nepotvrdily. </w:t>
            </w:r>
          </w:p>
          <w:p w14:paraId="693185A6" w14:textId="77777777" w:rsidR="00003849" w:rsidRDefault="00003849" w:rsidP="000A3D9E">
            <w:pPr>
              <w:pStyle w:val="Marginlie"/>
            </w:pPr>
          </w:p>
          <w:p w14:paraId="2BE1163C" w14:textId="77777777" w:rsidR="00003849" w:rsidRDefault="00003849" w:rsidP="000A3D9E">
            <w:pPr>
              <w:pStyle w:val="Marginlie"/>
            </w:pPr>
          </w:p>
          <w:p w14:paraId="751EC8F8" w14:textId="77777777" w:rsidR="00003849" w:rsidRDefault="00003849" w:rsidP="000A3D9E">
            <w:pPr>
              <w:pStyle w:val="Marginlie"/>
            </w:pPr>
          </w:p>
          <w:p w14:paraId="3910D5BE" w14:textId="77777777" w:rsidR="00003849" w:rsidRDefault="00003849" w:rsidP="000A3D9E">
            <w:pPr>
              <w:pStyle w:val="Marginlie"/>
            </w:pPr>
          </w:p>
          <w:p w14:paraId="55E4B968" w14:textId="77777777" w:rsidR="00003849" w:rsidRDefault="00003849" w:rsidP="000A3D9E">
            <w:pPr>
              <w:pStyle w:val="Marginlie"/>
            </w:pPr>
            <w:r>
              <w:t>Nedostatek pracovní síly zůstává nejvýznamnější bariérou růstu podniků zejména v sekundárním sektoru.</w:t>
            </w:r>
          </w:p>
        </w:tc>
        <w:tc>
          <w:tcPr>
            <w:tcW w:w="216" w:type="dxa"/>
            <w:gridSpan w:val="2"/>
            <w:shd w:val="clear" w:color="auto" w:fill="auto"/>
            <w:tcMar>
              <w:left w:w="0" w:type="dxa"/>
            </w:tcMar>
          </w:tcPr>
          <w:p w14:paraId="42A9AD63"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26D8A4E" w14:textId="581068E6" w:rsidR="00003849" w:rsidRDefault="00003849" w:rsidP="000A3D9E">
            <w:pPr>
              <w:spacing w:after="220"/>
              <w:rPr>
                <w:spacing w:val="-2"/>
              </w:rPr>
            </w:pPr>
            <w:r>
              <w:rPr>
                <w:spacing w:val="-2"/>
              </w:rPr>
              <w:t xml:space="preserve">Na tuzemském pracovním trhu přetrvávalo i v 1. čtvrtletí napětí pramenící </w:t>
            </w:r>
            <w:r w:rsidR="001C6B3B">
              <w:rPr>
                <w:spacing w:val="-2"/>
              </w:rPr>
              <w:t xml:space="preserve">z </w:t>
            </w:r>
            <w:r>
              <w:rPr>
                <w:spacing w:val="-2"/>
              </w:rPr>
              <w:t xml:space="preserve">nerovnováhy mezi nabídkou a poptávkou po pracovní síle. Z tohoto stavu profitovali jak stávající zaměstnanci hledající lepší pracovní uplatnění, tak nezaměstnaní a část ekonomicky neaktivních, kteří mohli snáze nalézt práci. Počet </w:t>
            </w:r>
            <w:r w:rsidRPr="00D175A7">
              <w:rPr>
                <w:spacing w:val="-2"/>
              </w:rPr>
              <w:t>pracovníků</w:t>
            </w:r>
            <w:r w:rsidRPr="00D175A7">
              <w:rPr>
                <w:rStyle w:val="Znakapoznpodarou"/>
                <w:color w:val="0D0D0D" w:themeColor="text1" w:themeTint="F2"/>
                <w:spacing w:val="-2"/>
              </w:rPr>
              <w:footnoteReference w:id="1"/>
            </w:r>
            <w:r>
              <w:rPr>
                <w:spacing w:val="-2"/>
              </w:rPr>
              <w:t xml:space="preserve"> opět ustanovil nový rekord v éře samostatné ČR (5,48 mil.). Meziročně byl vyšší o 1,4</w:t>
            </w:r>
            <w:r w:rsidR="00870ECD">
              <w:rPr>
                <w:spacing w:val="-2"/>
              </w:rPr>
              <w:t> %</w:t>
            </w:r>
            <w:r>
              <w:rPr>
                <w:spacing w:val="-2"/>
              </w:rPr>
              <w:t>, oproti poslední čtvrtině loňského roku pak o 0,5</w:t>
            </w:r>
            <w:r w:rsidR="00870ECD">
              <w:rPr>
                <w:spacing w:val="-2"/>
              </w:rPr>
              <w:t> %</w:t>
            </w:r>
            <w:r>
              <w:rPr>
                <w:spacing w:val="-2"/>
              </w:rPr>
              <w:t>. Náznaky citelnějš</w:t>
            </w:r>
            <w:r w:rsidR="001C6B3B">
              <w:rPr>
                <w:spacing w:val="-2"/>
              </w:rPr>
              <w:t>ího zvolnění růstu, které byly signalizovány výsledky mj. i konju</w:t>
            </w:r>
            <w:r w:rsidR="005F7174">
              <w:rPr>
                <w:spacing w:val="-2"/>
              </w:rPr>
              <w:t>n</w:t>
            </w:r>
            <w:r w:rsidR="001C6B3B">
              <w:rPr>
                <w:spacing w:val="-2"/>
              </w:rPr>
              <w:t>kturálních průzkumů ve druhé polovině loňského roku</w:t>
            </w:r>
            <w:r>
              <w:rPr>
                <w:spacing w:val="-2"/>
              </w:rPr>
              <w:t>, se tak prozatím nepotvrdily. Situace se ale lišila mezi odvětvími. Zatímco v průmyslu se krátkodobá očekávání zaměstnanosti</w:t>
            </w:r>
            <w:r w:rsidRPr="00D175A7">
              <w:rPr>
                <w:rStyle w:val="Znakapoznpodarou"/>
                <w:color w:val="0D0D0D" w:themeColor="text1" w:themeTint="F2"/>
                <w:spacing w:val="-2"/>
              </w:rPr>
              <w:footnoteReference w:id="2"/>
            </w:r>
            <w:r>
              <w:rPr>
                <w:spacing w:val="-2"/>
              </w:rPr>
              <w:t xml:space="preserve"> nadále snižovala (až do mírně záporného pásma, nejníže od počátku roku 2014), v tržních službách</w:t>
            </w:r>
            <w:r w:rsidRPr="00D175A7">
              <w:rPr>
                <w:rStyle w:val="Znakapoznpodarou"/>
                <w:color w:val="0D0D0D" w:themeColor="text1" w:themeTint="F2"/>
                <w:spacing w:val="-2"/>
              </w:rPr>
              <w:footnoteReference w:id="3"/>
            </w:r>
            <w:r>
              <w:rPr>
                <w:spacing w:val="-2"/>
              </w:rPr>
              <w:t xml:space="preserve"> (vč. obchodu) došlo v 1. čtvrtletí ke stabilizaci</w:t>
            </w:r>
            <w:r w:rsidR="00EE460E">
              <w:rPr>
                <w:spacing w:val="-2"/>
              </w:rPr>
              <w:t>,</w:t>
            </w:r>
            <w:r>
              <w:rPr>
                <w:spacing w:val="-2"/>
              </w:rPr>
              <w:t xml:space="preserve"> a</w:t>
            </w:r>
            <w:r w:rsidR="00EE460E">
              <w:rPr>
                <w:spacing w:val="-2"/>
              </w:rPr>
              <w:t> </w:t>
            </w:r>
            <w:r>
              <w:rPr>
                <w:spacing w:val="-2"/>
              </w:rPr>
              <w:t>ve stavebnictví dokonce pozitivní vyhlídky dále sílily. Podíl podniků považujících nedostatek pracovní síly za významnou bariéru svého růstu od počátku letošního roku mírně klesl, nadále ale zůstal na prahu 2. čtvrtletí vysoký – zejména v průmyslu (36</w:t>
            </w:r>
            <w:r w:rsidR="00870ECD">
              <w:rPr>
                <w:spacing w:val="-2"/>
              </w:rPr>
              <w:t> %</w:t>
            </w:r>
            <w:r>
              <w:rPr>
                <w:spacing w:val="-2"/>
              </w:rPr>
              <w:t>) a</w:t>
            </w:r>
            <w:r w:rsidR="00EE460E">
              <w:rPr>
                <w:spacing w:val="-2"/>
              </w:rPr>
              <w:t> </w:t>
            </w:r>
            <w:r>
              <w:rPr>
                <w:spacing w:val="-2"/>
              </w:rPr>
              <w:t>stavebnictví (42</w:t>
            </w:r>
            <w:r w:rsidR="00870ECD">
              <w:rPr>
                <w:spacing w:val="-2"/>
              </w:rPr>
              <w:t> %</w:t>
            </w:r>
            <w:r>
              <w:rPr>
                <w:spacing w:val="-2"/>
              </w:rPr>
              <w:t xml:space="preserve">). </w:t>
            </w:r>
          </w:p>
        </w:tc>
      </w:tr>
      <w:tr w:rsidR="00003849" w14:paraId="3DAD1A47" w14:textId="77777777" w:rsidTr="000A3D9E">
        <w:trPr>
          <w:trHeight w:val="98"/>
        </w:trPr>
        <w:tc>
          <w:tcPr>
            <w:tcW w:w="1790" w:type="dxa"/>
            <w:vMerge w:val="restart"/>
            <w:shd w:val="clear" w:color="auto" w:fill="auto"/>
            <w:tcMar>
              <w:left w:w="0" w:type="dxa"/>
            </w:tcMar>
          </w:tcPr>
          <w:p w14:paraId="5107526E" w14:textId="77777777" w:rsidR="00003849" w:rsidRDefault="00003849" w:rsidP="000A3D9E">
            <w:pPr>
              <w:pStyle w:val="Marginlie"/>
            </w:pPr>
          </w:p>
        </w:tc>
        <w:tc>
          <w:tcPr>
            <w:tcW w:w="216" w:type="dxa"/>
            <w:gridSpan w:val="2"/>
            <w:vMerge w:val="restart"/>
            <w:shd w:val="clear" w:color="auto" w:fill="auto"/>
            <w:tcMar>
              <w:left w:w="0" w:type="dxa"/>
            </w:tcMar>
          </w:tcPr>
          <w:p w14:paraId="20F232AF"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68F2C8F" w14:textId="77777777" w:rsidR="00003849" w:rsidRDefault="00003849" w:rsidP="000A3D9E">
            <w:pPr>
              <w:spacing w:after="40" w:line="240" w:lineRule="auto"/>
              <w:rPr>
                <w:spacing w:val="-2"/>
              </w:rPr>
            </w:pPr>
            <w:r w:rsidRPr="00C06323">
              <w:rPr>
                <w:rFonts w:cs="Arial"/>
                <w:b/>
                <w:bCs/>
                <w:color w:val="000000"/>
                <w:szCs w:val="20"/>
              </w:rPr>
              <w:t xml:space="preserve">Graf č. </w:t>
            </w:r>
            <w:r w:rsidR="001208E3">
              <w:rPr>
                <w:rFonts w:cs="Arial"/>
                <w:b/>
                <w:bCs/>
                <w:color w:val="000000"/>
                <w:szCs w:val="20"/>
              </w:rPr>
              <w:t>13</w:t>
            </w:r>
            <w:r w:rsidRPr="00631BC9">
              <w:rPr>
                <w:rFonts w:cs="Arial"/>
                <w:b/>
                <w:bCs/>
                <w:color w:val="000000"/>
                <w:sz w:val="18"/>
                <w:szCs w:val="18"/>
              </w:rPr>
              <w:t xml:space="preserve"> </w:t>
            </w:r>
            <w:r>
              <w:rPr>
                <w:rFonts w:cs="Arial"/>
                <w:b/>
                <w:bCs/>
                <w:color w:val="000000"/>
                <w:sz w:val="18"/>
                <w:szCs w:val="18"/>
              </w:rPr>
              <w:t xml:space="preserve"> </w:t>
            </w:r>
            <w:r>
              <w:rPr>
                <w:b/>
                <w:lang w:eastAsia="en-US"/>
              </w:rPr>
              <w:t xml:space="preserve">Celková zaměstnanost </w:t>
            </w:r>
            <w:r w:rsidRPr="00F104F2">
              <w:rPr>
                <w:lang w:eastAsia="en-US"/>
              </w:rPr>
              <w:t>(</w:t>
            </w:r>
            <w:r w:rsidRPr="00F104F2">
              <w:rPr>
                <w:spacing w:val="-2"/>
              </w:rPr>
              <w:t>meziročně</w:t>
            </w:r>
            <w:r w:rsidRPr="00F104F2">
              <w:rPr>
                <w:bCs/>
                <w:spacing w:val="-2"/>
              </w:rPr>
              <w:t xml:space="preserve"> v</w:t>
            </w:r>
            <w:r w:rsidR="00870ECD">
              <w:rPr>
                <w:bCs/>
                <w:spacing w:val="-2"/>
              </w:rPr>
              <w:t> %</w:t>
            </w:r>
            <w:r w:rsidRPr="00F104F2">
              <w:rPr>
                <w:bCs/>
                <w:spacing w:val="-2"/>
              </w:rPr>
              <w:t>)</w:t>
            </w:r>
            <w:r>
              <w:rPr>
                <w:bCs/>
                <w:spacing w:val="-2"/>
              </w:rPr>
              <w:t xml:space="preserve"> </w:t>
            </w:r>
            <w:r w:rsidRPr="00F104F2">
              <w:rPr>
                <w:b/>
                <w:bCs/>
                <w:spacing w:val="-2"/>
              </w:rPr>
              <w:t>a příspěvky hlavních odvětví  k meziroční změně zaměstnanosti</w:t>
            </w:r>
            <w:r>
              <w:rPr>
                <w:bCs/>
                <w:spacing w:val="-2"/>
              </w:rPr>
              <w:t xml:space="preserve"> (v procentních bodech)</w:t>
            </w:r>
          </w:p>
        </w:tc>
      </w:tr>
      <w:tr w:rsidR="00003849" w14:paraId="273CDA31" w14:textId="77777777" w:rsidTr="000A3D9E">
        <w:tblPrEx>
          <w:tblCellMar>
            <w:left w:w="70" w:type="dxa"/>
            <w:right w:w="70" w:type="dxa"/>
          </w:tblCellMar>
        </w:tblPrEx>
        <w:trPr>
          <w:trHeight w:val="96"/>
        </w:trPr>
        <w:tc>
          <w:tcPr>
            <w:tcW w:w="1790" w:type="dxa"/>
            <w:vMerge/>
            <w:shd w:val="clear" w:color="auto" w:fill="auto"/>
          </w:tcPr>
          <w:p w14:paraId="34D5F5B4" w14:textId="77777777" w:rsidR="00003849" w:rsidRDefault="00003849" w:rsidP="000A3D9E">
            <w:pPr>
              <w:pStyle w:val="Marginlie"/>
            </w:pPr>
          </w:p>
        </w:tc>
        <w:tc>
          <w:tcPr>
            <w:tcW w:w="216" w:type="dxa"/>
            <w:gridSpan w:val="2"/>
            <w:vMerge/>
            <w:shd w:val="clear" w:color="auto" w:fill="auto"/>
          </w:tcPr>
          <w:p w14:paraId="0F3FC10D" w14:textId="77777777" w:rsidR="00003849" w:rsidRDefault="00003849" w:rsidP="000A3D9E">
            <w:pPr>
              <w:pStyle w:val="Textpoznpodarou"/>
              <w:jc w:val="both"/>
              <w:rPr>
                <w:spacing w:val="-4"/>
              </w:rPr>
            </w:pPr>
          </w:p>
        </w:tc>
        <w:tc>
          <w:tcPr>
            <w:tcW w:w="7648" w:type="dxa"/>
            <w:gridSpan w:val="2"/>
            <w:shd w:val="clear" w:color="auto" w:fill="auto"/>
          </w:tcPr>
          <w:p w14:paraId="1BDDCE37" w14:textId="77777777" w:rsidR="00003849" w:rsidRDefault="00003849" w:rsidP="000A3D9E">
            <w:pPr>
              <w:spacing w:after="40" w:line="240" w:lineRule="auto"/>
              <w:rPr>
                <w:spacing w:val="-2"/>
              </w:rPr>
            </w:pPr>
            <w:r>
              <w:rPr>
                <w:noProof/>
              </w:rPr>
              <w:drawing>
                <wp:inline distT="0" distB="0" distL="0" distR="0" wp14:anchorId="6DF00572" wp14:editId="2C0DD7C8">
                  <wp:extent cx="4756150" cy="3483696"/>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03849" w:rsidRPr="0007645D" w14:paraId="4D7DDEEE" w14:textId="77777777" w:rsidTr="000A3D9E">
        <w:trPr>
          <w:trHeight w:val="96"/>
        </w:trPr>
        <w:tc>
          <w:tcPr>
            <w:tcW w:w="1790" w:type="dxa"/>
            <w:vMerge/>
            <w:shd w:val="clear" w:color="auto" w:fill="auto"/>
            <w:tcMar>
              <w:left w:w="0" w:type="dxa"/>
            </w:tcMar>
          </w:tcPr>
          <w:p w14:paraId="648B44D8" w14:textId="77777777" w:rsidR="00003849" w:rsidRDefault="00003849" w:rsidP="000A3D9E">
            <w:pPr>
              <w:pStyle w:val="Marginlie"/>
            </w:pPr>
          </w:p>
        </w:tc>
        <w:tc>
          <w:tcPr>
            <w:tcW w:w="216" w:type="dxa"/>
            <w:gridSpan w:val="2"/>
            <w:vMerge/>
            <w:shd w:val="clear" w:color="auto" w:fill="auto"/>
            <w:tcMar>
              <w:left w:w="0" w:type="dxa"/>
            </w:tcMar>
          </w:tcPr>
          <w:p w14:paraId="4DDCF167"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025DB94" w14:textId="77F1B321" w:rsidR="00003849" w:rsidRDefault="00003849" w:rsidP="000A3D9E">
            <w:pPr>
              <w:spacing w:after="0" w:line="240" w:lineRule="auto"/>
              <w:rPr>
                <w:rFonts w:cs="Arial"/>
                <w:sz w:val="14"/>
                <w:szCs w:val="14"/>
              </w:rPr>
            </w:pPr>
            <w:r>
              <w:rPr>
                <w:rFonts w:cs="Arial"/>
                <w:sz w:val="14"/>
                <w:szCs w:val="14"/>
              </w:rPr>
              <w:t>*</w:t>
            </w:r>
            <w:r w:rsidRPr="00862F17">
              <w:rPr>
                <w:rFonts w:cs="Arial"/>
                <w:sz w:val="14"/>
                <w:szCs w:val="14"/>
              </w:rPr>
              <w:t xml:space="preserve">Zahrnuje odvětví: </w:t>
            </w:r>
            <w:r w:rsidR="0095664B">
              <w:rPr>
                <w:rFonts w:cs="Arial"/>
                <w:sz w:val="14"/>
                <w:szCs w:val="14"/>
              </w:rPr>
              <w:t>t</w:t>
            </w:r>
            <w:r w:rsidR="0095664B" w:rsidRPr="00862F17">
              <w:rPr>
                <w:rFonts w:cs="Arial"/>
                <w:sz w:val="14"/>
                <w:szCs w:val="14"/>
              </w:rPr>
              <w:t xml:space="preserve">ěžba </w:t>
            </w:r>
            <w:r w:rsidRPr="00862F17">
              <w:rPr>
                <w:rFonts w:cs="Arial"/>
                <w:sz w:val="14"/>
                <w:szCs w:val="14"/>
              </w:rPr>
              <w:t>a energetika</w:t>
            </w:r>
            <w:r w:rsidR="0095664B">
              <w:rPr>
                <w:rFonts w:cs="Arial"/>
                <w:sz w:val="14"/>
                <w:szCs w:val="14"/>
              </w:rPr>
              <w:t>;</w:t>
            </w:r>
            <w:r w:rsidR="0095664B" w:rsidRPr="00862F17">
              <w:rPr>
                <w:rFonts w:cs="Arial"/>
                <w:sz w:val="14"/>
                <w:szCs w:val="14"/>
              </w:rPr>
              <w:t xml:space="preserve"> </w:t>
            </w:r>
            <w:r w:rsidR="0095664B">
              <w:rPr>
                <w:rFonts w:cs="Arial"/>
                <w:sz w:val="14"/>
                <w:szCs w:val="14"/>
              </w:rPr>
              <w:t>p</w:t>
            </w:r>
            <w:r w:rsidR="0095664B" w:rsidRPr="00862F17">
              <w:rPr>
                <w:rFonts w:cs="Arial"/>
                <w:sz w:val="14"/>
                <w:szCs w:val="14"/>
              </w:rPr>
              <w:t xml:space="preserve">eněžnictví </w:t>
            </w:r>
            <w:r w:rsidRPr="00862F17">
              <w:rPr>
                <w:rFonts w:cs="Arial"/>
                <w:sz w:val="14"/>
                <w:szCs w:val="14"/>
              </w:rPr>
              <w:t>a pojišťovnictví</w:t>
            </w:r>
            <w:r w:rsidR="0095664B">
              <w:rPr>
                <w:rFonts w:cs="Arial"/>
                <w:sz w:val="14"/>
                <w:szCs w:val="14"/>
              </w:rPr>
              <w:t>;</w:t>
            </w:r>
            <w:r w:rsidR="0095664B" w:rsidRPr="00862F17">
              <w:rPr>
                <w:rFonts w:cs="Arial"/>
                <w:sz w:val="14"/>
                <w:szCs w:val="14"/>
              </w:rPr>
              <w:t xml:space="preserve"> </w:t>
            </w:r>
            <w:r w:rsidR="0095664B">
              <w:rPr>
                <w:rFonts w:cs="Arial"/>
                <w:sz w:val="14"/>
                <w:szCs w:val="14"/>
              </w:rPr>
              <w:t>č</w:t>
            </w:r>
            <w:r w:rsidR="0095664B" w:rsidRPr="00862F17">
              <w:rPr>
                <w:rFonts w:cs="Arial"/>
                <w:sz w:val="14"/>
                <w:szCs w:val="14"/>
              </w:rPr>
              <w:t xml:space="preserve">innosti </w:t>
            </w:r>
            <w:r w:rsidRPr="00862F17">
              <w:rPr>
                <w:rFonts w:cs="Arial"/>
                <w:sz w:val="14"/>
                <w:szCs w:val="14"/>
              </w:rPr>
              <w:t>v oblasti nemovitostí</w:t>
            </w:r>
            <w:r w:rsidR="0095664B">
              <w:rPr>
                <w:rFonts w:cs="Arial"/>
                <w:sz w:val="14"/>
                <w:szCs w:val="14"/>
              </w:rPr>
              <w:t>;</w:t>
            </w:r>
            <w:r w:rsidR="0095664B" w:rsidRPr="00862F17">
              <w:rPr>
                <w:rFonts w:cs="Arial"/>
                <w:sz w:val="14"/>
                <w:szCs w:val="14"/>
              </w:rPr>
              <w:t xml:space="preserve"> </w:t>
            </w:r>
            <w:r w:rsidR="0095664B">
              <w:rPr>
                <w:rFonts w:cs="Arial"/>
                <w:sz w:val="14"/>
                <w:szCs w:val="14"/>
              </w:rPr>
              <w:t>k</w:t>
            </w:r>
            <w:r w:rsidR="0095664B" w:rsidRPr="00862F17">
              <w:rPr>
                <w:rFonts w:cs="Arial"/>
                <w:sz w:val="14"/>
                <w:szCs w:val="14"/>
              </w:rPr>
              <w:t>ulturní</w:t>
            </w:r>
            <w:r w:rsidRPr="00862F17">
              <w:rPr>
                <w:rFonts w:cs="Arial"/>
                <w:sz w:val="14"/>
                <w:szCs w:val="14"/>
              </w:rPr>
              <w:t>, zábavní a</w:t>
            </w:r>
            <w:r w:rsidRPr="00D47653">
              <w:rPr>
                <w:sz w:val="14"/>
                <w:szCs w:val="14"/>
              </w:rPr>
              <w:t> </w:t>
            </w:r>
            <w:r w:rsidRPr="00862F17">
              <w:rPr>
                <w:rFonts w:cs="Arial"/>
                <w:sz w:val="14"/>
                <w:szCs w:val="14"/>
              </w:rPr>
              <w:t>rekreační činnosti</w:t>
            </w:r>
            <w:r w:rsidR="0095664B">
              <w:rPr>
                <w:rFonts w:cs="Arial"/>
                <w:sz w:val="14"/>
                <w:szCs w:val="14"/>
              </w:rPr>
              <w:t>;</w:t>
            </w:r>
            <w:r w:rsidR="0095664B" w:rsidRPr="00862F17">
              <w:rPr>
                <w:rFonts w:cs="Arial"/>
                <w:sz w:val="14"/>
                <w:szCs w:val="14"/>
              </w:rPr>
              <w:t xml:space="preserve"> </w:t>
            </w:r>
            <w:r w:rsidR="0095664B">
              <w:rPr>
                <w:rFonts w:cs="Arial"/>
                <w:sz w:val="14"/>
                <w:szCs w:val="14"/>
              </w:rPr>
              <w:t>o</w:t>
            </w:r>
            <w:r w:rsidR="0095664B" w:rsidRPr="00862F17">
              <w:rPr>
                <w:rFonts w:cs="Arial"/>
                <w:sz w:val="14"/>
                <w:szCs w:val="14"/>
              </w:rPr>
              <w:t xml:space="preserve">statní </w:t>
            </w:r>
            <w:r w:rsidRPr="00862F17">
              <w:rPr>
                <w:rFonts w:cs="Arial"/>
                <w:sz w:val="14"/>
                <w:szCs w:val="14"/>
              </w:rPr>
              <w:t>služby.</w:t>
            </w:r>
            <w:r>
              <w:rPr>
                <w:rFonts w:cs="Arial"/>
                <w:sz w:val="14"/>
                <w:szCs w:val="14"/>
              </w:rPr>
              <w:t xml:space="preserve">                                                                                     </w:t>
            </w:r>
            <w:r w:rsidR="0095664B">
              <w:rPr>
                <w:rFonts w:cs="Arial"/>
                <w:sz w:val="14"/>
                <w:szCs w:val="14"/>
              </w:rPr>
              <w:t xml:space="preserve">     </w:t>
            </w:r>
            <w:r>
              <w:rPr>
                <w:rFonts w:cs="Arial"/>
                <w:sz w:val="14"/>
                <w:szCs w:val="14"/>
              </w:rPr>
              <w:t xml:space="preserve">         </w:t>
            </w:r>
            <w:r w:rsidRPr="00862F17">
              <w:rPr>
                <w:rFonts w:cs="Arial"/>
                <w:sz w:val="14"/>
                <w:szCs w:val="14"/>
              </w:rPr>
              <w:t>Zdroj: ČSÚ (národní účty</w:t>
            </w:r>
            <w:r w:rsidR="0095664B">
              <w:rPr>
                <w:rFonts w:cs="Arial"/>
                <w:sz w:val="14"/>
                <w:szCs w:val="14"/>
              </w:rPr>
              <w:t>)</w:t>
            </w:r>
          </w:p>
          <w:p w14:paraId="37658A78" w14:textId="77777777" w:rsidR="00003849" w:rsidRPr="0007645D" w:rsidRDefault="00003849" w:rsidP="000A3D9E">
            <w:pPr>
              <w:spacing w:after="0" w:line="240" w:lineRule="auto"/>
              <w:rPr>
                <w:spacing w:val="-2"/>
                <w:szCs w:val="20"/>
              </w:rPr>
            </w:pPr>
          </w:p>
        </w:tc>
      </w:tr>
      <w:tr w:rsidR="00003849" w14:paraId="28AB9F67" w14:textId="77777777" w:rsidTr="000A3D9E">
        <w:trPr>
          <w:trHeight w:val="145"/>
        </w:trPr>
        <w:tc>
          <w:tcPr>
            <w:tcW w:w="1790" w:type="dxa"/>
            <w:shd w:val="clear" w:color="auto" w:fill="auto"/>
            <w:tcMar>
              <w:left w:w="0" w:type="dxa"/>
            </w:tcMar>
          </w:tcPr>
          <w:p w14:paraId="70DE3948" w14:textId="5DFED406" w:rsidR="00003849" w:rsidRDefault="00003849" w:rsidP="000A3D9E">
            <w:pPr>
              <w:pStyle w:val="Marginlie"/>
            </w:pPr>
            <w:r>
              <w:t>K meziročnímu růstu zaměstnanosti přispělo hlavně vyšší zapojení ekonomicky neaktivních</w:t>
            </w:r>
            <w:r w:rsidR="0095664B">
              <w:t>.</w:t>
            </w:r>
          </w:p>
        </w:tc>
        <w:tc>
          <w:tcPr>
            <w:tcW w:w="216" w:type="dxa"/>
            <w:gridSpan w:val="2"/>
            <w:shd w:val="clear" w:color="auto" w:fill="auto"/>
            <w:tcMar>
              <w:left w:w="0" w:type="dxa"/>
            </w:tcMar>
          </w:tcPr>
          <w:p w14:paraId="184883C8"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0F4569D" w14:textId="40FF1B1F" w:rsidR="00003849" w:rsidRDefault="00003849" w:rsidP="000A3D9E">
            <w:pPr>
              <w:spacing w:after="200"/>
              <w:rPr>
                <w:spacing w:val="-2"/>
              </w:rPr>
            </w:pPr>
            <w:r>
              <w:rPr>
                <w:spacing w:val="-2"/>
              </w:rPr>
              <w:t>Údaje z výběrového šetření pracovních sil (VŠPS) naznačily, že k meziročnímu růstu zaměstnanosti přispělo letos hlavně vyšší zapojení dříve ekonomicky neaktivních, vliv redukce nezaměstnanosti byl méně významný. Tento stav přetrvával již čtvrté čtvrtletí v řadě. S tím souvisí i trend redukce počtu ekonomicky neaktivních</w:t>
            </w:r>
            <w:r w:rsidR="0095664B">
              <w:rPr>
                <w:spacing w:val="-2"/>
              </w:rPr>
              <w:t>, kteří chtějí</w:t>
            </w:r>
            <w:r>
              <w:rPr>
                <w:spacing w:val="-2"/>
              </w:rPr>
              <w:t xml:space="preserve"> pracovat</w:t>
            </w:r>
            <w:r w:rsidRPr="00D175A7">
              <w:rPr>
                <w:rStyle w:val="Znakapoznpodarou"/>
                <w:color w:val="0D0D0D" w:themeColor="text1" w:themeTint="F2"/>
                <w:spacing w:val="-2"/>
              </w:rPr>
              <w:footnoteReference w:id="4"/>
            </w:r>
            <w:r>
              <w:rPr>
                <w:spacing w:val="-2"/>
              </w:rPr>
              <w:t xml:space="preserve">, </w:t>
            </w:r>
            <w:r>
              <w:rPr>
                <w:spacing w:val="-2"/>
              </w:rPr>
              <w:lastRenderedPageBreak/>
              <w:t>jejichž četnost se přiblížila 100tis</w:t>
            </w:r>
            <w:r w:rsidR="0095664B">
              <w:rPr>
                <w:spacing w:val="-2"/>
              </w:rPr>
              <w:t xml:space="preserve">ícové </w:t>
            </w:r>
            <w:r>
              <w:rPr>
                <w:spacing w:val="-2"/>
              </w:rPr>
              <w:t>hranici (od konce poslední recese z počátku roku 2013 skoro o polovinu) a byla téměř totožná s počtem nezaměstnaných. Významným zdrojem růstu pracovní síly v Česku stále zůstává i zahraniční migrace</w:t>
            </w:r>
            <w:r>
              <w:rPr>
                <w:rStyle w:val="Znakapoznpodarou"/>
                <w:spacing w:val="-2"/>
              </w:rPr>
              <w:footnoteReference w:id="5"/>
            </w:r>
            <w:r>
              <w:rPr>
                <w:spacing w:val="-2"/>
              </w:rPr>
              <w:t xml:space="preserve">. </w:t>
            </w:r>
          </w:p>
        </w:tc>
      </w:tr>
      <w:tr w:rsidR="00003849" w:rsidRPr="005E4DD8" w14:paraId="5BC30728" w14:textId="77777777" w:rsidTr="000A3D9E">
        <w:trPr>
          <w:trHeight w:val="145"/>
        </w:trPr>
        <w:tc>
          <w:tcPr>
            <w:tcW w:w="1790" w:type="dxa"/>
            <w:shd w:val="clear" w:color="auto" w:fill="auto"/>
            <w:tcMar>
              <w:left w:w="0" w:type="dxa"/>
            </w:tcMar>
          </w:tcPr>
          <w:p w14:paraId="5B0EE824" w14:textId="77777777" w:rsidR="00003849" w:rsidRDefault="00003849" w:rsidP="000A3D9E">
            <w:pPr>
              <w:pStyle w:val="Marginlie"/>
            </w:pPr>
            <w:r>
              <w:lastRenderedPageBreak/>
              <w:t>Těžiště vyšší zaměstnanosti bylo nadále ve službách. Průmysl naopak zvolňoval.</w:t>
            </w:r>
          </w:p>
        </w:tc>
        <w:tc>
          <w:tcPr>
            <w:tcW w:w="216" w:type="dxa"/>
            <w:gridSpan w:val="2"/>
            <w:shd w:val="clear" w:color="auto" w:fill="auto"/>
            <w:tcMar>
              <w:left w:w="0" w:type="dxa"/>
            </w:tcMar>
          </w:tcPr>
          <w:p w14:paraId="65EC8FFB"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F5C8765" w14:textId="37680652" w:rsidR="00003849" w:rsidRPr="005E4DD8" w:rsidRDefault="00003849" w:rsidP="00CE3E48">
            <w:pPr>
              <w:spacing w:after="200"/>
              <w:rPr>
                <w:spacing w:val="-4"/>
              </w:rPr>
            </w:pPr>
            <w:r w:rsidRPr="005E4DD8">
              <w:rPr>
                <w:spacing w:val="-4"/>
              </w:rPr>
              <w:t>K vyšší zaměstnanosti přispěl v 1. čtvrtletí téměř ze tří čtvrtin sektor služeb, v němž sílily především informační a komunikační činnosti (+5,5</w:t>
            </w:r>
            <w:r w:rsidR="00870ECD">
              <w:rPr>
                <w:spacing w:val="-4"/>
              </w:rPr>
              <w:t> %</w:t>
            </w:r>
            <w:r w:rsidRPr="005E4DD8">
              <w:rPr>
                <w:spacing w:val="-4"/>
              </w:rPr>
              <w:t xml:space="preserve"> meziročně). Dařilo se i obchodu a odvětvím úzce vázaným na cestovní ruch. Nová pracovní místa vytvářely i veřejné služby, </w:t>
            </w:r>
            <w:r w:rsidR="001C6B3B">
              <w:rPr>
                <w:spacing w:val="-4"/>
              </w:rPr>
              <w:t xml:space="preserve">zejména ty </w:t>
            </w:r>
            <w:r w:rsidRPr="005E4DD8">
              <w:rPr>
                <w:spacing w:val="-4"/>
              </w:rPr>
              <w:t>v oblasti vzdělávání a zdravotní i sociální péče. Ve zpracovatelském průmyslu byl růst „st</w:t>
            </w:r>
            <w:r w:rsidR="00D85114">
              <w:rPr>
                <w:spacing w:val="-4"/>
              </w:rPr>
              <w:t>l</w:t>
            </w:r>
            <w:r w:rsidRPr="005E4DD8">
              <w:rPr>
                <w:spacing w:val="-4"/>
              </w:rPr>
              <w:t>ačen“ pod 1</w:t>
            </w:r>
            <w:r w:rsidR="00870ECD">
              <w:rPr>
                <w:spacing w:val="-4"/>
              </w:rPr>
              <w:t> %</w:t>
            </w:r>
            <w:r w:rsidRPr="005E4DD8">
              <w:rPr>
                <w:spacing w:val="-4"/>
              </w:rPr>
              <w:t xml:space="preserve"> (nejslabší meziroční tempo za posledních osm čtvrtletí), ve srovnání s předchozím čtvrtletím zaměstnanost již podruhé v řadě pouze stagnovala. Zvolnění dynamiky tvorby pracovních míst v průmyslu souviselo se zhoršením výkonových ukazatelů tohoto odvětví </w:t>
            </w:r>
            <w:r w:rsidR="00D85114" w:rsidRPr="005E4DD8">
              <w:rPr>
                <w:spacing w:val="-4"/>
              </w:rPr>
              <w:t>umocněn</w:t>
            </w:r>
            <w:r w:rsidR="00D85114">
              <w:rPr>
                <w:spacing w:val="-4"/>
              </w:rPr>
              <w:t>ým</w:t>
            </w:r>
            <w:r w:rsidR="00D85114" w:rsidRPr="005E4DD8">
              <w:rPr>
                <w:spacing w:val="-4"/>
              </w:rPr>
              <w:t xml:space="preserve"> </w:t>
            </w:r>
            <w:r w:rsidRPr="005E4DD8">
              <w:rPr>
                <w:spacing w:val="-4"/>
              </w:rPr>
              <w:t xml:space="preserve">přetrvávajícími nejistotami na zahraničních trzích. Mohl se již také </w:t>
            </w:r>
            <w:r w:rsidR="001C6B3B">
              <w:rPr>
                <w:spacing w:val="-4"/>
              </w:rPr>
              <w:t>projevit vliv vyšších investic d</w:t>
            </w:r>
            <w:r w:rsidRPr="005E4DD8">
              <w:rPr>
                <w:spacing w:val="-4"/>
              </w:rPr>
              <w:t>o vyspělých t</w:t>
            </w:r>
            <w:r w:rsidR="001C6B3B">
              <w:rPr>
                <w:spacing w:val="-4"/>
              </w:rPr>
              <w:t>echnologií snižujících nároky</w:t>
            </w:r>
            <w:r w:rsidRPr="005E4DD8">
              <w:rPr>
                <w:spacing w:val="-4"/>
              </w:rPr>
              <w:t xml:space="preserve"> na pracovní sílu a posilujících produktivitu práce v některých průmyslových odvětvích. </w:t>
            </w:r>
            <w:r>
              <w:rPr>
                <w:spacing w:val="-4"/>
              </w:rPr>
              <w:t>Naopak v</w:t>
            </w:r>
            <w:r w:rsidRPr="005E4DD8">
              <w:rPr>
                <w:spacing w:val="-4"/>
              </w:rPr>
              <w:t> nezpracovatelských průmyslových oborech se tempo zaměstnanosti mírně zvyšovalo (na</w:t>
            </w:r>
            <w:r w:rsidR="00CE3E48">
              <w:rPr>
                <w:spacing w:val="-4"/>
              </w:rPr>
              <w:t> </w:t>
            </w:r>
            <w:r w:rsidRPr="005E4DD8">
              <w:rPr>
                <w:spacing w:val="-4"/>
              </w:rPr>
              <w:t>+1,3</w:t>
            </w:r>
            <w:r w:rsidR="00870ECD">
              <w:rPr>
                <w:spacing w:val="-4"/>
              </w:rPr>
              <w:t> %</w:t>
            </w:r>
            <w:r w:rsidRPr="005E4DD8">
              <w:rPr>
                <w:spacing w:val="-4"/>
              </w:rPr>
              <w:t>), neboť tradiční útlum v těžbě a dobývání byl kompenzován rozvojem energetiky. K obratu došlo ve stavebnictví, kde se počet pracovníků poprvé od konce roku 2010 meziročně navýšil (o 1,3</w:t>
            </w:r>
            <w:r w:rsidR="00870ECD">
              <w:rPr>
                <w:spacing w:val="-4"/>
              </w:rPr>
              <w:t> %</w:t>
            </w:r>
            <w:r w:rsidRPr="005E4DD8">
              <w:rPr>
                <w:spacing w:val="-4"/>
              </w:rPr>
              <w:t xml:space="preserve">). </w:t>
            </w:r>
          </w:p>
        </w:tc>
      </w:tr>
      <w:tr w:rsidR="00003849" w:rsidRPr="005E4DD8" w14:paraId="2840B327" w14:textId="77777777" w:rsidTr="000A3D9E">
        <w:trPr>
          <w:trHeight w:val="145"/>
        </w:trPr>
        <w:tc>
          <w:tcPr>
            <w:tcW w:w="1790" w:type="dxa"/>
            <w:shd w:val="clear" w:color="auto" w:fill="auto"/>
            <w:tcMar>
              <w:left w:w="0" w:type="dxa"/>
            </w:tcMar>
          </w:tcPr>
          <w:p w14:paraId="63F65EB9" w14:textId="77777777" w:rsidR="00003849" w:rsidRDefault="00003849" w:rsidP="000A3D9E">
            <w:pPr>
              <w:pStyle w:val="Marginlie"/>
              <w:rPr>
                <w:spacing w:val="-4"/>
              </w:rPr>
            </w:pPr>
            <w:r w:rsidRPr="0007645D">
              <w:rPr>
                <w:spacing w:val="-4"/>
              </w:rPr>
              <w:t>Pokračovala stagnace počtu sebezaměstnaných.</w:t>
            </w:r>
          </w:p>
          <w:p w14:paraId="7D9CCD33" w14:textId="77777777" w:rsidR="00003849" w:rsidRDefault="00003849" w:rsidP="000A3D9E">
            <w:pPr>
              <w:pStyle w:val="Marginlie"/>
              <w:rPr>
                <w:spacing w:val="-4"/>
              </w:rPr>
            </w:pPr>
          </w:p>
          <w:p w14:paraId="0379103F" w14:textId="77777777" w:rsidR="00003849" w:rsidRDefault="00003849" w:rsidP="000A3D9E">
            <w:pPr>
              <w:pStyle w:val="Marginlie"/>
              <w:rPr>
                <w:spacing w:val="-4"/>
              </w:rPr>
            </w:pPr>
            <w:r>
              <w:rPr>
                <w:spacing w:val="-4"/>
              </w:rPr>
              <w:t>Průměrný věk pracovníků se dále zvyšoval. Rostla ekonomická aktivita lidí v postproduktivním věku.</w:t>
            </w:r>
          </w:p>
          <w:p w14:paraId="5670F7F5" w14:textId="77777777" w:rsidR="00003849" w:rsidRPr="0007645D" w:rsidRDefault="00003849" w:rsidP="000A3D9E">
            <w:pPr>
              <w:pStyle w:val="Marginlie"/>
              <w:rPr>
                <w:spacing w:val="-4"/>
              </w:rPr>
            </w:pPr>
          </w:p>
        </w:tc>
        <w:tc>
          <w:tcPr>
            <w:tcW w:w="216" w:type="dxa"/>
            <w:gridSpan w:val="2"/>
            <w:shd w:val="clear" w:color="auto" w:fill="auto"/>
            <w:tcMar>
              <w:left w:w="0" w:type="dxa"/>
            </w:tcMar>
          </w:tcPr>
          <w:p w14:paraId="46E55F40"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6883EDA5" w14:textId="77777777" w:rsidR="00003849" w:rsidRPr="005E4DD8" w:rsidRDefault="00003849" w:rsidP="000A3D9E">
            <w:pPr>
              <w:spacing w:after="200"/>
              <w:rPr>
                <w:spacing w:val="-4"/>
              </w:rPr>
            </w:pPr>
            <w:r w:rsidRPr="005E4DD8">
              <w:rPr>
                <w:spacing w:val="-4"/>
              </w:rPr>
              <w:t>K růstu celkové zaměstnanos</w:t>
            </w:r>
            <w:r>
              <w:rPr>
                <w:spacing w:val="-4"/>
              </w:rPr>
              <w:t xml:space="preserve">ti </w:t>
            </w:r>
            <w:r w:rsidRPr="005E4DD8">
              <w:rPr>
                <w:spacing w:val="-4"/>
              </w:rPr>
              <w:t>dále přispívali téměř výhradně jen zaměstnanci, počet sebezaměstnaných</w:t>
            </w:r>
            <w:r w:rsidRPr="005E4DD8">
              <w:rPr>
                <w:rStyle w:val="Znakapoznpodarou"/>
                <w:color w:val="0D0D0D" w:themeColor="text1" w:themeTint="F2"/>
                <w:spacing w:val="-4"/>
              </w:rPr>
              <w:footnoteReference w:id="6"/>
            </w:r>
            <w:r w:rsidRPr="005E4DD8">
              <w:rPr>
                <w:spacing w:val="-4"/>
              </w:rPr>
              <w:t xml:space="preserve"> se shodně jako v předchozích t</w:t>
            </w:r>
            <w:r>
              <w:rPr>
                <w:spacing w:val="-4"/>
              </w:rPr>
              <w:t>řech letech příliš</w:t>
            </w:r>
            <w:r w:rsidRPr="005E4DD8">
              <w:rPr>
                <w:spacing w:val="-4"/>
              </w:rPr>
              <w:t xml:space="preserve"> neměnil (při jejich mírném růstu ve zpracovatelském průmyslu či v IT a poklesu v oblasti nemovitostí nebo ve finančním sektoru). Z hlediska věkové skladby působilo pozitivně na zaměstnanost prodlužování zákonného i skutečného věku odchodu do důchodu</w:t>
            </w:r>
            <w:r w:rsidRPr="005E4DD8">
              <w:rPr>
                <w:rStyle w:val="Znakapoznpodarou"/>
                <w:color w:val="0D0D0D" w:themeColor="text1" w:themeTint="F2"/>
                <w:spacing w:val="-4"/>
              </w:rPr>
              <w:footnoteReference w:id="7"/>
            </w:r>
            <w:r w:rsidRPr="005E4DD8">
              <w:rPr>
                <w:spacing w:val="-4"/>
              </w:rPr>
              <w:t>. Pokračovaly i další strukturální změny – do věku s nejvyšší mírou ekonomické participace se posouvaly populačně silné ročníky 70. let.</w:t>
            </w:r>
            <w:r>
              <w:rPr>
                <w:spacing w:val="-4"/>
              </w:rPr>
              <w:t xml:space="preserve"> Průměrný věk pracovní síly</w:t>
            </w:r>
            <w:r w:rsidRPr="005E4DD8">
              <w:rPr>
                <w:spacing w:val="-4"/>
              </w:rPr>
              <w:t xml:space="preserve"> se tak dále zvyšoval.</w:t>
            </w:r>
          </w:p>
        </w:tc>
      </w:tr>
      <w:tr w:rsidR="00003849" w:rsidRPr="005E4DD8" w14:paraId="730D5857" w14:textId="77777777" w:rsidTr="000A3D9E">
        <w:trPr>
          <w:trHeight w:val="145"/>
        </w:trPr>
        <w:tc>
          <w:tcPr>
            <w:tcW w:w="1790" w:type="dxa"/>
            <w:shd w:val="clear" w:color="auto" w:fill="auto"/>
            <w:tcMar>
              <w:left w:w="0" w:type="dxa"/>
            </w:tcMar>
          </w:tcPr>
          <w:p w14:paraId="55259B56" w14:textId="1A5ECA12" w:rsidR="00003849" w:rsidRPr="0007645D" w:rsidRDefault="00003849" w:rsidP="000A3D9E">
            <w:pPr>
              <w:pStyle w:val="Marginlie"/>
              <w:rPr>
                <w:spacing w:val="-4"/>
              </w:rPr>
            </w:pPr>
            <w:r>
              <w:rPr>
                <w:spacing w:val="-4"/>
              </w:rPr>
              <w:t>Počet odpracovaných hodin rostl nadále svižněji než celková zaměstnanost.</w:t>
            </w:r>
          </w:p>
        </w:tc>
        <w:tc>
          <w:tcPr>
            <w:tcW w:w="216" w:type="dxa"/>
            <w:gridSpan w:val="2"/>
            <w:shd w:val="clear" w:color="auto" w:fill="auto"/>
            <w:tcMar>
              <w:left w:w="0" w:type="dxa"/>
            </w:tcMar>
          </w:tcPr>
          <w:p w14:paraId="1EC5069D"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79B7CBF" w14:textId="31A4792A" w:rsidR="00003849" w:rsidRPr="005E4DD8" w:rsidRDefault="00003849" w:rsidP="000A3D9E">
            <w:pPr>
              <w:spacing w:after="200"/>
              <w:rPr>
                <w:spacing w:val="-4"/>
              </w:rPr>
            </w:pPr>
            <w:r w:rsidRPr="005E4DD8">
              <w:rPr>
                <w:spacing w:val="-4"/>
              </w:rPr>
              <w:t>Zatímco meziroční růst zaměstnanosti v ekonomice letos nepatrně zvolnil, tempo u počtu odpracovaných hodin se mírně zvýšilo (na 2,4</w:t>
            </w:r>
            <w:r w:rsidR="00870ECD">
              <w:rPr>
                <w:spacing w:val="-4"/>
              </w:rPr>
              <w:t> %</w:t>
            </w:r>
            <w:r w:rsidRPr="005E4DD8">
              <w:rPr>
                <w:spacing w:val="-4"/>
              </w:rPr>
              <w:t xml:space="preserve">, za celý loňský rok 2,0 %). Mírný předstih dynamiky odpracované doby nad celkovou zaměstnaností přetrvává již čtvrtým rokem v řadě. Může to souviset s častějším využíváním přesčasové práce (v prostředí dlouhodobě plně neuspokojené poptávky po pracovní síle). Zároveň to také nepřímo naznačuje, </w:t>
            </w:r>
            <w:r w:rsidR="00900977">
              <w:rPr>
                <w:spacing w:val="-4"/>
              </w:rPr>
              <w:t xml:space="preserve">že </w:t>
            </w:r>
            <w:r w:rsidRPr="005E4DD8">
              <w:rPr>
                <w:spacing w:val="-4"/>
              </w:rPr>
              <w:t>častější využívání zkrácených forem pracovních úvazků se v tuzemské ekonomice prosazuje jen velice pozvolna</w:t>
            </w:r>
            <w:r w:rsidRPr="005E4DD8">
              <w:rPr>
                <w:rStyle w:val="Znakapoznpodarou"/>
                <w:color w:val="0D0D0D" w:themeColor="text1" w:themeTint="F2"/>
                <w:spacing w:val="-4"/>
              </w:rPr>
              <w:footnoteReference w:id="8"/>
            </w:r>
            <w:r w:rsidRPr="005E4DD8">
              <w:rPr>
                <w:spacing w:val="-4"/>
              </w:rPr>
              <w:t>.</w:t>
            </w:r>
          </w:p>
        </w:tc>
      </w:tr>
      <w:tr w:rsidR="00003849" w:rsidRPr="005E4DD8" w14:paraId="0A2BE345" w14:textId="77777777" w:rsidTr="000A3D9E">
        <w:trPr>
          <w:trHeight w:val="145"/>
        </w:trPr>
        <w:tc>
          <w:tcPr>
            <w:tcW w:w="1790" w:type="dxa"/>
            <w:shd w:val="clear" w:color="auto" w:fill="auto"/>
            <w:tcMar>
              <w:left w:w="0" w:type="dxa"/>
            </w:tcMar>
          </w:tcPr>
          <w:p w14:paraId="62030135" w14:textId="77777777" w:rsidR="00003849" w:rsidRDefault="00003849" w:rsidP="000A3D9E">
            <w:pPr>
              <w:pStyle w:val="Marginlie"/>
            </w:pPr>
            <w:r>
              <w:t>Za mírným poklesem míry nezaměstnanosti stály, podobně jako po většinu loňského roku, výhradně ženy.</w:t>
            </w:r>
          </w:p>
          <w:p w14:paraId="285234FB" w14:textId="77777777" w:rsidR="00003849" w:rsidRDefault="00003849" w:rsidP="000A3D9E">
            <w:pPr>
              <w:pStyle w:val="Marginlie"/>
            </w:pPr>
          </w:p>
          <w:p w14:paraId="74C75C25" w14:textId="77777777" w:rsidR="00003849" w:rsidRDefault="00003849" w:rsidP="000A3D9E">
            <w:pPr>
              <w:pStyle w:val="Marginlie"/>
            </w:pPr>
          </w:p>
          <w:p w14:paraId="1F26E4EA" w14:textId="77777777" w:rsidR="00003849" w:rsidRDefault="00003849" w:rsidP="000A3D9E">
            <w:pPr>
              <w:pStyle w:val="Marginlie"/>
            </w:pPr>
          </w:p>
          <w:p w14:paraId="3228A705" w14:textId="77777777" w:rsidR="00003849" w:rsidRDefault="00003849" w:rsidP="000A3D9E">
            <w:pPr>
              <w:pStyle w:val="Marginlie"/>
            </w:pPr>
          </w:p>
          <w:p w14:paraId="5C9C45A1" w14:textId="77777777" w:rsidR="00003849" w:rsidRDefault="00003849" w:rsidP="000A3D9E">
            <w:pPr>
              <w:pStyle w:val="Marginlie"/>
            </w:pPr>
          </w:p>
          <w:p w14:paraId="72281105" w14:textId="77777777" w:rsidR="00003849" w:rsidRDefault="00003849" w:rsidP="000A3D9E">
            <w:pPr>
              <w:pStyle w:val="Marginlie"/>
            </w:pPr>
          </w:p>
          <w:p w14:paraId="0621DD5D" w14:textId="77777777" w:rsidR="00003849" w:rsidRDefault="00003849" w:rsidP="000A3D9E">
            <w:pPr>
              <w:pStyle w:val="Marginlie"/>
            </w:pPr>
          </w:p>
          <w:p w14:paraId="5C35E5AA" w14:textId="77777777" w:rsidR="00003849" w:rsidRDefault="00003849" w:rsidP="000A3D9E">
            <w:pPr>
              <w:pStyle w:val="Marginlie"/>
            </w:pPr>
          </w:p>
          <w:p w14:paraId="1AB8A365" w14:textId="77777777" w:rsidR="00003849" w:rsidRDefault="00003849" w:rsidP="000A3D9E">
            <w:pPr>
              <w:pStyle w:val="Marginlie"/>
            </w:pPr>
          </w:p>
          <w:p w14:paraId="38611E1A" w14:textId="6EB29606" w:rsidR="00003849" w:rsidRDefault="00003849" w:rsidP="000A3D9E">
            <w:pPr>
              <w:pStyle w:val="Marginlie"/>
            </w:pPr>
            <w:r>
              <w:lastRenderedPageBreak/>
              <w:t>Nezaměstnanost klesal</w:t>
            </w:r>
            <w:r w:rsidR="008A7127">
              <w:t>a</w:t>
            </w:r>
            <w:r>
              <w:t xml:space="preserve"> v drtivé většině států EU. Ve většině novějších členských zemí dosahovala historických minim.</w:t>
            </w:r>
          </w:p>
        </w:tc>
        <w:tc>
          <w:tcPr>
            <w:tcW w:w="216" w:type="dxa"/>
            <w:gridSpan w:val="2"/>
            <w:shd w:val="clear" w:color="auto" w:fill="auto"/>
            <w:tcMar>
              <w:left w:w="0" w:type="dxa"/>
            </w:tcMar>
          </w:tcPr>
          <w:p w14:paraId="00CC9F12"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44FF1DED" w14:textId="74474F1A" w:rsidR="00003849" w:rsidRPr="005E4DD8" w:rsidRDefault="00003849" w:rsidP="0052200D">
            <w:pPr>
              <w:spacing w:after="200"/>
              <w:rPr>
                <w:spacing w:val="-4"/>
              </w:rPr>
            </w:pPr>
            <w:r w:rsidRPr="005E4DD8">
              <w:rPr>
                <w:spacing w:val="-4"/>
              </w:rPr>
              <w:t>Sezónně očištěná obecná míra nezaměstnanosti se letos, podobně jako v roce 2018, snižovala již jen nepatrně. V březnu dosahovala 2,0</w:t>
            </w:r>
            <w:r w:rsidR="00870ECD">
              <w:rPr>
                <w:spacing w:val="-4"/>
              </w:rPr>
              <w:t> %</w:t>
            </w:r>
            <w:r w:rsidRPr="005E4DD8">
              <w:rPr>
                <w:spacing w:val="-4"/>
              </w:rPr>
              <w:t xml:space="preserve"> a meziročně se snížila o 0,3</w:t>
            </w:r>
            <w:r w:rsidR="00870ECD">
              <w:rPr>
                <w:spacing w:val="-4"/>
              </w:rPr>
              <w:t> p. b.</w:t>
            </w:r>
            <w:r w:rsidRPr="005E4DD8">
              <w:rPr>
                <w:spacing w:val="-4"/>
              </w:rPr>
              <w:t xml:space="preserve"> Jestliže u mužů nezaměstnanost více než rok stagnuje, </w:t>
            </w:r>
            <w:r w:rsidR="0062263A">
              <w:rPr>
                <w:spacing w:val="-4"/>
              </w:rPr>
              <w:t xml:space="preserve">u </w:t>
            </w:r>
            <w:r w:rsidRPr="005E4DD8">
              <w:rPr>
                <w:spacing w:val="-4"/>
              </w:rPr>
              <w:t>žen dochází k</w:t>
            </w:r>
            <w:r w:rsidR="0062263A">
              <w:rPr>
                <w:spacing w:val="-4"/>
              </w:rPr>
              <w:t xml:space="preserve">e </w:t>
            </w:r>
            <w:r w:rsidRPr="005E4DD8">
              <w:rPr>
                <w:spacing w:val="-4"/>
              </w:rPr>
              <w:t>stále relativně významnému (byť v tempu slábnoucímu) poklesu. Rozdíl v míře nezaměstnanosti žen a</w:t>
            </w:r>
            <w:r w:rsidR="0062263A">
              <w:rPr>
                <w:spacing w:val="-4"/>
              </w:rPr>
              <w:t> </w:t>
            </w:r>
            <w:r w:rsidRPr="005E4DD8">
              <w:rPr>
                <w:spacing w:val="-4"/>
              </w:rPr>
              <w:t>mužů byl v březnu jen 0,5</w:t>
            </w:r>
            <w:r w:rsidR="00870ECD">
              <w:rPr>
                <w:spacing w:val="-4"/>
              </w:rPr>
              <w:t> p. b.</w:t>
            </w:r>
            <w:r w:rsidRPr="005E4DD8">
              <w:rPr>
                <w:spacing w:val="-4"/>
              </w:rPr>
              <w:t xml:space="preserve"> – nejméně v novodobé historii. V posledních třech letech přispívali k redukci celkové nezaměstnanosti z více než poloviny lidé, kteří byli be</w:t>
            </w:r>
            <w:r>
              <w:rPr>
                <w:spacing w:val="-4"/>
              </w:rPr>
              <w:t>z práce déle než rok. Ve</w:t>
            </w:r>
            <w:r w:rsidRPr="005E4DD8">
              <w:rPr>
                <w:spacing w:val="-4"/>
              </w:rPr>
              <w:t xml:space="preserve"> 4. čtvrtletí 2018 ale j</w:t>
            </w:r>
            <w:r>
              <w:rPr>
                <w:spacing w:val="-4"/>
              </w:rPr>
              <w:t>ejich příspěvek citelně oslabil</w:t>
            </w:r>
            <w:r w:rsidRPr="005E4DD8">
              <w:rPr>
                <w:spacing w:val="-4"/>
              </w:rPr>
              <w:t xml:space="preserve"> </w:t>
            </w:r>
            <w:r w:rsidR="0062263A">
              <w:rPr>
                <w:spacing w:val="-4"/>
              </w:rPr>
              <w:t>a </w:t>
            </w:r>
            <w:r w:rsidRPr="005E4DD8">
              <w:rPr>
                <w:spacing w:val="-4"/>
              </w:rPr>
              <w:t>tento trend pokračoval i na začátku roku (příspěvek 30</w:t>
            </w:r>
            <w:r w:rsidR="00870ECD">
              <w:rPr>
                <w:spacing w:val="-4"/>
              </w:rPr>
              <w:t> %</w:t>
            </w:r>
            <w:r w:rsidRPr="005E4DD8">
              <w:rPr>
                <w:spacing w:val="-4"/>
              </w:rPr>
              <w:t>). Pokles podílu dlouhodobě nezaměstnaných na celkové nezaměstnanosti se tak zastavil – v 1. čtvrtletí činil 31,8</w:t>
            </w:r>
            <w:r w:rsidR="00870ECD">
              <w:rPr>
                <w:spacing w:val="-4"/>
              </w:rPr>
              <w:t> %</w:t>
            </w:r>
            <w:r w:rsidRPr="005E4DD8">
              <w:rPr>
                <w:spacing w:val="-4"/>
              </w:rPr>
              <w:t>, což bylo stále o ví</w:t>
            </w:r>
            <w:r>
              <w:rPr>
                <w:spacing w:val="-4"/>
              </w:rPr>
              <w:t>ce než 10 p.</w:t>
            </w:r>
            <w:r w:rsidR="0062263A">
              <w:rPr>
                <w:spacing w:val="-4"/>
              </w:rPr>
              <w:t> </w:t>
            </w:r>
            <w:r>
              <w:rPr>
                <w:spacing w:val="-4"/>
              </w:rPr>
              <w:t>b. pod úrovní</w:t>
            </w:r>
            <w:r w:rsidRPr="005E4DD8">
              <w:rPr>
                <w:spacing w:val="-4"/>
              </w:rPr>
              <w:t xml:space="preserve"> v EU. </w:t>
            </w:r>
            <w:r>
              <w:rPr>
                <w:spacing w:val="-4"/>
              </w:rPr>
              <w:t>ČR dále držela</w:t>
            </w:r>
            <w:r w:rsidRPr="005E4DD8">
              <w:rPr>
                <w:spacing w:val="-4"/>
              </w:rPr>
              <w:t xml:space="preserve"> pozici státu s nejnižší mírou nezaměstnanosti mezi státy EU – u nezaměstnanosti žen to platilo sedm čtvrtletí v řadě, u mužů dok</w:t>
            </w:r>
            <w:r>
              <w:rPr>
                <w:spacing w:val="-4"/>
              </w:rPr>
              <w:t xml:space="preserve">once již dvacet. </w:t>
            </w:r>
            <w:r>
              <w:rPr>
                <w:spacing w:val="-4"/>
              </w:rPr>
              <w:lastRenderedPageBreak/>
              <w:t>V EU</w:t>
            </w:r>
            <w:r w:rsidRPr="005E4DD8">
              <w:rPr>
                <w:spacing w:val="-4"/>
              </w:rPr>
              <w:t xml:space="preserve"> činila </w:t>
            </w:r>
            <w:r>
              <w:rPr>
                <w:spacing w:val="-4"/>
              </w:rPr>
              <w:t xml:space="preserve">v 1. čtvrtletí </w:t>
            </w:r>
            <w:r w:rsidRPr="005E4DD8">
              <w:rPr>
                <w:spacing w:val="-4"/>
              </w:rPr>
              <w:t>obecná míra nezaměstnanosti 6,8</w:t>
            </w:r>
            <w:r w:rsidR="00870ECD">
              <w:rPr>
                <w:spacing w:val="-4"/>
              </w:rPr>
              <w:t> %</w:t>
            </w:r>
            <w:r w:rsidRPr="005E4DD8">
              <w:rPr>
                <w:spacing w:val="-4"/>
              </w:rPr>
              <w:t>, ve státech eurozóny 8,1</w:t>
            </w:r>
            <w:r w:rsidR="00870ECD">
              <w:rPr>
                <w:spacing w:val="-4"/>
              </w:rPr>
              <w:t> %</w:t>
            </w:r>
            <w:r w:rsidRPr="005E4DD8">
              <w:rPr>
                <w:spacing w:val="-4"/>
              </w:rPr>
              <w:t xml:space="preserve">. Nezaměstnanost se meziročně snížila napříč </w:t>
            </w:r>
            <w:r>
              <w:rPr>
                <w:spacing w:val="-4"/>
              </w:rPr>
              <w:t>všemi státy EU vyjma Švédska a</w:t>
            </w:r>
            <w:r w:rsidRPr="005E4DD8">
              <w:rPr>
                <w:spacing w:val="-4"/>
              </w:rPr>
              <w:t xml:space="preserve"> Dánska (+0,2, resp. </w:t>
            </w:r>
            <w:r w:rsidR="008A7127">
              <w:rPr>
                <w:spacing w:val="-4"/>
              </w:rPr>
              <w:t>+</w:t>
            </w:r>
            <w:r w:rsidRPr="005E4DD8">
              <w:rPr>
                <w:spacing w:val="-4"/>
              </w:rPr>
              <w:t>0,1</w:t>
            </w:r>
            <w:r w:rsidR="00870ECD">
              <w:rPr>
                <w:spacing w:val="-4"/>
              </w:rPr>
              <w:t> p. b.</w:t>
            </w:r>
            <w:r w:rsidRPr="005E4DD8">
              <w:rPr>
                <w:spacing w:val="-4"/>
              </w:rPr>
              <w:t>). Ve většině novějších členských zemí (vyjma Slovinska, Kypru a</w:t>
            </w:r>
            <w:r w:rsidR="008A7127">
              <w:rPr>
                <w:spacing w:val="-4"/>
              </w:rPr>
              <w:t> </w:t>
            </w:r>
            <w:r w:rsidRPr="005E4DD8">
              <w:rPr>
                <w:spacing w:val="-4"/>
              </w:rPr>
              <w:t>států Pobaltí), ale i např. v Německu či Velké Británii klesla celková míra nezaměstnanosti na historická minima (ve srovnatelné řadě od počátku 90. let).</w:t>
            </w:r>
          </w:p>
        </w:tc>
      </w:tr>
      <w:tr w:rsidR="00003849" w14:paraId="21E91E94" w14:textId="77777777" w:rsidTr="000A3D9E">
        <w:trPr>
          <w:trHeight w:val="98"/>
        </w:trPr>
        <w:tc>
          <w:tcPr>
            <w:tcW w:w="1790" w:type="dxa"/>
            <w:vMerge w:val="restart"/>
            <w:shd w:val="clear" w:color="auto" w:fill="auto"/>
            <w:tcMar>
              <w:left w:w="0" w:type="dxa"/>
            </w:tcMar>
          </w:tcPr>
          <w:p w14:paraId="50BA88A9" w14:textId="77777777" w:rsidR="00003849" w:rsidRDefault="00003849" w:rsidP="000A3D9E">
            <w:pPr>
              <w:pStyle w:val="Marginlie"/>
            </w:pPr>
          </w:p>
        </w:tc>
        <w:tc>
          <w:tcPr>
            <w:tcW w:w="216" w:type="dxa"/>
            <w:gridSpan w:val="2"/>
            <w:vMerge w:val="restart"/>
            <w:shd w:val="clear" w:color="auto" w:fill="auto"/>
            <w:tcMar>
              <w:left w:w="0" w:type="dxa"/>
            </w:tcMar>
          </w:tcPr>
          <w:p w14:paraId="1F1996E2"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33BE2DA0" w14:textId="1C7519E1" w:rsidR="00003849" w:rsidRDefault="00003849" w:rsidP="000A3D9E">
            <w:pPr>
              <w:spacing w:after="40" w:line="240" w:lineRule="auto"/>
              <w:rPr>
                <w:spacing w:val="-2"/>
              </w:rPr>
            </w:pPr>
            <w:r>
              <w:rPr>
                <w:b/>
                <w:spacing w:val="-2"/>
              </w:rPr>
              <w:t>Graf</w:t>
            </w:r>
            <w:r w:rsidR="001208E3">
              <w:rPr>
                <w:b/>
                <w:spacing w:val="-2"/>
              </w:rPr>
              <w:t xml:space="preserve"> č. 14</w:t>
            </w:r>
            <w:r w:rsidRPr="00425211">
              <w:rPr>
                <w:b/>
                <w:spacing w:val="-2"/>
              </w:rPr>
              <w:t xml:space="preserve">  </w:t>
            </w:r>
            <w:r w:rsidRPr="00425211">
              <w:rPr>
                <w:rFonts w:cs="Arial"/>
                <w:b/>
                <w:bCs/>
                <w:spacing w:val="-2"/>
              </w:rPr>
              <w:t>Obecná míra nezaměstnanosti mužů a žen</w:t>
            </w:r>
            <w:r>
              <w:rPr>
                <w:rFonts w:cs="Arial"/>
                <w:b/>
                <w:bCs/>
                <w:spacing w:val="-2"/>
              </w:rPr>
              <w:t>, podíl vybr.</w:t>
            </w:r>
            <w:r w:rsidRPr="00425211">
              <w:rPr>
                <w:rFonts w:cs="Arial"/>
                <w:b/>
                <w:bCs/>
                <w:spacing w:val="-2"/>
              </w:rPr>
              <w:t xml:space="preserve"> skupin osob na </w:t>
            </w:r>
            <w:r>
              <w:rPr>
                <w:rFonts w:cs="Arial"/>
                <w:b/>
                <w:bCs/>
                <w:spacing w:val="-2"/>
              </w:rPr>
              <w:t>všech</w:t>
            </w:r>
            <w:r w:rsidRPr="00425211">
              <w:rPr>
                <w:rFonts w:cs="Arial"/>
                <w:b/>
                <w:bCs/>
                <w:spacing w:val="-2"/>
              </w:rPr>
              <w:t xml:space="preserve"> nezaměstnaných </w:t>
            </w:r>
            <w:r w:rsidRPr="00425211">
              <w:rPr>
                <w:rFonts w:cs="Arial"/>
                <w:bCs/>
                <w:spacing w:val="-2"/>
              </w:rPr>
              <w:t>(v</w:t>
            </w:r>
            <w:r>
              <w:rPr>
                <w:rFonts w:cs="Arial"/>
                <w:bCs/>
                <w:spacing w:val="-2"/>
              </w:rPr>
              <w:t> %</w:t>
            </w:r>
            <w:r w:rsidRPr="00425211">
              <w:rPr>
                <w:rFonts w:cs="Arial"/>
                <w:bCs/>
                <w:spacing w:val="-2"/>
              </w:rPr>
              <w:t xml:space="preserve">) </w:t>
            </w:r>
            <w:r w:rsidRPr="00425211">
              <w:rPr>
                <w:rFonts w:cs="Arial"/>
                <w:b/>
                <w:bCs/>
                <w:spacing w:val="-2"/>
              </w:rPr>
              <w:t>a ekonomicky neaktivní</w:t>
            </w:r>
            <w:r w:rsidR="008A7127">
              <w:rPr>
                <w:rFonts w:cs="Arial"/>
                <w:b/>
                <w:bCs/>
                <w:spacing w:val="-2"/>
              </w:rPr>
              <w:t>, kteří chtějí</w:t>
            </w:r>
            <w:r w:rsidRPr="00425211">
              <w:rPr>
                <w:rFonts w:cs="Arial"/>
                <w:b/>
                <w:bCs/>
                <w:spacing w:val="-2"/>
              </w:rPr>
              <w:t xml:space="preserve"> pracovat </w:t>
            </w:r>
            <w:r w:rsidRPr="00425211">
              <w:rPr>
                <w:rFonts w:cs="Arial"/>
                <w:bCs/>
                <w:spacing w:val="-2"/>
              </w:rPr>
              <w:t>(v tis.)</w:t>
            </w:r>
            <w:r>
              <w:rPr>
                <w:rFonts w:cs="Arial"/>
                <w:bCs/>
                <w:spacing w:val="-2"/>
              </w:rPr>
              <w:t>*</w:t>
            </w:r>
          </w:p>
        </w:tc>
      </w:tr>
      <w:tr w:rsidR="00003849" w14:paraId="6A87DE80" w14:textId="77777777" w:rsidTr="00F11159">
        <w:tblPrEx>
          <w:tblCellMar>
            <w:left w:w="70" w:type="dxa"/>
            <w:right w:w="70" w:type="dxa"/>
          </w:tblCellMar>
        </w:tblPrEx>
        <w:trPr>
          <w:trHeight w:val="96"/>
        </w:trPr>
        <w:tc>
          <w:tcPr>
            <w:tcW w:w="1790" w:type="dxa"/>
            <w:vMerge/>
            <w:shd w:val="clear" w:color="auto" w:fill="auto"/>
          </w:tcPr>
          <w:p w14:paraId="0746EA3D" w14:textId="77777777" w:rsidR="00003849" w:rsidRDefault="00003849" w:rsidP="000A3D9E">
            <w:pPr>
              <w:pStyle w:val="Marginlie"/>
            </w:pPr>
          </w:p>
        </w:tc>
        <w:tc>
          <w:tcPr>
            <w:tcW w:w="216" w:type="dxa"/>
            <w:gridSpan w:val="2"/>
            <w:vMerge/>
            <w:shd w:val="clear" w:color="auto" w:fill="auto"/>
          </w:tcPr>
          <w:p w14:paraId="4694CACD" w14:textId="77777777" w:rsidR="00003849" w:rsidRDefault="00003849" w:rsidP="000A3D9E">
            <w:pPr>
              <w:pStyle w:val="Textpoznpodarou"/>
              <w:jc w:val="both"/>
              <w:rPr>
                <w:spacing w:val="-4"/>
              </w:rPr>
            </w:pPr>
          </w:p>
        </w:tc>
        <w:tc>
          <w:tcPr>
            <w:tcW w:w="7648" w:type="dxa"/>
            <w:gridSpan w:val="2"/>
            <w:shd w:val="clear" w:color="auto" w:fill="auto"/>
          </w:tcPr>
          <w:p w14:paraId="5534ED7E" w14:textId="048646D5" w:rsidR="00003849" w:rsidRDefault="00F11159" w:rsidP="000A3D9E">
            <w:pPr>
              <w:spacing w:after="40" w:line="240" w:lineRule="auto"/>
              <w:rPr>
                <w:spacing w:val="-2"/>
              </w:rPr>
            </w:pPr>
            <w:r>
              <w:rPr>
                <w:noProof/>
              </w:rPr>
              <w:drawing>
                <wp:inline distT="0" distB="0" distL="0" distR="0" wp14:anchorId="2ACCE192" wp14:editId="0C5C70B7">
                  <wp:extent cx="4753610" cy="3473532"/>
                  <wp:effectExtent l="0" t="0" r="889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03849" w:rsidRPr="00313E53" w14:paraId="5FF5FFE4" w14:textId="77777777" w:rsidTr="000A3D9E">
        <w:trPr>
          <w:trHeight w:val="96"/>
        </w:trPr>
        <w:tc>
          <w:tcPr>
            <w:tcW w:w="1790" w:type="dxa"/>
            <w:vMerge/>
            <w:shd w:val="clear" w:color="auto" w:fill="auto"/>
            <w:tcMar>
              <w:left w:w="0" w:type="dxa"/>
            </w:tcMar>
          </w:tcPr>
          <w:p w14:paraId="796FCBA2" w14:textId="77777777" w:rsidR="00003849" w:rsidRDefault="00003849" w:rsidP="000A3D9E">
            <w:pPr>
              <w:pStyle w:val="Marginlie"/>
            </w:pPr>
          </w:p>
        </w:tc>
        <w:tc>
          <w:tcPr>
            <w:tcW w:w="216" w:type="dxa"/>
            <w:gridSpan w:val="2"/>
            <w:vMerge/>
            <w:shd w:val="clear" w:color="auto" w:fill="auto"/>
            <w:tcMar>
              <w:left w:w="0" w:type="dxa"/>
            </w:tcMar>
          </w:tcPr>
          <w:p w14:paraId="50E3FEB6"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55AF6581" w14:textId="77777777" w:rsidR="00003849" w:rsidRPr="00FF12EF" w:rsidRDefault="00003849" w:rsidP="000A3D9E">
            <w:pPr>
              <w:spacing w:after="0" w:line="240" w:lineRule="auto"/>
              <w:rPr>
                <w:rFonts w:cs="Arial"/>
                <w:color w:val="0D0D0D" w:themeColor="text1" w:themeTint="F2"/>
                <w:sz w:val="14"/>
                <w:szCs w:val="14"/>
              </w:rPr>
            </w:pPr>
            <w:r w:rsidRPr="00FF12EF">
              <w:rPr>
                <w:rFonts w:cs="Arial"/>
                <w:color w:val="0D0D0D" w:themeColor="text1" w:themeTint="F2"/>
                <w:sz w:val="14"/>
                <w:szCs w:val="14"/>
              </w:rPr>
              <w:t xml:space="preserve">Poznámka: údaje týkající se </w:t>
            </w:r>
            <w:r>
              <w:rPr>
                <w:rFonts w:cs="Arial"/>
                <w:color w:val="0D0D0D" w:themeColor="text1" w:themeTint="F2"/>
                <w:sz w:val="14"/>
                <w:szCs w:val="14"/>
              </w:rPr>
              <w:t xml:space="preserve">míry </w:t>
            </w:r>
            <w:r w:rsidRPr="00FF12EF">
              <w:rPr>
                <w:rFonts w:cs="Arial"/>
                <w:color w:val="0D0D0D" w:themeColor="text1" w:themeTint="F2"/>
                <w:sz w:val="14"/>
                <w:szCs w:val="14"/>
              </w:rPr>
              <w:t>nezaměstnanosti jsou sezónně očištěny.</w:t>
            </w:r>
          </w:p>
          <w:p w14:paraId="44D5FA74" w14:textId="070ECDF0" w:rsidR="00003849" w:rsidRPr="00313E53" w:rsidRDefault="00003849" w:rsidP="000A3D9E">
            <w:pPr>
              <w:spacing w:after="200" w:line="240" w:lineRule="auto"/>
              <w:rPr>
                <w:rFonts w:cs="Arial"/>
                <w:color w:val="0D0D0D" w:themeColor="text1" w:themeTint="F2"/>
                <w:sz w:val="14"/>
                <w:szCs w:val="14"/>
              </w:rPr>
            </w:pPr>
            <w:r w:rsidRPr="00FF12EF">
              <w:rPr>
                <w:rFonts w:cs="Arial"/>
                <w:color w:val="0D0D0D" w:themeColor="text1" w:themeTint="F2"/>
                <w:sz w:val="14"/>
                <w:szCs w:val="14"/>
              </w:rPr>
              <w:t>*</w:t>
            </w:r>
            <w:r w:rsidRPr="00FF12EF">
              <w:rPr>
                <w:rFonts w:cs="Arial"/>
                <w:bCs/>
                <w:color w:val="0D0D0D" w:themeColor="text1" w:themeTint="F2"/>
                <w:sz w:val="14"/>
                <w:szCs w:val="14"/>
              </w:rPr>
              <w:t>Jde o osoby, které nepracují, aktivně práci nehledají (a nesplňují tak podmínky ILO pro nezaměstnané),</w:t>
            </w:r>
            <w:r w:rsidRPr="00FF12EF">
              <w:rPr>
                <w:rFonts w:cs="Arial"/>
                <w:color w:val="0D0D0D" w:themeColor="text1" w:themeTint="F2"/>
                <w:sz w:val="14"/>
                <w:szCs w:val="14"/>
              </w:rPr>
              <w:t xml:space="preserve"> ale přitom </w:t>
            </w:r>
            <w:r>
              <w:rPr>
                <w:rFonts w:cs="Arial"/>
                <w:color w:val="0D0D0D" w:themeColor="text1" w:themeTint="F2"/>
                <w:sz w:val="14"/>
                <w:szCs w:val="14"/>
              </w:rPr>
              <w:t xml:space="preserve">uvádějí, že by chtěly pracovat.                                                            </w:t>
            </w:r>
            <w:r w:rsidR="008A7127">
              <w:rPr>
                <w:rFonts w:cs="Arial"/>
                <w:color w:val="0D0D0D" w:themeColor="text1" w:themeTint="F2"/>
                <w:sz w:val="14"/>
                <w:szCs w:val="14"/>
              </w:rPr>
              <w:t xml:space="preserve">                           </w:t>
            </w:r>
            <w:r>
              <w:rPr>
                <w:rFonts w:cs="Arial"/>
                <w:color w:val="0D0D0D" w:themeColor="text1" w:themeTint="F2"/>
                <w:sz w:val="14"/>
                <w:szCs w:val="14"/>
              </w:rPr>
              <w:t xml:space="preserve">   </w:t>
            </w:r>
            <w:r w:rsidRPr="00FF12EF">
              <w:rPr>
                <w:rFonts w:cs="Arial"/>
                <w:color w:val="0D0D0D" w:themeColor="text1" w:themeTint="F2"/>
                <w:sz w:val="14"/>
                <w:szCs w:val="14"/>
              </w:rPr>
              <w:t>Zdroj: ČSÚ (výběrové šetření pracovních sil)</w:t>
            </w:r>
          </w:p>
        </w:tc>
      </w:tr>
      <w:tr w:rsidR="00003849" w:rsidRPr="005E4DD8" w14:paraId="6060F7C7" w14:textId="77777777" w:rsidTr="000A3D9E">
        <w:trPr>
          <w:trHeight w:val="145"/>
        </w:trPr>
        <w:tc>
          <w:tcPr>
            <w:tcW w:w="1790" w:type="dxa"/>
            <w:shd w:val="clear" w:color="auto" w:fill="auto"/>
            <w:tcMar>
              <w:left w:w="0" w:type="dxa"/>
            </w:tcMar>
          </w:tcPr>
          <w:p w14:paraId="7B66C02A" w14:textId="77777777" w:rsidR="00003849" w:rsidRDefault="00003849" w:rsidP="000A3D9E">
            <w:pPr>
              <w:pStyle w:val="Marginlie"/>
            </w:pPr>
            <w:r>
              <w:t>Počet volných pracovních míst v ekonomice pokořil nový rekord. Jejich růstové tempo ale od počátku roku citelně zvolnilo.</w:t>
            </w:r>
          </w:p>
          <w:p w14:paraId="2FE71281" w14:textId="77777777" w:rsidR="00003849" w:rsidRDefault="00003849" w:rsidP="000A3D9E">
            <w:pPr>
              <w:pStyle w:val="Marginlie"/>
            </w:pPr>
          </w:p>
          <w:p w14:paraId="4EBDB375" w14:textId="77777777" w:rsidR="00003849" w:rsidRDefault="00003849" w:rsidP="000A3D9E">
            <w:pPr>
              <w:pStyle w:val="Marginlie"/>
            </w:pPr>
          </w:p>
          <w:p w14:paraId="5E9A6C1D" w14:textId="77777777" w:rsidR="00003849" w:rsidRDefault="00003849" w:rsidP="000A3D9E">
            <w:pPr>
              <w:pStyle w:val="Marginlie"/>
            </w:pPr>
          </w:p>
          <w:p w14:paraId="653281DB" w14:textId="77777777" w:rsidR="00003849" w:rsidRDefault="00003849" w:rsidP="000A3D9E">
            <w:pPr>
              <w:pStyle w:val="Marginlie"/>
            </w:pPr>
          </w:p>
          <w:p w14:paraId="5DAC88EC" w14:textId="77777777" w:rsidR="00003849" w:rsidRDefault="00003849" w:rsidP="000A3D9E">
            <w:pPr>
              <w:pStyle w:val="Marginlie"/>
            </w:pPr>
          </w:p>
          <w:p w14:paraId="3F0DA1D2" w14:textId="77777777" w:rsidR="00003849" w:rsidRDefault="00003849" w:rsidP="000A3D9E">
            <w:pPr>
              <w:pStyle w:val="Marginlie"/>
            </w:pPr>
            <w:r>
              <w:t>Míra volných míst rostla svižně ve stavebnictví, klesala pouze ve finančnictví.</w:t>
            </w:r>
          </w:p>
          <w:p w14:paraId="0905D833" w14:textId="77777777" w:rsidR="00003849" w:rsidRDefault="00003849" w:rsidP="000A3D9E">
            <w:pPr>
              <w:pStyle w:val="Marginlie"/>
            </w:pPr>
          </w:p>
        </w:tc>
        <w:tc>
          <w:tcPr>
            <w:tcW w:w="216" w:type="dxa"/>
            <w:gridSpan w:val="2"/>
            <w:shd w:val="clear" w:color="auto" w:fill="auto"/>
            <w:tcMar>
              <w:left w:w="0" w:type="dxa"/>
            </w:tcMar>
          </w:tcPr>
          <w:p w14:paraId="4043C703" w14:textId="77777777" w:rsidR="00003849" w:rsidRDefault="00003849" w:rsidP="000A3D9E">
            <w:pPr>
              <w:pStyle w:val="Textpoznpodarou"/>
              <w:jc w:val="both"/>
              <w:rPr>
                <w:spacing w:val="-4"/>
              </w:rPr>
            </w:pPr>
          </w:p>
        </w:tc>
        <w:tc>
          <w:tcPr>
            <w:tcW w:w="7648" w:type="dxa"/>
            <w:gridSpan w:val="2"/>
            <w:shd w:val="clear" w:color="auto" w:fill="auto"/>
            <w:tcMar>
              <w:left w:w="0" w:type="dxa"/>
            </w:tcMar>
          </w:tcPr>
          <w:p w14:paraId="0336978F" w14:textId="05700DB7" w:rsidR="00003849" w:rsidRPr="005E4DD8" w:rsidRDefault="00003849" w:rsidP="000A3D9E">
            <w:pPr>
              <w:spacing w:after="0"/>
              <w:rPr>
                <w:spacing w:val="-4"/>
              </w:rPr>
            </w:pPr>
            <w:r w:rsidRPr="005E4DD8">
              <w:rPr>
                <w:rFonts w:cs="Arial"/>
                <w:color w:val="0D0D0D" w:themeColor="text1" w:themeTint="F2"/>
                <w:spacing w:val="-4"/>
              </w:rPr>
              <w:t xml:space="preserve">Poptávka po pracovnících zůstává v ČR nadále silná. Počet volných pracovních míst nabízených </w:t>
            </w:r>
            <w:r w:rsidRPr="005E4DD8">
              <w:rPr>
                <w:spacing w:val="-4"/>
              </w:rPr>
              <w:t xml:space="preserve">úřady práce </w:t>
            </w:r>
            <w:r w:rsidRPr="005E4DD8">
              <w:rPr>
                <w:rFonts w:cs="Arial"/>
                <w:color w:val="0D0D0D" w:themeColor="text1" w:themeTint="F2"/>
                <w:spacing w:val="-4"/>
              </w:rPr>
              <w:t>meziměsíčně rostl (navzdory sezónním vlivům) nepřetržitě od konce roku 2016. Na konci března činil rekordních 339 tis. Tempo růstu nových míst ale zpomalovalo (během 1. čtvrtletí 2019 se počet míst zvýšil o 15 tis., za stejné období roku 2018 ale o 37 tis.). Nerovnoměrnost přírůstku volných míst (86 tis. meziročně) z pohledu kvalifikačních nároků</w:t>
            </w:r>
            <w:r w:rsidRPr="005E4DD8">
              <w:rPr>
                <w:rStyle w:val="Znakapoznpodarou"/>
                <w:color w:val="0D0D0D" w:themeColor="text1" w:themeTint="F2"/>
                <w:spacing w:val="-4"/>
              </w:rPr>
              <w:footnoteReference w:id="9"/>
            </w:r>
            <w:r w:rsidRPr="005E4DD8">
              <w:rPr>
                <w:rFonts w:cs="Arial"/>
                <w:color w:val="0D0D0D" w:themeColor="text1" w:themeTint="F2"/>
                <w:spacing w:val="-4"/>
              </w:rPr>
              <w:t xml:space="preserve"> i regionů</w:t>
            </w:r>
            <w:r w:rsidRPr="005E4DD8">
              <w:rPr>
                <w:rStyle w:val="Znakapoznpodarou"/>
                <w:color w:val="0D0D0D" w:themeColor="text1" w:themeTint="F2"/>
                <w:spacing w:val="-4"/>
              </w:rPr>
              <w:footnoteReference w:id="10"/>
            </w:r>
            <w:r w:rsidRPr="005E4DD8">
              <w:rPr>
                <w:rFonts w:cs="Arial"/>
                <w:color w:val="0D0D0D" w:themeColor="text1" w:themeTint="F2"/>
                <w:spacing w:val="-4"/>
              </w:rPr>
              <w:t xml:space="preserve"> se dále prohlubovala, místa vznikala relativně nejvíce v regionech, kde již byla míra nezaměstnanosti podprůměrná. Na jedno volné místo připadalo v březnu 0,7 uchazeče. </w:t>
            </w:r>
            <w:r w:rsidRPr="005E4DD8">
              <w:rPr>
                <w:spacing w:val="-4"/>
              </w:rPr>
              <w:t>Převis poptávky nad nabídkou pracovní síly, jenž je na celorepublikové úrovni patrný již od loňského dubna, signalizovalo deset krajů a</w:t>
            </w:r>
            <w:r w:rsidRPr="005E4DD8">
              <w:rPr>
                <w:rFonts w:cs="Arial"/>
                <w:color w:val="0D0D0D" w:themeColor="text1" w:themeTint="F2"/>
                <w:spacing w:val="-4"/>
              </w:rPr>
              <w:t> </w:t>
            </w:r>
            <w:r w:rsidRPr="005E4DD8">
              <w:rPr>
                <w:spacing w:val="-4"/>
              </w:rPr>
              <w:t>bezmála tři pětiny okresů ČR</w:t>
            </w:r>
            <w:r w:rsidRPr="005E4DD8">
              <w:rPr>
                <w:rStyle w:val="Znakapoznpodarou"/>
                <w:color w:val="0D0D0D" w:themeColor="text1" w:themeTint="F2"/>
                <w:spacing w:val="-4"/>
              </w:rPr>
              <w:footnoteReference w:id="11"/>
            </w:r>
            <w:r w:rsidRPr="005E4DD8">
              <w:rPr>
                <w:spacing w:val="-4"/>
              </w:rPr>
              <w:t>. Nabídka míst zůstává vysoká i</w:t>
            </w:r>
            <w:r w:rsidRPr="005E4DD8">
              <w:rPr>
                <w:rFonts w:cs="Arial"/>
                <w:color w:val="0D0D0D" w:themeColor="text1" w:themeTint="F2"/>
                <w:spacing w:val="-4"/>
              </w:rPr>
              <w:t> </w:t>
            </w:r>
            <w:r w:rsidRPr="005E4DD8">
              <w:rPr>
                <w:spacing w:val="-4"/>
              </w:rPr>
              <w:t>v mezinárodním pohledu. Dle míry volných pracovních míst (v 1. čtvrtletí 6,4)</w:t>
            </w:r>
            <w:r w:rsidRPr="005E4DD8">
              <w:rPr>
                <w:rStyle w:val="Znakapoznpodarou"/>
                <w:color w:val="0D0D0D" w:themeColor="text1" w:themeTint="F2"/>
                <w:spacing w:val="-4"/>
              </w:rPr>
              <w:footnoteReference w:id="12"/>
            </w:r>
            <w:r w:rsidRPr="005E4DD8">
              <w:rPr>
                <w:spacing w:val="-4"/>
              </w:rPr>
              <w:t xml:space="preserve"> dosahovalo Česko v rámci států EU čelných pozic.</w:t>
            </w:r>
            <w:r>
              <w:rPr>
                <w:spacing w:val="-4"/>
              </w:rPr>
              <w:t xml:space="preserve"> Nejvyšší byla v administrativních a podpůrných činnostech (30), nejnižší ve vzdělávání a energetice (mírně pod 1). Meziročně silně rostla ve stavebnictví (z 10,6 na 15,7), snižovala se naopak jen v peněžnictví a pojišťovnictví (z 1,5 na 1,1).</w:t>
            </w:r>
          </w:p>
        </w:tc>
      </w:tr>
      <w:tr w:rsidR="00003849" w14:paraId="74AF293E" w14:textId="77777777" w:rsidTr="000A3D9E">
        <w:trPr>
          <w:trHeight w:val="98"/>
        </w:trPr>
        <w:tc>
          <w:tcPr>
            <w:tcW w:w="1804" w:type="dxa"/>
            <w:gridSpan w:val="2"/>
            <w:vMerge w:val="restart"/>
            <w:shd w:val="clear" w:color="auto" w:fill="auto"/>
            <w:tcMar>
              <w:left w:w="0" w:type="dxa"/>
            </w:tcMar>
          </w:tcPr>
          <w:p w14:paraId="030E7B4B" w14:textId="77777777" w:rsidR="00003849" w:rsidRDefault="00003849" w:rsidP="000A3D9E">
            <w:pPr>
              <w:pStyle w:val="Marginlie"/>
            </w:pPr>
          </w:p>
        </w:tc>
        <w:tc>
          <w:tcPr>
            <w:tcW w:w="232" w:type="dxa"/>
            <w:gridSpan w:val="2"/>
            <w:vMerge w:val="restart"/>
            <w:shd w:val="clear" w:color="auto" w:fill="auto"/>
            <w:tcMar>
              <w:left w:w="0" w:type="dxa"/>
            </w:tcMar>
          </w:tcPr>
          <w:p w14:paraId="5D9CA93C" w14:textId="77777777" w:rsidR="00003849" w:rsidRDefault="00003849" w:rsidP="000A3D9E">
            <w:pPr>
              <w:pStyle w:val="Textpoznpodarou"/>
              <w:jc w:val="both"/>
              <w:rPr>
                <w:spacing w:val="-4"/>
              </w:rPr>
            </w:pPr>
          </w:p>
        </w:tc>
        <w:tc>
          <w:tcPr>
            <w:tcW w:w="7618" w:type="dxa"/>
            <w:shd w:val="clear" w:color="auto" w:fill="auto"/>
            <w:tcMar>
              <w:left w:w="0" w:type="dxa"/>
            </w:tcMar>
          </w:tcPr>
          <w:p w14:paraId="5E155D75" w14:textId="77777777" w:rsidR="00003849" w:rsidRDefault="001208E3" w:rsidP="000A3D9E">
            <w:pPr>
              <w:spacing w:after="40" w:line="240" w:lineRule="auto"/>
              <w:rPr>
                <w:spacing w:val="-2"/>
              </w:rPr>
            </w:pPr>
            <w:r>
              <w:rPr>
                <w:b/>
                <w:spacing w:val="-3"/>
              </w:rPr>
              <w:t>Graf č. 15</w:t>
            </w:r>
            <w:r w:rsidR="00003849" w:rsidRPr="00990B08">
              <w:rPr>
                <w:b/>
                <w:spacing w:val="-3"/>
              </w:rPr>
              <w:t xml:space="preserve">  Průměrná mzda, mzdový medián a produktivita práce*</w:t>
            </w:r>
            <w:r w:rsidR="00003849">
              <w:rPr>
                <w:spacing w:val="-3"/>
              </w:rPr>
              <w:t xml:space="preserve"> </w:t>
            </w:r>
            <w:r w:rsidR="00003849" w:rsidRPr="00990B08">
              <w:rPr>
                <w:spacing w:val="-3"/>
              </w:rPr>
              <w:t>(meziročně, v %)</w:t>
            </w:r>
          </w:p>
        </w:tc>
      </w:tr>
      <w:tr w:rsidR="00003849" w14:paraId="57BF3EDC" w14:textId="77777777" w:rsidTr="00374263">
        <w:tblPrEx>
          <w:tblCellMar>
            <w:left w:w="70" w:type="dxa"/>
            <w:right w:w="70" w:type="dxa"/>
          </w:tblCellMar>
        </w:tblPrEx>
        <w:trPr>
          <w:trHeight w:val="96"/>
        </w:trPr>
        <w:tc>
          <w:tcPr>
            <w:tcW w:w="1804" w:type="dxa"/>
            <w:gridSpan w:val="2"/>
            <w:vMerge/>
            <w:shd w:val="clear" w:color="auto" w:fill="auto"/>
          </w:tcPr>
          <w:p w14:paraId="7ECE2442" w14:textId="77777777" w:rsidR="00003849" w:rsidRDefault="00003849" w:rsidP="000A3D9E">
            <w:pPr>
              <w:pStyle w:val="Marginlie"/>
            </w:pPr>
          </w:p>
        </w:tc>
        <w:tc>
          <w:tcPr>
            <w:tcW w:w="232" w:type="dxa"/>
            <w:gridSpan w:val="2"/>
            <w:vMerge/>
            <w:shd w:val="clear" w:color="auto" w:fill="auto"/>
          </w:tcPr>
          <w:p w14:paraId="4551F82E" w14:textId="77777777" w:rsidR="00003849" w:rsidRDefault="00003849" w:rsidP="000A3D9E">
            <w:pPr>
              <w:pStyle w:val="Textpoznpodarou"/>
              <w:jc w:val="both"/>
              <w:rPr>
                <w:spacing w:val="-4"/>
              </w:rPr>
            </w:pPr>
          </w:p>
        </w:tc>
        <w:tc>
          <w:tcPr>
            <w:tcW w:w="7618" w:type="dxa"/>
            <w:shd w:val="clear" w:color="auto" w:fill="auto"/>
          </w:tcPr>
          <w:p w14:paraId="74AACE74" w14:textId="694CFFD5" w:rsidR="00003849" w:rsidRDefault="00374263" w:rsidP="000A3D9E">
            <w:pPr>
              <w:spacing w:after="40" w:line="240" w:lineRule="auto"/>
              <w:rPr>
                <w:spacing w:val="-2"/>
              </w:rPr>
            </w:pPr>
            <w:r>
              <w:rPr>
                <w:noProof/>
              </w:rPr>
              <w:drawing>
                <wp:inline distT="0" distB="0" distL="0" distR="0" wp14:anchorId="5C902FA1" wp14:editId="571DB61A">
                  <wp:extent cx="4737600" cy="3528000"/>
                  <wp:effectExtent l="0" t="0" r="63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03849" w14:paraId="715E880C" w14:textId="77777777" w:rsidTr="000A3D9E">
        <w:trPr>
          <w:trHeight w:val="96"/>
        </w:trPr>
        <w:tc>
          <w:tcPr>
            <w:tcW w:w="1804" w:type="dxa"/>
            <w:gridSpan w:val="2"/>
            <w:vMerge/>
            <w:shd w:val="clear" w:color="auto" w:fill="auto"/>
            <w:tcMar>
              <w:left w:w="0" w:type="dxa"/>
            </w:tcMar>
          </w:tcPr>
          <w:p w14:paraId="5EDB6E8A" w14:textId="77777777" w:rsidR="00003849" w:rsidRDefault="00003849" w:rsidP="000A3D9E">
            <w:pPr>
              <w:pStyle w:val="Marginlie"/>
            </w:pPr>
          </w:p>
        </w:tc>
        <w:tc>
          <w:tcPr>
            <w:tcW w:w="232" w:type="dxa"/>
            <w:gridSpan w:val="2"/>
            <w:vMerge/>
            <w:shd w:val="clear" w:color="auto" w:fill="auto"/>
            <w:tcMar>
              <w:left w:w="0" w:type="dxa"/>
            </w:tcMar>
          </w:tcPr>
          <w:p w14:paraId="232C7E33" w14:textId="77777777" w:rsidR="00003849" w:rsidRDefault="00003849" w:rsidP="000A3D9E">
            <w:pPr>
              <w:pStyle w:val="Textpoznpodarou"/>
              <w:jc w:val="both"/>
              <w:rPr>
                <w:spacing w:val="-4"/>
              </w:rPr>
            </w:pPr>
          </w:p>
        </w:tc>
        <w:tc>
          <w:tcPr>
            <w:tcW w:w="7618" w:type="dxa"/>
            <w:shd w:val="clear" w:color="auto" w:fill="auto"/>
            <w:tcMar>
              <w:left w:w="0" w:type="dxa"/>
            </w:tcMar>
          </w:tcPr>
          <w:p w14:paraId="7CF22ABD" w14:textId="59DE5B41" w:rsidR="00003849" w:rsidRDefault="00003849" w:rsidP="000A3D9E">
            <w:pPr>
              <w:spacing w:after="200"/>
              <w:rPr>
                <w:spacing w:val="-2"/>
              </w:rPr>
            </w:pPr>
            <w:r w:rsidRPr="00990B08">
              <w:rPr>
                <w:spacing w:val="-3"/>
                <w:sz w:val="14"/>
                <w:szCs w:val="14"/>
              </w:rPr>
              <w:t>*Podíl sezónně neočištěného HDP a zaměstnanosti (v pojetí národ</w:t>
            </w:r>
            <w:r>
              <w:rPr>
                <w:spacing w:val="-3"/>
                <w:sz w:val="14"/>
                <w:szCs w:val="14"/>
              </w:rPr>
              <w:t xml:space="preserve">ních účtů).                                </w:t>
            </w:r>
            <w:r w:rsidRPr="00990B08">
              <w:rPr>
                <w:spacing w:val="-3"/>
                <w:sz w:val="14"/>
                <w:szCs w:val="14"/>
              </w:rPr>
              <w:t xml:space="preserve">      Zdroj:</w:t>
            </w:r>
            <w:r w:rsidRPr="00862F17">
              <w:rPr>
                <w:rFonts w:cs="Arial"/>
                <w:sz w:val="14"/>
                <w:szCs w:val="14"/>
              </w:rPr>
              <w:t xml:space="preserve"> ČSÚ (národní účty</w:t>
            </w:r>
            <w:r>
              <w:rPr>
                <w:rFonts w:cs="Arial"/>
                <w:sz w:val="14"/>
                <w:szCs w:val="14"/>
              </w:rPr>
              <w:t>)</w:t>
            </w:r>
          </w:p>
        </w:tc>
      </w:tr>
      <w:tr w:rsidR="00003849" w:rsidRPr="00D11525" w14:paraId="52F02C31" w14:textId="77777777" w:rsidTr="000A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90" w:type="dxa"/>
            <w:tcBorders>
              <w:top w:val="nil"/>
              <w:left w:val="nil"/>
              <w:bottom w:val="nil"/>
              <w:right w:val="nil"/>
            </w:tcBorders>
            <w:shd w:val="clear" w:color="auto" w:fill="auto"/>
            <w:tcMar>
              <w:left w:w="0" w:type="dxa"/>
            </w:tcMar>
          </w:tcPr>
          <w:p w14:paraId="52962A12" w14:textId="77777777" w:rsidR="00003849" w:rsidRDefault="00003849" w:rsidP="000A3D9E">
            <w:pPr>
              <w:pStyle w:val="Marginlie"/>
            </w:pPr>
            <w:r>
              <w:t xml:space="preserve">Náznaky </w:t>
            </w:r>
            <w:r w:rsidR="0023288F">
              <w:t>oslabení růstu</w:t>
            </w:r>
            <w:r>
              <w:t xml:space="preserve"> průměrných mezd z konce loňského roku se zatím nepotvrdily.</w:t>
            </w:r>
          </w:p>
          <w:p w14:paraId="65D8DC2A" w14:textId="77777777" w:rsidR="00003849" w:rsidRDefault="00003849" w:rsidP="000A3D9E">
            <w:pPr>
              <w:pStyle w:val="Marginlie"/>
            </w:pPr>
          </w:p>
          <w:p w14:paraId="4B83191D" w14:textId="77777777" w:rsidR="00003849" w:rsidRDefault="00003849" w:rsidP="000A3D9E">
            <w:pPr>
              <w:pStyle w:val="Marginlie"/>
            </w:pPr>
          </w:p>
          <w:p w14:paraId="7F674FEA" w14:textId="77777777" w:rsidR="00003849" w:rsidRDefault="00003849" w:rsidP="000A3D9E">
            <w:pPr>
              <w:pStyle w:val="Marginlie"/>
            </w:pPr>
          </w:p>
          <w:p w14:paraId="3971B0CE" w14:textId="77777777" w:rsidR="00003849" w:rsidRDefault="00003849" w:rsidP="000A3D9E">
            <w:pPr>
              <w:pStyle w:val="Marginlie"/>
            </w:pPr>
          </w:p>
          <w:p w14:paraId="59989EC8" w14:textId="77777777" w:rsidR="00003849" w:rsidRDefault="00003849" w:rsidP="000A3D9E">
            <w:pPr>
              <w:pStyle w:val="Marginlie"/>
            </w:pPr>
          </w:p>
          <w:p w14:paraId="4F105797" w14:textId="77777777" w:rsidR="00003849" w:rsidRDefault="00003849" w:rsidP="000A3D9E">
            <w:pPr>
              <w:pStyle w:val="Marginlie"/>
            </w:pPr>
          </w:p>
          <w:p w14:paraId="40FD1C23" w14:textId="77777777" w:rsidR="00003849" w:rsidRDefault="00003849" w:rsidP="000A3D9E">
            <w:pPr>
              <w:pStyle w:val="Marginlie"/>
            </w:pPr>
            <w:r>
              <w:t>Více než 8% mzdový růst ve finančním sektoru byl tažen výplatou mimořádných odměn. Dařilo se i obchodu, jenž těžil z pokračujících pozitivních nálad spotřebitelů.</w:t>
            </w:r>
          </w:p>
          <w:p w14:paraId="492D5437" w14:textId="77777777" w:rsidR="00003849" w:rsidRDefault="00003849" w:rsidP="000A3D9E">
            <w:pPr>
              <w:pStyle w:val="Marginlie"/>
            </w:pPr>
          </w:p>
          <w:p w14:paraId="6B04923A" w14:textId="77777777" w:rsidR="00003849" w:rsidRDefault="00003849" w:rsidP="000A3D9E">
            <w:pPr>
              <w:pStyle w:val="Marginlie"/>
            </w:pPr>
          </w:p>
          <w:p w14:paraId="296AA984" w14:textId="77777777" w:rsidR="00003849" w:rsidRDefault="00003849" w:rsidP="000A3D9E">
            <w:pPr>
              <w:pStyle w:val="Marginlie"/>
            </w:pPr>
          </w:p>
          <w:p w14:paraId="7BF5FCE6" w14:textId="77777777" w:rsidR="00003849" w:rsidRDefault="00003849" w:rsidP="000A3D9E">
            <w:pPr>
              <w:pStyle w:val="Marginlie"/>
            </w:pPr>
          </w:p>
          <w:p w14:paraId="26F3FC7E" w14:textId="77777777" w:rsidR="00003849" w:rsidRDefault="00003849" w:rsidP="000A3D9E">
            <w:pPr>
              <w:pStyle w:val="Marginlie"/>
            </w:pPr>
          </w:p>
          <w:p w14:paraId="792A27D7" w14:textId="5A3567EB" w:rsidR="00003849" w:rsidRDefault="00003849" w:rsidP="000A3D9E">
            <w:pPr>
              <w:pStyle w:val="Marginlie"/>
              <w:rPr>
                <w:spacing w:val="-3"/>
              </w:rPr>
            </w:pPr>
            <w:r w:rsidRPr="00C502A3">
              <w:rPr>
                <w:spacing w:val="-3"/>
              </w:rPr>
              <w:t xml:space="preserve">Podprůměrný mzdový růst při současném nadprůměrném růstu počtu </w:t>
            </w:r>
            <w:r>
              <w:rPr>
                <w:spacing w:val="-3"/>
              </w:rPr>
              <w:t>zaměstnanců přetrvává v Praze již od konce poslední recese</w:t>
            </w:r>
            <w:r w:rsidR="007F2353">
              <w:rPr>
                <w:spacing w:val="-3"/>
              </w:rPr>
              <w:t>.</w:t>
            </w:r>
          </w:p>
          <w:p w14:paraId="61475A8A" w14:textId="77777777" w:rsidR="00003849" w:rsidRDefault="00003849" w:rsidP="000A3D9E">
            <w:pPr>
              <w:pStyle w:val="Marginlie"/>
              <w:rPr>
                <w:spacing w:val="-3"/>
              </w:rPr>
            </w:pPr>
          </w:p>
          <w:p w14:paraId="09694EA8" w14:textId="77777777" w:rsidR="00003849" w:rsidRDefault="00003849" w:rsidP="000A3D9E">
            <w:pPr>
              <w:pStyle w:val="Marginlie"/>
              <w:rPr>
                <w:spacing w:val="-3"/>
              </w:rPr>
            </w:pPr>
          </w:p>
          <w:p w14:paraId="27FB3370" w14:textId="77777777" w:rsidR="00003849" w:rsidRDefault="00003849" w:rsidP="000A3D9E">
            <w:pPr>
              <w:pStyle w:val="Marginlie"/>
              <w:rPr>
                <w:spacing w:val="-3"/>
              </w:rPr>
            </w:pPr>
          </w:p>
          <w:p w14:paraId="6AF11033" w14:textId="77777777" w:rsidR="00003849" w:rsidRDefault="00003849" w:rsidP="000A3D9E">
            <w:pPr>
              <w:pStyle w:val="Marginlie"/>
              <w:rPr>
                <w:spacing w:val="-3"/>
              </w:rPr>
            </w:pPr>
          </w:p>
          <w:p w14:paraId="3D075D6D" w14:textId="77777777" w:rsidR="00003849" w:rsidRDefault="00003849" w:rsidP="000A3D9E">
            <w:pPr>
              <w:pStyle w:val="Marginlie"/>
            </w:pPr>
            <w:r>
              <w:rPr>
                <w:spacing w:val="-3"/>
              </w:rPr>
              <w:t>Tempo růstu kupní síly mezd mírně zvolnilo, přesto zůstalo vysoké.</w:t>
            </w:r>
          </w:p>
        </w:tc>
        <w:tc>
          <w:tcPr>
            <w:tcW w:w="216" w:type="dxa"/>
            <w:gridSpan w:val="2"/>
            <w:tcBorders>
              <w:top w:val="nil"/>
              <w:left w:val="nil"/>
              <w:bottom w:val="nil"/>
              <w:right w:val="nil"/>
            </w:tcBorders>
            <w:shd w:val="clear" w:color="auto" w:fill="auto"/>
            <w:tcMar>
              <w:left w:w="0" w:type="dxa"/>
            </w:tcMar>
          </w:tcPr>
          <w:p w14:paraId="5E9803D3" w14:textId="77777777" w:rsidR="00003849" w:rsidRDefault="00003849" w:rsidP="000A3D9E">
            <w:pPr>
              <w:pStyle w:val="Textpoznpodarou"/>
              <w:jc w:val="both"/>
              <w:rPr>
                <w:spacing w:val="-4"/>
              </w:rPr>
            </w:pPr>
          </w:p>
        </w:tc>
        <w:tc>
          <w:tcPr>
            <w:tcW w:w="7648" w:type="dxa"/>
            <w:gridSpan w:val="2"/>
            <w:tcBorders>
              <w:top w:val="nil"/>
              <w:left w:val="nil"/>
              <w:bottom w:val="nil"/>
              <w:right w:val="nil"/>
            </w:tcBorders>
            <w:shd w:val="clear" w:color="auto" w:fill="auto"/>
            <w:tcMar>
              <w:left w:w="0" w:type="dxa"/>
            </w:tcMar>
          </w:tcPr>
          <w:p w14:paraId="08D79EB5" w14:textId="1BA0D131" w:rsidR="00003849" w:rsidRPr="00D11525" w:rsidRDefault="00003849" w:rsidP="000A3D9E">
            <w:pPr>
              <w:spacing w:after="0"/>
              <w:rPr>
                <w:rFonts w:cs="Arial"/>
                <w:color w:val="0D0D0D" w:themeColor="text1" w:themeTint="F2"/>
                <w:spacing w:val="-4"/>
              </w:rPr>
            </w:pPr>
            <w:r w:rsidRPr="00A53197">
              <w:rPr>
                <w:spacing w:val="-4"/>
              </w:rPr>
              <w:t xml:space="preserve">V 1. čtvrtletí 2019 </w:t>
            </w:r>
            <w:r>
              <w:rPr>
                <w:spacing w:val="-4"/>
              </w:rPr>
              <w:t xml:space="preserve">činila </w:t>
            </w:r>
            <w:r w:rsidRPr="00A53197">
              <w:rPr>
                <w:rFonts w:cs="Arial"/>
                <w:spacing w:val="-4"/>
                <w:szCs w:val="20"/>
              </w:rPr>
              <w:t>(</w:t>
            </w:r>
            <w:r w:rsidRPr="00A53197">
              <w:rPr>
                <w:rFonts w:cs="Arial"/>
                <w:color w:val="0D0D0D" w:themeColor="text1" w:themeTint="F2"/>
                <w:spacing w:val="-4"/>
              </w:rPr>
              <w:t xml:space="preserve">dle podnikových statistik) průměrná hrubá nominální </w:t>
            </w:r>
            <w:r>
              <w:rPr>
                <w:rFonts w:cs="Arial"/>
                <w:color w:val="0D0D0D" w:themeColor="text1" w:themeTint="F2"/>
                <w:spacing w:val="-4"/>
              </w:rPr>
              <w:t xml:space="preserve">měsíční </w:t>
            </w:r>
            <w:r w:rsidRPr="00A53197">
              <w:rPr>
                <w:rFonts w:cs="Arial"/>
                <w:color w:val="0D0D0D" w:themeColor="text1" w:themeTint="F2"/>
                <w:spacing w:val="-4"/>
              </w:rPr>
              <w:t>mzda zaměstnance v ekonomice</w:t>
            </w:r>
            <w:r>
              <w:rPr>
                <w:rFonts w:cs="Arial"/>
                <w:color w:val="0D0D0D" w:themeColor="text1" w:themeTint="F2"/>
                <w:spacing w:val="-4"/>
              </w:rPr>
              <w:t xml:space="preserve"> 32,5 tis</w:t>
            </w:r>
            <w:r w:rsidR="004C589C">
              <w:rPr>
                <w:rFonts w:cs="Arial"/>
                <w:color w:val="0D0D0D" w:themeColor="text1" w:themeTint="F2"/>
                <w:spacing w:val="-4"/>
              </w:rPr>
              <w:t xml:space="preserve">. </w:t>
            </w:r>
            <w:r>
              <w:rPr>
                <w:rFonts w:cs="Arial"/>
                <w:color w:val="0D0D0D" w:themeColor="text1" w:themeTint="F2"/>
                <w:spacing w:val="-4"/>
              </w:rPr>
              <w:t xml:space="preserve">korun a meziročně </w:t>
            </w:r>
            <w:r w:rsidRPr="00A53197">
              <w:rPr>
                <w:rFonts w:cs="Arial"/>
                <w:spacing w:val="-4"/>
                <w:szCs w:val="20"/>
              </w:rPr>
              <w:t>vzrostla</w:t>
            </w:r>
            <w:r w:rsidRPr="00A53197">
              <w:rPr>
                <w:rFonts w:cs="Arial"/>
                <w:color w:val="0D0D0D" w:themeColor="text1" w:themeTint="F2"/>
                <w:spacing w:val="-4"/>
              </w:rPr>
              <w:t xml:space="preserve"> o 7,4</w:t>
            </w:r>
            <w:r w:rsidR="00870ECD">
              <w:rPr>
                <w:rFonts w:cs="Arial"/>
                <w:color w:val="0D0D0D" w:themeColor="text1" w:themeTint="F2"/>
                <w:spacing w:val="-4"/>
              </w:rPr>
              <w:t> %</w:t>
            </w:r>
            <w:r>
              <w:rPr>
                <w:rFonts w:cs="Arial"/>
                <w:color w:val="0D0D0D" w:themeColor="text1" w:themeTint="F2"/>
                <w:spacing w:val="-4"/>
              </w:rPr>
              <w:t xml:space="preserve"> (podobně jako</w:t>
            </w:r>
            <w:r w:rsidRPr="00A53197">
              <w:rPr>
                <w:rFonts w:cs="Arial"/>
                <w:color w:val="0D0D0D" w:themeColor="text1" w:themeTint="F2"/>
                <w:spacing w:val="-4"/>
              </w:rPr>
              <w:t xml:space="preserve"> za celý lo</w:t>
            </w:r>
            <w:r>
              <w:rPr>
                <w:rFonts w:cs="Arial"/>
                <w:color w:val="0D0D0D" w:themeColor="text1" w:themeTint="F2"/>
                <w:spacing w:val="-4"/>
              </w:rPr>
              <w:t>ňský rok:</w:t>
            </w:r>
            <w:r w:rsidR="004C589C">
              <w:rPr>
                <w:rFonts w:cs="Arial"/>
                <w:color w:val="0D0D0D" w:themeColor="text1" w:themeTint="F2"/>
                <w:spacing w:val="-4"/>
              </w:rPr>
              <w:t xml:space="preserve"> </w:t>
            </w:r>
            <w:r w:rsidRPr="00A53197">
              <w:rPr>
                <w:rFonts w:cs="Arial"/>
                <w:color w:val="0D0D0D" w:themeColor="text1" w:themeTint="F2"/>
                <w:spacing w:val="-4"/>
              </w:rPr>
              <w:t>7,5</w:t>
            </w:r>
            <w:r w:rsidR="00870ECD">
              <w:rPr>
                <w:rFonts w:cs="Arial"/>
                <w:color w:val="0D0D0D" w:themeColor="text1" w:themeTint="F2"/>
                <w:spacing w:val="-4"/>
              </w:rPr>
              <w:t> %</w:t>
            </w:r>
            <w:r w:rsidRPr="00A53197">
              <w:rPr>
                <w:rFonts w:cs="Arial"/>
                <w:color w:val="0D0D0D" w:themeColor="text1" w:themeTint="F2"/>
                <w:spacing w:val="-4"/>
              </w:rPr>
              <w:t>). Mezič</w:t>
            </w:r>
            <w:r>
              <w:rPr>
                <w:rFonts w:cs="Arial"/>
                <w:color w:val="0D0D0D" w:themeColor="text1" w:themeTint="F2"/>
                <w:spacing w:val="-4"/>
              </w:rPr>
              <w:t>t</w:t>
            </w:r>
            <w:r w:rsidRPr="00A53197">
              <w:rPr>
                <w:rFonts w:cs="Arial"/>
                <w:color w:val="0D0D0D" w:themeColor="text1" w:themeTint="F2"/>
                <w:spacing w:val="-4"/>
              </w:rPr>
              <w:t>vrtletní růst se letos opět přiblížil 2</w:t>
            </w:r>
            <w:r w:rsidR="00870ECD">
              <w:rPr>
                <w:rFonts w:cs="Arial"/>
                <w:color w:val="0D0D0D" w:themeColor="text1" w:themeTint="F2"/>
                <w:spacing w:val="-4"/>
              </w:rPr>
              <w:t> %</w:t>
            </w:r>
            <w:r w:rsidRPr="00A53197">
              <w:rPr>
                <w:rFonts w:cs="Arial"/>
                <w:color w:val="0D0D0D" w:themeColor="text1" w:themeTint="F2"/>
                <w:spacing w:val="-4"/>
              </w:rPr>
              <w:t xml:space="preserve"> (obdobná tempa vykazoval i po většinu loňského roku, pouze v jeho závěru tempo mírně kleslo na 1,5</w:t>
            </w:r>
            <w:r w:rsidR="00870ECD">
              <w:rPr>
                <w:rFonts w:cs="Arial"/>
                <w:color w:val="0D0D0D" w:themeColor="text1" w:themeTint="F2"/>
                <w:spacing w:val="-4"/>
              </w:rPr>
              <w:t> %</w:t>
            </w:r>
            <w:r w:rsidRPr="00A53197">
              <w:rPr>
                <w:rFonts w:cs="Arial"/>
                <w:color w:val="0D0D0D" w:themeColor="text1" w:themeTint="F2"/>
                <w:spacing w:val="-4"/>
              </w:rPr>
              <w:t>)</w:t>
            </w:r>
            <w:r w:rsidR="0029509B">
              <w:rPr>
                <w:rFonts w:cs="Arial"/>
                <w:color w:val="0D0D0D" w:themeColor="text1" w:themeTint="F2"/>
                <w:spacing w:val="-4"/>
              </w:rPr>
              <w:t>.</w:t>
            </w:r>
            <w:r w:rsidRPr="00A53197">
              <w:rPr>
                <w:rFonts w:cs="Arial"/>
                <w:color w:val="0D0D0D" w:themeColor="text1" w:themeTint="F2"/>
                <w:spacing w:val="-4"/>
              </w:rPr>
              <w:t xml:space="preserve"> Náznaky zvolňování růstu, indikované údaji v konci roku 2018, se tak zatím příliš nepotvrdily. To může souviset i </w:t>
            </w:r>
            <w:r w:rsidR="00D60E3C">
              <w:rPr>
                <w:rFonts w:cs="Arial"/>
                <w:color w:val="0D0D0D" w:themeColor="text1" w:themeTint="F2"/>
                <w:spacing w:val="-4"/>
              </w:rPr>
              <w:t xml:space="preserve">se </w:t>
            </w:r>
            <w:r w:rsidRPr="00A53197">
              <w:rPr>
                <w:rFonts w:cs="Arial"/>
                <w:color w:val="0D0D0D" w:themeColor="text1" w:themeTint="F2"/>
                <w:spacing w:val="-4"/>
              </w:rPr>
              <w:t>silným letošním růstem průměrných mezd ve finančním sektoru (+8,3 % meziročn</w:t>
            </w:r>
            <w:r w:rsidR="00D60E3C">
              <w:rPr>
                <w:rFonts w:cs="Arial"/>
                <w:color w:val="0D0D0D" w:themeColor="text1" w:themeTint="F2"/>
                <w:spacing w:val="-4"/>
              </w:rPr>
              <w:t>ě) ovlivněným mimořádnými odměnami</w:t>
            </w:r>
            <w:r w:rsidRPr="00A53197">
              <w:rPr>
                <w:rFonts w:cs="Arial"/>
                <w:color w:val="0D0D0D" w:themeColor="text1" w:themeTint="F2"/>
                <w:spacing w:val="-4"/>
              </w:rPr>
              <w:t xml:space="preserve"> vázanými na velmi dobré hospodářské výsledky roku 2018. Roli patrně sehrálo i „posunutí“ navýšení platových tarifů ve školství až na počátek roku 2019. Ve zpracovatelském průmyslu ale růst slábl (na 6,4</w:t>
            </w:r>
            <w:r w:rsidR="00870ECD">
              <w:rPr>
                <w:rFonts w:cs="Arial"/>
                <w:color w:val="0D0D0D" w:themeColor="text1" w:themeTint="F2"/>
                <w:spacing w:val="-4"/>
              </w:rPr>
              <w:t> %</w:t>
            </w:r>
            <w:r w:rsidRPr="00A53197">
              <w:rPr>
                <w:rFonts w:cs="Arial"/>
                <w:color w:val="0D0D0D" w:themeColor="text1" w:themeTint="F2"/>
                <w:spacing w:val="-4"/>
              </w:rPr>
              <w:t>, za celý loňský rok 7,0</w:t>
            </w:r>
            <w:r w:rsidR="00870ECD">
              <w:rPr>
                <w:rFonts w:cs="Arial"/>
                <w:color w:val="0D0D0D" w:themeColor="text1" w:themeTint="F2"/>
                <w:spacing w:val="-4"/>
              </w:rPr>
              <w:t> %</w:t>
            </w:r>
            <w:r w:rsidRPr="00A53197">
              <w:rPr>
                <w:rFonts w:cs="Arial"/>
                <w:color w:val="0D0D0D" w:themeColor="text1" w:themeTint="F2"/>
                <w:spacing w:val="-4"/>
              </w:rPr>
              <w:t xml:space="preserve">). </w:t>
            </w:r>
            <w:r>
              <w:rPr>
                <w:rFonts w:cs="Arial"/>
                <w:color w:val="0D0D0D" w:themeColor="text1" w:themeTint="F2"/>
                <w:spacing w:val="-4"/>
              </w:rPr>
              <w:t>Opačně</w:t>
            </w:r>
            <w:r w:rsidRPr="00A53197">
              <w:rPr>
                <w:rFonts w:cs="Arial"/>
                <w:color w:val="0D0D0D" w:themeColor="text1" w:themeTint="F2"/>
                <w:spacing w:val="-4"/>
              </w:rPr>
              <w:t xml:space="preserve"> tomu bylo v jiném váhově významném odvětví –</w:t>
            </w:r>
            <w:r w:rsidR="0029509B">
              <w:rPr>
                <w:rFonts w:cs="Arial"/>
                <w:color w:val="0D0D0D" w:themeColor="text1" w:themeTint="F2"/>
                <w:spacing w:val="-4"/>
              </w:rPr>
              <w:t> </w:t>
            </w:r>
            <w:r w:rsidRPr="00A53197">
              <w:rPr>
                <w:rFonts w:cs="Arial"/>
                <w:color w:val="0D0D0D" w:themeColor="text1" w:themeTint="F2"/>
                <w:spacing w:val="-4"/>
              </w:rPr>
              <w:t>obchodu (8,0 </w:t>
            </w:r>
            <w:r>
              <w:rPr>
                <w:rFonts w:cs="Arial"/>
                <w:color w:val="0D0D0D" w:themeColor="text1" w:themeTint="F2"/>
                <w:spacing w:val="-4"/>
              </w:rPr>
              <w:t xml:space="preserve">% oproti </w:t>
            </w:r>
            <w:r w:rsidRPr="00A53197">
              <w:rPr>
                <w:rFonts w:cs="Arial"/>
                <w:color w:val="0D0D0D" w:themeColor="text1" w:themeTint="F2"/>
                <w:spacing w:val="-4"/>
              </w:rPr>
              <w:t>6,8</w:t>
            </w:r>
            <w:r w:rsidR="00870ECD">
              <w:rPr>
                <w:rFonts w:cs="Arial"/>
                <w:color w:val="0D0D0D" w:themeColor="text1" w:themeTint="F2"/>
                <w:spacing w:val="-4"/>
              </w:rPr>
              <w:t> %</w:t>
            </w:r>
            <w:r w:rsidRPr="00A53197">
              <w:rPr>
                <w:rFonts w:cs="Arial"/>
                <w:color w:val="0D0D0D" w:themeColor="text1" w:themeTint="F2"/>
                <w:spacing w:val="-4"/>
              </w:rPr>
              <w:t xml:space="preserve">). </w:t>
            </w:r>
            <w:r>
              <w:rPr>
                <w:rFonts w:cs="Arial"/>
                <w:color w:val="0D0D0D" w:themeColor="text1" w:themeTint="F2"/>
                <w:spacing w:val="-4"/>
              </w:rPr>
              <w:t>N</w:t>
            </w:r>
            <w:r w:rsidRPr="00A53197">
              <w:rPr>
                <w:rFonts w:cs="Arial"/>
                <w:color w:val="0D0D0D" w:themeColor="text1" w:themeTint="F2"/>
                <w:spacing w:val="-4"/>
              </w:rPr>
              <w:t xml:space="preserve">ejméně rostly v 1. čtvrtletí mzdy v informačních </w:t>
            </w:r>
            <w:r>
              <w:rPr>
                <w:rFonts w:cs="Arial"/>
                <w:color w:val="0D0D0D" w:themeColor="text1" w:themeTint="F2"/>
                <w:spacing w:val="-4"/>
              </w:rPr>
              <w:t>a</w:t>
            </w:r>
            <w:r w:rsidRPr="00A53197">
              <w:rPr>
                <w:rFonts w:cs="Arial"/>
                <w:color w:val="0D0D0D" w:themeColor="text1" w:themeTint="F2"/>
                <w:spacing w:val="-4"/>
              </w:rPr>
              <w:t> ko</w:t>
            </w:r>
            <w:r>
              <w:rPr>
                <w:rFonts w:cs="Arial"/>
                <w:color w:val="0D0D0D" w:themeColor="text1" w:themeTint="F2"/>
                <w:spacing w:val="-4"/>
              </w:rPr>
              <w:t>munikačních činnostech (4,3</w:t>
            </w:r>
            <w:r w:rsidR="00870ECD">
              <w:rPr>
                <w:rFonts w:cs="Arial"/>
                <w:color w:val="0D0D0D" w:themeColor="text1" w:themeTint="F2"/>
                <w:spacing w:val="-4"/>
              </w:rPr>
              <w:t> %</w:t>
            </w:r>
            <w:r>
              <w:rPr>
                <w:rFonts w:cs="Arial"/>
                <w:color w:val="0D0D0D" w:themeColor="text1" w:themeTint="F2"/>
                <w:spacing w:val="-4"/>
              </w:rPr>
              <w:t>), absolutně to ale bylo téměř dvojnásobně (2</w:t>
            </w:r>
            <w:r w:rsidR="0029509B">
              <w:rPr>
                <w:rFonts w:cs="Arial"/>
                <w:color w:val="0D0D0D" w:themeColor="text1" w:themeTint="F2"/>
                <w:spacing w:val="-4"/>
              </w:rPr>
              <w:t> </w:t>
            </w:r>
            <w:r>
              <w:rPr>
                <w:rFonts w:cs="Arial"/>
                <w:color w:val="0D0D0D" w:themeColor="text1" w:themeTint="F2"/>
                <w:spacing w:val="-4"/>
              </w:rPr>
              <w:t>471</w:t>
            </w:r>
            <w:r w:rsidR="0029509B">
              <w:rPr>
                <w:rFonts w:cs="Arial"/>
                <w:color w:val="0D0D0D" w:themeColor="text1" w:themeTint="F2"/>
                <w:spacing w:val="-4"/>
              </w:rPr>
              <w:t> </w:t>
            </w:r>
            <w:r>
              <w:rPr>
                <w:rFonts w:cs="Arial"/>
                <w:color w:val="0D0D0D" w:themeColor="text1" w:themeTint="F2"/>
                <w:spacing w:val="-4"/>
              </w:rPr>
              <w:t>korun) oproti průměru za celo</w:t>
            </w:r>
            <w:r w:rsidR="000F47E8">
              <w:rPr>
                <w:rFonts w:cs="Arial"/>
                <w:color w:val="0D0D0D" w:themeColor="text1" w:themeTint="F2"/>
                <w:spacing w:val="-4"/>
              </w:rPr>
              <w:t>u ekonomiku. Druhý extrém představoval</w:t>
            </w:r>
            <w:r>
              <w:rPr>
                <w:rFonts w:cs="Arial"/>
                <w:color w:val="0D0D0D" w:themeColor="text1" w:themeTint="F2"/>
                <w:spacing w:val="-4"/>
              </w:rPr>
              <w:t xml:space="preserve"> nebývale vysoký růst mezd v kulturních, zábavních a rekreačních činnostech (16,8</w:t>
            </w:r>
            <w:r w:rsidR="00870ECD">
              <w:rPr>
                <w:rFonts w:cs="Arial"/>
                <w:color w:val="0D0D0D" w:themeColor="text1" w:themeTint="F2"/>
                <w:spacing w:val="-4"/>
              </w:rPr>
              <w:t> %</w:t>
            </w:r>
            <w:r>
              <w:rPr>
                <w:rFonts w:cs="Arial"/>
                <w:color w:val="0D0D0D" w:themeColor="text1" w:themeTint="F2"/>
                <w:spacing w:val="-4"/>
              </w:rPr>
              <w:t>), který se ale soustředil v segmentu mimo oblast veřejných služeb. V rámci nich rostly nejvíce výděl</w:t>
            </w:r>
            <w:r w:rsidR="00D75AC1">
              <w:rPr>
                <w:rFonts w:cs="Arial"/>
                <w:color w:val="0D0D0D" w:themeColor="text1" w:themeTint="F2"/>
                <w:spacing w:val="-4"/>
              </w:rPr>
              <w:t>ky pracovníkům ve vzdělávání (o</w:t>
            </w:r>
            <w:r w:rsidR="00D75AC1" w:rsidRPr="00A53197">
              <w:rPr>
                <w:rFonts w:cs="Arial"/>
                <w:color w:val="0D0D0D" w:themeColor="text1" w:themeTint="F2"/>
                <w:spacing w:val="-4"/>
              </w:rPr>
              <w:t> </w:t>
            </w:r>
            <w:r w:rsidR="00D75AC1">
              <w:rPr>
                <w:rFonts w:cs="Arial"/>
                <w:color w:val="0D0D0D" w:themeColor="text1" w:themeTint="F2"/>
                <w:spacing w:val="-4"/>
              </w:rPr>
              <w:t>téměř 10</w:t>
            </w:r>
            <w:r w:rsidR="00870ECD">
              <w:rPr>
                <w:rFonts w:cs="Arial"/>
                <w:color w:val="0D0D0D" w:themeColor="text1" w:themeTint="F2"/>
                <w:spacing w:val="-4"/>
              </w:rPr>
              <w:t> %</w:t>
            </w:r>
            <w:r w:rsidR="00D75AC1">
              <w:rPr>
                <w:rFonts w:cs="Arial"/>
                <w:color w:val="0D0D0D" w:themeColor="text1" w:themeTint="F2"/>
                <w:spacing w:val="-4"/>
              </w:rPr>
              <w:t>). I</w:t>
            </w:r>
            <w:r w:rsidRPr="00C502A3">
              <w:rPr>
                <w:spacing w:val="-3"/>
              </w:rPr>
              <w:t xml:space="preserve"> ta</w:t>
            </w:r>
            <w:r>
              <w:rPr>
                <w:spacing w:val="-3"/>
              </w:rPr>
              <w:t xml:space="preserve">k jejich průměrná měsíční výše </w:t>
            </w:r>
            <w:r w:rsidRPr="00C502A3">
              <w:rPr>
                <w:spacing w:val="-3"/>
              </w:rPr>
              <w:t>za úrovní národního hospodářství stále mírně zaostávala</w:t>
            </w:r>
            <w:r>
              <w:rPr>
                <w:spacing w:val="-3"/>
              </w:rPr>
              <w:t>. O tom, že opakovaný růst hranice minimální mzdy přestává hrát klíčovou roli v meziodvětvové diferenciaci mzdové dynamiky, svědčí i</w:t>
            </w:r>
            <w:r w:rsidRPr="00A53197">
              <w:rPr>
                <w:rFonts w:cs="Arial"/>
                <w:color w:val="0D0D0D" w:themeColor="text1" w:themeTint="F2"/>
                <w:spacing w:val="-4"/>
              </w:rPr>
              <w:t> </w:t>
            </w:r>
            <w:r>
              <w:rPr>
                <w:spacing w:val="-3"/>
              </w:rPr>
              <w:t xml:space="preserve">slabší vykazovaný růst průměrných mezd v odvětví tradičně s nejnižší mzdovou úrovní </w:t>
            </w:r>
            <w:r w:rsidRPr="00A53197">
              <w:rPr>
                <w:rFonts w:cs="Arial"/>
                <w:color w:val="0D0D0D" w:themeColor="text1" w:themeTint="F2"/>
                <w:spacing w:val="-4"/>
              </w:rPr>
              <w:t>–</w:t>
            </w:r>
            <w:r w:rsidR="009341F1">
              <w:rPr>
                <w:rFonts w:cs="Arial"/>
                <w:color w:val="0D0D0D" w:themeColor="text1" w:themeTint="F2"/>
                <w:spacing w:val="-4"/>
              </w:rPr>
              <w:t> </w:t>
            </w:r>
            <w:r>
              <w:rPr>
                <w:spacing w:val="-3"/>
              </w:rPr>
              <w:t>ubytování, stravování a pohostinství (7,0</w:t>
            </w:r>
            <w:r w:rsidR="00870ECD">
              <w:rPr>
                <w:spacing w:val="-3"/>
              </w:rPr>
              <w:t> %</w:t>
            </w:r>
            <w:r>
              <w:rPr>
                <w:spacing w:val="-3"/>
              </w:rPr>
              <w:t>, resp. 7,3</w:t>
            </w:r>
            <w:r w:rsidR="00870ECD">
              <w:rPr>
                <w:spacing w:val="-3"/>
              </w:rPr>
              <w:t> %</w:t>
            </w:r>
            <w:r>
              <w:rPr>
                <w:spacing w:val="-3"/>
              </w:rPr>
              <w:t xml:space="preserve"> za celý rok 2018). Z pohledu regionů se v 1.</w:t>
            </w:r>
            <w:r w:rsidRPr="00A53197">
              <w:rPr>
                <w:rFonts w:cs="Arial"/>
                <w:color w:val="0D0D0D" w:themeColor="text1" w:themeTint="F2"/>
                <w:spacing w:val="-4"/>
              </w:rPr>
              <w:t> </w:t>
            </w:r>
            <w:r>
              <w:rPr>
                <w:spacing w:val="-3"/>
              </w:rPr>
              <w:t>čtvrtletí mzdový růst</w:t>
            </w:r>
            <w:r w:rsidRPr="00C502A3">
              <w:rPr>
                <w:spacing w:val="-3"/>
              </w:rPr>
              <w:t xml:space="preserve"> pří</w:t>
            </w:r>
            <w:r>
              <w:rPr>
                <w:spacing w:val="-3"/>
              </w:rPr>
              <w:t>liš neodlišoval – nejvyšší byl</w:t>
            </w:r>
            <w:r w:rsidRPr="00C502A3">
              <w:rPr>
                <w:spacing w:val="-3"/>
              </w:rPr>
              <w:t xml:space="preserve"> ve Středočeském</w:t>
            </w:r>
            <w:r>
              <w:rPr>
                <w:spacing w:val="-3"/>
              </w:rPr>
              <w:t xml:space="preserve"> a Olomouckém kraji (</w:t>
            </w:r>
            <w:r w:rsidR="0029509B">
              <w:rPr>
                <w:spacing w:val="-3"/>
              </w:rPr>
              <w:t xml:space="preserve">shodně </w:t>
            </w:r>
            <w:r>
              <w:rPr>
                <w:spacing w:val="-3"/>
              </w:rPr>
              <w:t>7,9</w:t>
            </w:r>
            <w:r w:rsidR="00870ECD">
              <w:rPr>
                <w:spacing w:val="-3"/>
              </w:rPr>
              <w:t> %</w:t>
            </w:r>
            <w:r>
              <w:rPr>
                <w:spacing w:val="-3"/>
              </w:rPr>
              <w:t>), nejnižší na Vysočině (6,5</w:t>
            </w:r>
            <w:r w:rsidR="00870ECD">
              <w:rPr>
                <w:spacing w:val="-3"/>
              </w:rPr>
              <w:t> %</w:t>
            </w:r>
            <w:r>
              <w:rPr>
                <w:spacing w:val="-3"/>
              </w:rPr>
              <w:t>) a v Praze (7,0</w:t>
            </w:r>
            <w:r w:rsidRPr="00C502A3">
              <w:rPr>
                <w:spacing w:val="-3"/>
              </w:rPr>
              <w:t> %). Podprůměrný mzdový růst při současném nadprůměrném růstu počtu zaměstnanců přetrvává v metropoli</w:t>
            </w:r>
            <w:r>
              <w:rPr>
                <w:spacing w:val="-3"/>
              </w:rPr>
              <w:t xml:space="preserve"> již od konce poslední recese. Zčásti </w:t>
            </w:r>
            <w:r w:rsidR="0029509B">
              <w:rPr>
                <w:spacing w:val="-3"/>
              </w:rPr>
              <w:t xml:space="preserve">to </w:t>
            </w:r>
            <w:r>
              <w:rPr>
                <w:spacing w:val="-3"/>
              </w:rPr>
              <w:t>souvisí s tím, že v posledních čtvrtletích spočívá růst nových pracovních míst v tuzemsku hlavně na službách a ty hrají klíčovou roli na metropolitním pracovním trhu. Z pohledu domácností zůstává pozitivní, že na</w:t>
            </w:r>
            <w:r w:rsidR="00521CAD">
              <w:rPr>
                <w:spacing w:val="-3"/>
              </w:rPr>
              <w:t>dále svižně roste kupní síla</w:t>
            </w:r>
            <w:r>
              <w:rPr>
                <w:spacing w:val="-3"/>
              </w:rPr>
              <w:t xml:space="preserve"> mezd. Přestože mírně vzlínající inflace letos „ukrojila“ z růstu výdělků více než třetinu, reálná hodnota průměrných mezd byla meziročně o 4,6</w:t>
            </w:r>
            <w:r w:rsidR="00870ECD">
              <w:rPr>
                <w:spacing w:val="-3"/>
              </w:rPr>
              <w:t> %</w:t>
            </w:r>
            <w:r>
              <w:rPr>
                <w:spacing w:val="-3"/>
              </w:rPr>
              <w:t xml:space="preserve"> vyšší. V rámci 1.</w:t>
            </w:r>
            <w:r w:rsidR="0029509B">
              <w:rPr>
                <w:spacing w:val="-3"/>
              </w:rPr>
              <w:t> </w:t>
            </w:r>
            <w:r w:rsidR="00521CAD">
              <w:rPr>
                <w:spacing w:val="-3"/>
              </w:rPr>
              <w:t>čtvrtletí šlo o </w:t>
            </w:r>
            <w:r>
              <w:rPr>
                <w:spacing w:val="-3"/>
              </w:rPr>
              <w:t>druhé nejsilnější tempo za posl</w:t>
            </w:r>
            <w:r w:rsidR="00D60E3C">
              <w:rPr>
                <w:spacing w:val="-3"/>
              </w:rPr>
              <w:t>edních dvanáct let (po loňských</w:t>
            </w:r>
            <w:r>
              <w:rPr>
                <w:spacing w:val="-3"/>
              </w:rPr>
              <w:t xml:space="preserve"> 5,8</w:t>
            </w:r>
            <w:r w:rsidRPr="00A53197">
              <w:rPr>
                <w:rFonts w:cs="Arial"/>
                <w:color w:val="0D0D0D" w:themeColor="text1" w:themeTint="F2"/>
                <w:spacing w:val="-4"/>
              </w:rPr>
              <w:t> </w:t>
            </w:r>
            <w:r>
              <w:rPr>
                <w:spacing w:val="-3"/>
              </w:rPr>
              <w:t>%).</w:t>
            </w:r>
          </w:p>
        </w:tc>
      </w:tr>
    </w:tbl>
    <w:p w14:paraId="34DB1239" w14:textId="77777777" w:rsidR="00935BD4" w:rsidRPr="009110F7" w:rsidRDefault="00935BD4" w:rsidP="00F0193E">
      <w:pPr>
        <w:spacing w:after="0" w:line="240" w:lineRule="auto"/>
        <w:jc w:val="left"/>
        <w:rPr>
          <w:sz w:val="2"/>
          <w:szCs w:val="2"/>
        </w:rPr>
      </w:pPr>
      <w:bookmarkStart w:id="1" w:name="_GoBack"/>
      <w:bookmarkEnd w:id="1"/>
    </w:p>
    <w:sectPr w:rsidR="00935BD4" w:rsidRPr="009110F7" w:rsidSect="00472476">
      <w:headerReference w:type="even" r:id="rId12"/>
      <w:headerReference w:type="default" r:id="rId13"/>
      <w:footerReference w:type="even" r:id="rId14"/>
      <w:footerReference w:type="default" r:id="rId15"/>
      <w:pgSz w:w="11906" w:h="16838" w:code="9"/>
      <w:pgMar w:top="1134" w:right="1134" w:bottom="1418" w:left="1134" w:header="680" w:footer="737" w:gutter="0"/>
      <w:pgNumType w:start="2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BDC4D" w16cid:durableId="20AA22BF"/>
  <w16cid:commentId w16cid:paraId="1D79D092" w16cid:durableId="20AA7522"/>
  <w16cid:commentId w16cid:paraId="35C66900" w16cid:durableId="20AA841D"/>
  <w16cid:commentId w16cid:paraId="39CFBFF6" w16cid:durableId="20AA9586"/>
  <w16cid:commentId w16cid:paraId="385B1D8E" w16cid:durableId="20AB3CC7"/>
  <w16cid:commentId w16cid:paraId="1DCDDDF9" w16cid:durableId="20AB3E90"/>
  <w16cid:commentId w16cid:paraId="33D3157C" w16cid:durableId="20AB41FD"/>
  <w16cid:commentId w16cid:paraId="2F2C6295" w16cid:durableId="20AB535B"/>
  <w16cid:commentId w16cid:paraId="50067FCC" w16cid:durableId="20AB53EB"/>
  <w16cid:commentId w16cid:paraId="3FC61740" w16cid:durableId="20AB6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1A44" w14:textId="77777777" w:rsidR="00C61DAB" w:rsidRDefault="00C61DAB" w:rsidP="00E71A58">
      <w:r>
        <w:separator/>
      </w:r>
    </w:p>
  </w:endnote>
  <w:endnote w:type="continuationSeparator" w:id="0">
    <w:p w14:paraId="533636D3" w14:textId="77777777" w:rsidR="00C61DAB" w:rsidRDefault="00C61DA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04015B4E" w:rsidR="0052200D" w:rsidRPr="00932443" w:rsidRDefault="0052200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9"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72476">
      <w:rPr>
        <w:szCs w:val="16"/>
      </w:rPr>
      <w:t>24</w:t>
    </w:r>
    <w:r w:rsidRPr="00932443">
      <w:rPr>
        <w:szCs w:val="16"/>
      </w:rPr>
      <w:fldChar w:fldCharType="end"/>
    </w:r>
    <w:r w:rsidRPr="00932443">
      <w:rPr>
        <w:szCs w:val="16"/>
      </w:rPr>
      <w:tab/>
    </w:r>
    <w:r>
      <w:rPr>
        <w:szCs w:val="16"/>
      </w:rPr>
      <w:t>1.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1E781B57" w:rsidR="0052200D" w:rsidRPr="00932443" w:rsidRDefault="0052200D" w:rsidP="00FA6CB6">
    <w:pPr>
      <w:pStyle w:val="Zpat"/>
      <w:rPr>
        <w:szCs w:val="16"/>
      </w:rPr>
    </w:pPr>
    <w:r w:rsidRPr="00FA6CB6">
      <w:rPr>
        <w:szCs w:val="16"/>
      </w:rPr>
      <w:tab/>
      <w:t>1</w:t>
    </w:r>
    <w:r>
      <w:t xml:space="preserve">.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10"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72476">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C16B" w14:textId="77777777" w:rsidR="00C61DAB" w:rsidRDefault="00C61DAB" w:rsidP="00E71A58">
      <w:r>
        <w:separator/>
      </w:r>
    </w:p>
  </w:footnote>
  <w:footnote w:type="continuationSeparator" w:id="0">
    <w:p w14:paraId="1BC7C63B" w14:textId="77777777" w:rsidR="00C61DAB" w:rsidRDefault="00C61DAB" w:rsidP="00E71A58">
      <w:r>
        <w:continuationSeparator/>
      </w:r>
    </w:p>
  </w:footnote>
  <w:footnote w:id="1">
    <w:p w14:paraId="00A46DAC" w14:textId="77777777"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Pokud není uvedeno jinak, jsou v této kapitole údaje o zaměstnanosti uvedeny v pojetí národních účtů v očištění o sezónní vlivy.</w:t>
      </w:r>
    </w:p>
  </w:footnote>
  <w:footnote w:id="2">
    <w:p w14:paraId="3F100B8B" w14:textId="3B91A8F0"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Očekávání vyjádřená dle </w:t>
      </w:r>
      <w:r w:rsidRPr="002402DF">
        <w:rPr>
          <w:spacing w:val="-4"/>
          <w:sz w:val="16"/>
          <w:szCs w:val="16"/>
        </w:rPr>
        <w:t>sezónně očištěných údajů z konjunkturálních šetření</w:t>
      </w:r>
      <w:r>
        <w:rPr>
          <w:spacing w:val="-4"/>
          <w:sz w:val="16"/>
          <w:szCs w:val="16"/>
        </w:rPr>
        <w:t xml:space="preserve"> jako rozdíl (v p. b.) mezi podílem podniků očekávajících v nejbližších třech měsících navýšení zaměstnanosti a podniků vyhlížejících naopak redukci stavu svých pracovníků.</w:t>
      </w:r>
    </w:p>
  </w:footnote>
  <w:footnote w:id="3">
    <w:p w14:paraId="6597A5D7" w14:textId="10AF46BF"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Očekávání se ale významně lišila dle odvětví. Růst zaměstnanosti signalizovaly vedle obchodu hlavně podniky v informačních a komunikačních činnostech a také v profesních, vědeckých a technických činnostech, dále též v odvětvových oddílech skladování a vedlejší činnosti v dopravě a rovněž v činnostech</w:t>
      </w:r>
      <w:r w:rsidRPr="004B3D88">
        <w:rPr>
          <w:spacing w:val="-2"/>
          <w:sz w:val="16"/>
          <w:szCs w:val="16"/>
        </w:rPr>
        <w:t xml:space="preserve"> související</w:t>
      </w:r>
      <w:r>
        <w:rPr>
          <w:spacing w:val="-2"/>
          <w:sz w:val="16"/>
          <w:szCs w:val="16"/>
        </w:rPr>
        <w:t>ch</w:t>
      </w:r>
      <w:r w:rsidRPr="004B3D88">
        <w:rPr>
          <w:spacing w:val="-2"/>
          <w:sz w:val="16"/>
          <w:szCs w:val="16"/>
        </w:rPr>
        <w:t xml:space="preserve"> se zaměstnáním</w:t>
      </w:r>
      <w:r>
        <w:rPr>
          <w:spacing w:val="-2"/>
          <w:sz w:val="16"/>
          <w:szCs w:val="16"/>
        </w:rPr>
        <w:t xml:space="preserve"> (pracovní agentury). Negativní vyhlídky byly patrné v poštovních a kurýrních činnostech, telekomunikacích, v peněžnictví a v odvětví administrativních a podpůrných činností (vyjma pracovních agentur).</w:t>
      </w:r>
    </w:p>
  </w:footnote>
  <w:footnote w:id="4">
    <w:p w14:paraId="05C22651" w14:textId="5072B52F"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které nepracují, aktivně práci nehledají (tudíž nesplňují podmínku pro zařazení mezi nezaměstnané), ale vyjadřují ochotu pracovat (bez ohledu na schopnost rychle do nového zaměstnání nastoupit). </w:t>
      </w:r>
    </w:p>
  </w:footnote>
  <w:footnote w:id="5">
    <w:p w14:paraId="0444928C" w14:textId="40E4AEF1" w:rsidR="0052200D" w:rsidRPr="00731175" w:rsidRDefault="0052200D" w:rsidP="00003849">
      <w:pPr>
        <w:pStyle w:val="Textpoznpodarou"/>
        <w:jc w:val="both"/>
        <w:rPr>
          <w:sz w:val="16"/>
          <w:szCs w:val="16"/>
        </w:rPr>
      </w:pPr>
      <w:r w:rsidRPr="006A4CF3">
        <w:rPr>
          <w:rStyle w:val="Znakapoznpodarou"/>
          <w:spacing w:val="-2"/>
          <w:sz w:val="16"/>
          <w:szCs w:val="16"/>
        </w:rPr>
        <w:footnoteRef/>
      </w:r>
      <w:r w:rsidRPr="006A4CF3">
        <w:rPr>
          <w:spacing w:val="-2"/>
          <w:sz w:val="16"/>
          <w:szCs w:val="16"/>
        </w:rPr>
        <w:t xml:space="preserve"> Nepřímo o tom v</w:t>
      </w:r>
      <w:r>
        <w:rPr>
          <w:spacing w:val="-2"/>
          <w:sz w:val="16"/>
          <w:szCs w:val="16"/>
        </w:rPr>
        <w:t>ypovídá i počet</w:t>
      </w:r>
      <w:r w:rsidRPr="006A4CF3">
        <w:rPr>
          <w:spacing w:val="-2"/>
          <w:sz w:val="16"/>
          <w:szCs w:val="16"/>
        </w:rPr>
        <w:t xml:space="preserve"> cizinců</w:t>
      </w:r>
      <w:r>
        <w:rPr>
          <w:spacing w:val="-2"/>
          <w:sz w:val="16"/>
          <w:szCs w:val="16"/>
        </w:rPr>
        <w:t xml:space="preserve"> s trvalým či přechodným pobytem</w:t>
      </w:r>
      <w:r w:rsidRPr="006A4CF3">
        <w:rPr>
          <w:spacing w:val="-2"/>
          <w:sz w:val="16"/>
          <w:szCs w:val="16"/>
        </w:rPr>
        <w:t xml:space="preserve">. Dle </w:t>
      </w:r>
      <w:r>
        <w:rPr>
          <w:spacing w:val="-2"/>
          <w:sz w:val="16"/>
          <w:szCs w:val="16"/>
        </w:rPr>
        <w:t xml:space="preserve">předběžných údajů </w:t>
      </w:r>
      <w:r w:rsidRPr="006A4CF3">
        <w:rPr>
          <w:spacing w:val="-2"/>
          <w:sz w:val="16"/>
          <w:szCs w:val="16"/>
        </w:rPr>
        <w:t xml:space="preserve">Ředitelství služby cizinecké policie jich na konci </w:t>
      </w:r>
      <w:r>
        <w:rPr>
          <w:spacing w:val="-2"/>
          <w:sz w:val="16"/>
          <w:szCs w:val="16"/>
        </w:rPr>
        <w:t xml:space="preserve">dubna </w:t>
      </w:r>
      <w:r w:rsidRPr="006A4CF3">
        <w:rPr>
          <w:spacing w:val="-2"/>
          <w:sz w:val="16"/>
          <w:szCs w:val="16"/>
        </w:rPr>
        <w:t xml:space="preserve">roku </w:t>
      </w:r>
      <w:r>
        <w:rPr>
          <w:spacing w:val="-2"/>
          <w:sz w:val="16"/>
          <w:szCs w:val="16"/>
        </w:rPr>
        <w:t>2019 v ČR legálně pobývalo 571 tis., ve srovnání s koncem loňského roku o 4 tis. více. Za stejné období roku 2018 činil ale přírůstek 12 tis. osob. Toto zpomalení by mohlo souviset se slabším růstem poptávky v oblasti agenturní zaměstnanosti v průmyslu.</w:t>
      </w:r>
    </w:p>
  </w:footnote>
  <w:footnote w:id="6">
    <w:p w14:paraId="55B6C346" w14:textId="77777777" w:rsidR="0052200D" w:rsidRPr="00742AF1" w:rsidRDefault="0052200D" w:rsidP="00003849">
      <w:pPr>
        <w:pStyle w:val="Textpoznpodarou"/>
        <w:jc w:val="both"/>
        <w:rPr>
          <w:spacing w:val="-2"/>
          <w:sz w:val="16"/>
          <w:szCs w:val="16"/>
        </w:rPr>
      </w:pPr>
      <w:r w:rsidRPr="00742AF1">
        <w:rPr>
          <w:rStyle w:val="Znakapoznpodarou"/>
          <w:spacing w:val="-2"/>
          <w:sz w:val="16"/>
          <w:szCs w:val="16"/>
        </w:rPr>
        <w:footnoteRef/>
      </w:r>
      <w:r w:rsidRPr="00742AF1">
        <w:rPr>
          <w:spacing w:val="-2"/>
          <w:sz w:val="16"/>
          <w:szCs w:val="16"/>
        </w:rPr>
        <w:t xml:space="preserve"> </w:t>
      </w:r>
      <w:r>
        <w:rPr>
          <w:spacing w:val="-2"/>
          <w:sz w:val="16"/>
          <w:szCs w:val="16"/>
        </w:rPr>
        <w:t>Z podrobnějších údajů VŠPS za</w:t>
      </w:r>
      <w:r w:rsidRPr="00742AF1">
        <w:rPr>
          <w:spacing w:val="-2"/>
          <w:sz w:val="16"/>
          <w:szCs w:val="16"/>
        </w:rPr>
        <w:t xml:space="preserve"> 1. čtvrtletí </w:t>
      </w:r>
      <w:r>
        <w:rPr>
          <w:spacing w:val="-2"/>
          <w:sz w:val="16"/>
          <w:szCs w:val="16"/>
        </w:rPr>
        <w:t xml:space="preserve">2019 </w:t>
      </w:r>
      <w:r w:rsidRPr="00742AF1">
        <w:rPr>
          <w:spacing w:val="-2"/>
          <w:sz w:val="16"/>
          <w:szCs w:val="16"/>
        </w:rPr>
        <w:t>plyne, že mírné navýšení celkového počtu podnikatelů se zaměstnanci (+4 tis.) bylo z větší části kompenzováno nevýznamnou redukcí v kategorii podnikatelů bez zaměstnanců.</w:t>
      </w:r>
    </w:p>
  </w:footnote>
  <w:footnote w:id="7">
    <w:p w14:paraId="5F6E3A08" w14:textId="77777777" w:rsidR="0052200D" w:rsidRPr="006A4CF3" w:rsidRDefault="0052200D" w:rsidP="00003849">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Vzrostl např. počet pracujících ve věku 65 a více let (meziročně o 7 tis., resp. o 4,9 %). Trend mírného růstu míry zaměstnanosti je u mužů i žen v této věkové skupině v Česku patrný již po roce 2014.</w:t>
      </w:r>
    </w:p>
  </w:footnote>
  <w:footnote w:id="8">
    <w:p w14:paraId="22B52A70" w14:textId="77777777" w:rsidR="0052200D" w:rsidRPr="00742AF1" w:rsidRDefault="0052200D" w:rsidP="00003849">
      <w:pPr>
        <w:pStyle w:val="Textpoznpodarou"/>
        <w:jc w:val="both"/>
        <w:rPr>
          <w:spacing w:val="-2"/>
          <w:sz w:val="16"/>
          <w:szCs w:val="16"/>
        </w:rPr>
      </w:pPr>
      <w:r w:rsidRPr="00742AF1">
        <w:rPr>
          <w:rStyle w:val="Znakapoznpodarou"/>
          <w:spacing w:val="-2"/>
          <w:sz w:val="16"/>
          <w:szCs w:val="16"/>
        </w:rPr>
        <w:footnoteRef/>
      </w:r>
      <w:r w:rsidRPr="00742AF1">
        <w:rPr>
          <w:spacing w:val="-2"/>
          <w:sz w:val="16"/>
          <w:szCs w:val="16"/>
        </w:rPr>
        <w:t xml:space="preserve"> </w:t>
      </w:r>
      <w:r>
        <w:rPr>
          <w:spacing w:val="-2"/>
          <w:sz w:val="16"/>
          <w:szCs w:val="16"/>
        </w:rPr>
        <w:t>Z údajů VŠPS plyne, že ve 4. čtvrtletí 2018 pracovalo v rámci věkové skupiny 15 až 64 let touto formou jen 2,6 % mužů a 11,0 % žen. O pět let dříve činily obdobné podíly 2,5 % a 9,9 %.</w:t>
      </w:r>
    </w:p>
  </w:footnote>
  <w:footnote w:id="9">
    <w:p w14:paraId="1B29C2E3" w14:textId="3B787C51" w:rsidR="0052200D" w:rsidRPr="006D36DD" w:rsidRDefault="0052200D" w:rsidP="00003849">
      <w:pPr>
        <w:pStyle w:val="Textpoznpodarou"/>
        <w:jc w:val="both"/>
        <w:rPr>
          <w:spacing w:val="-2"/>
          <w:sz w:val="16"/>
          <w:szCs w:val="16"/>
        </w:rPr>
      </w:pPr>
      <w:r w:rsidRPr="006D36DD">
        <w:rPr>
          <w:rStyle w:val="Znakapoznpodarou"/>
          <w:spacing w:val="-2"/>
          <w:sz w:val="16"/>
          <w:szCs w:val="16"/>
        </w:rPr>
        <w:footnoteRef/>
      </w:r>
      <w:r w:rsidRPr="006D36DD">
        <w:rPr>
          <w:spacing w:val="-2"/>
          <w:sz w:val="16"/>
          <w:szCs w:val="16"/>
        </w:rPr>
        <w:t xml:space="preserve"> Téměř</w:t>
      </w:r>
      <w:r w:rsidRPr="006D36DD">
        <w:rPr>
          <w:rFonts w:cs="Arial"/>
          <w:color w:val="0D0D0D" w:themeColor="text1" w:themeTint="F2"/>
          <w:spacing w:val="-4"/>
          <w:sz w:val="16"/>
          <w:szCs w:val="16"/>
        </w:rPr>
        <w:t xml:space="preserve"> 91</w:t>
      </w:r>
      <w:r>
        <w:rPr>
          <w:rFonts w:cs="Arial"/>
          <w:color w:val="0D0D0D" w:themeColor="text1" w:themeTint="F2"/>
          <w:spacing w:val="-4"/>
          <w:sz w:val="16"/>
          <w:szCs w:val="16"/>
        </w:rPr>
        <w:t> %</w:t>
      </w:r>
      <w:r w:rsidRPr="006D36DD">
        <w:rPr>
          <w:rFonts w:cs="Arial"/>
          <w:color w:val="0D0D0D" w:themeColor="text1" w:themeTint="F2"/>
          <w:spacing w:val="-4"/>
          <w:sz w:val="16"/>
          <w:szCs w:val="16"/>
        </w:rPr>
        <w:t xml:space="preserve"> se na růstu pracovních míst podílely pozice s velmi nízkými deklarovanými kvalifikačními nároky (maximálně základní vzdělání). </w:t>
      </w:r>
      <w:r>
        <w:rPr>
          <w:rFonts w:cs="Arial"/>
          <w:color w:val="0D0D0D" w:themeColor="text1" w:themeTint="F2"/>
          <w:spacing w:val="-4"/>
          <w:sz w:val="16"/>
          <w:szCs w:val="16"/>
        </w:rPr>
        <w:t>Počet těchto míst se meziročně zvýšil o třetinu, naopak míst pro středoškoláky bez maturity či s maturitou přibylo shodně „jen“ o necelých 7 %. Místa, pro něž postačovalo maximálně základní vzdělání, se na celkové nabídce pracovních pozic na konci letošního března podílela již 68 %.</w:t>
      </w:r>
    </w:p>
  </w:footnote>
  <w:footnote w:id="10">
    <w:p w14:paraId="2C263AC9" w14:textId="067342B9" w:rsidR="0052200D" w:rsidRPr="00CC2E73" w:rsidRDefault="0052200D" w:rsidP="00003849">
      <w:pPr>
        <w:pStyle w:val="Textpoznpodarou"/>
        <w:jc w:val="both"/>
        <w:rPr>
          <w:spacing w:val="-2"/>
          <w:sz w:val="16"/>
          <w:szCs w:val="16"/>
        </w:rPr>
      </w:pPr>
      <w:r w:rsidRPr="00CC2E73">
        <w:rPr>
          <w:rStyle w:val="Znakapoznpodarou"/>
          <w:spacing w:val="-2"/>
          <w:sz w:val="16"/>
          <w:szCs w:val="16"/>
        </w:rPr>
        <w:footnoteRef/>
      </w:r>
      <w:r>
        <w:rPr>
          <w:spacing w:val="-2"/>
          <w:sz w:val="16"/>
          <w:szCs w:val="16"/>
        </w:rPr>
        <w:t xml:space="preserve"> Plných 71 %</w:t>
      </w:r>
      <w:r w:rsidRPr="00CC2E73">
        <w:rPr>
          <w:spacing w:val="-2"/>
          <w:sz w:val="16"/>
          <w:szCs w:val="16"/>
        </w:rPr>
        <w:t xml:space="preserve"> celorepublikového </w:t>
      </w:r>
      <w:r>
        <w:rPr>
          <w:spacing w:val="-2"/>
          <w:sz w:val="16"/>
          <w:szCs w:val="16"/>
        </w:rPr>
        <w:t>meziročního přírůstku míst připadalo</w:t>
      </w:r>
      <w:r w:rsidRPr="00CC2E73">
        <w:rPr>
          <w:spacing w:val="-2"/>
          <w:sz w:val="16"/>
          <w:szCs w:val="16"/>
        </w:rPr>
        <w:t xml:space="preserve"> </w:t>
      </w:r>
      <w:r>
        <w:rPr>
          <w:spacing w:val="-2"/>
          <w:sz w:val="16"/>
          <w:szCs w:val="16"/>
        </w:rPr>
        <w:t xml:space="preserve">pouze </w:t>
      </w:r>
      <w:r w:rsidRPr="00CC2E73">
        <w:rPr>
          <w:spacing w:val="-2"/>
          <w:sz w:val="16"/>
          <w:szCs w:val="16"/>
        </w:rPr>
        <w:t xml:space="preserve">na </w:t>
      </w:r>
      <w:r>
        <w:rPr>
          <w:spacing w:val="-2"/>
          <w:sz w:val="16"/>
          <w:szCs w:val="16"/>
        </w:rPr>
        <w:t>čtyři kraje (Prahu, Středočeský, Plzeňský a</w:t>
      </w:r>
      <w:r w:rsidRPr="006D36DD">
        <w:rPr>
          <w:rFonts w:cs="Arial"/>
          <w:color w:val="0D0D0D" w:themeColor="text1" w:themeTint="F2"/>
          <w:spacing w:val="-4"/>
          <w:sz w:val="16"/>
          <w:szCs w:val="16"/>
        </w:rPr>
        <w:t> </w:t>
      </w:r>
      <w:r>
        <w:rPr>
          <w:spacing w:val="-2"/>
          <w:sz w:val="16"/>
          <w:szCs w:val="16"/>
        </w:rPr>
        <w:t>Pardubický)</w:t>
      </w:r>
      <w:r w:rsidRPr="00CC2E73">
        <w:rPr>
          <w:spacing w:val="-2"/>
          <w:sz w:val="16"/>
          <w:szCs w:val="16"/>
        </w:rPr>
        <w:t>.</w:t>
      </w:r>
      <w:r>
        <w:rPr>
          <w:spacing w:val="-2"/>
          <w:sz w:val="16"/>
          <w:szCs w:val="16"/>
        </w:rPr>
        <w:t xml:space="preserve"> Naopak kraje s dlouhodobě nadprůměrnou nezaměstnaností (Karlovarský, Ústecký, Olomoucký a Moravskoslezský) se podílely jen 8 %.</w:t>
      </w:r>
    </w:p>
  </w:footnote>
  <w:footnote w:id="11">
    <w:p w14:paraId="51A9ECF6" w14:textId="0174A94F" w:rsidR="0052200D" w:rsidRPr="006D36DD" w:rsidRDefault="0052200D" w:rsidP="00003849">
      <w:pPr>
        <w:pStyle w:val="Textpoznpodarou"/>
        <w:jc w:val="both"/>
        <w:rPr>
          <w:spacing w:val="-2"/>
          <w:sz w:val="16"/>
          <w:szCs w:val="16"/>
        </w:rPr>
      </w:pPr>
      <w:r w:rsidRPr="006D36DD">
        <w:rPr>
          <w:rStyle w:val="Znakapoznpodarou"/>
          <w:spacing w:val="-2"/>
          <w:sz w:val="16"/>
          <w:szCs w:val="16"/>
        </w:rPr>
        <w:footnoteRef/>
      </w:r>
      <w:r>
        <w:rPr>
          <w:spacing w:val="-2"/>
          <w:sz w:val="16"/>
          <w:szCs w:val="16"/>
        </w:rPr>
        <w:t xml:space="preserve"> Více než 3,0</w:t>
      </w:r>
      <w:r w:rsidRPr="00CC2E73">
        <w:rPr>
          <w:spacing w:val="-2"/>
          <w:sz w:val="16"/>
          <w:szCs w:val="16"/>
        </w:rPr>
        <w:t xml:space="preserve"> uchazeče </w:t>
      </w:r>
      <w:r>
        <w:rPr>
          <w:spacing w:val="-2"/>
          <w:sz w:val="16"/>
          <w:szCs w:val="16"/>
        </w:rPr>
        <w:t>„bojovalo“ v březnu 2019 o</w:t>
      </w:r>
      <w:r w:rsidRPr="00CC2E73">
        <w:rPr>
          <w:spacing w:val="-2"/>
          <w:sz w:val="16"/>
          <w:szCs w:val="16"/>
        </w:rPr>
        <w:t xml:space="preserve"> volné mí</w:t>
      </w:r>
      <w:r>
        <w:rPr>
          <w:spacing w:val="-2"/>
          <w:sz w:val="16"/>
          <w:szCs w:val="16"/>
        </w:rPr>
        <w:t>sto pouze v</w:t>
      </w:r>
      <w:r w:rsidRPr="00CC2E73">
        <w:rPr>
          <w:spacing w:val="-2"/>
          <w:sz w:val="16"/>
          <w:szCs w:val="16"/>
        </w:rPr>
        <w:t xml:space="preserve"> okresech (Karviná, Jeseník, </w:t>
      </w:r>
      <w:r>
        <w:rPr>
          <w:spacing w:val="-2"/>
          <w:sz w:val="16"/>
          <w:szCs w:val="16"/>
        </w:rPr>
        <w:t xml:space="preserve">Znojmo a </w:t>
      </w:r>
      <w:r w:rsidRPr="00CC2E73">
        <w:rPr>
          <w:spacing w:val="-2"/>
          <w:sz w:val="16"/>
          <w:szCs w:val="16"/>
        </w:rPr>
        <w:t xml:space="preserve">Ústí nad </w:t>
      </w:r>
      <w:r>
        <w:rPr>
          <w:spacing w:val="-2"/>
          <w:sz w:val="16"/>
          <w:szCs w:val="16"/>
        </w:rPr>
        <w:t>Labem</w:t>
      </w:r>
      <w:r w:rsidRPr="00CC2E73">
        <w:rPr>
          <w:spacing w:val="-2"/>
          <w:sz w:val="16"/>
          <w:szCs w:val="16"/>
        </w:rPr>
        <w:t>).</w:t>
      </w:r>
    </w:p>
  </w:footnote>
  <w:footnote w:id="12">
    <w:p w14:paraId="7EF47F31" w14:textId="73AD6E7A" w:rsidR="0052200D" w:rsidRPr="00DC27D3" w:rsidRDefault="0052200D" w:rsidP="00003849">
      <w:pPr>
        <w:pStyle w:val="Textpoznpodarou"/>
        <w:jc w:val="both"/>
        <w:rPr>
          <w:spacing w:val="-3"/>
          <w:sz w:val="16"/>
          <w:szCs w:val="16"/>
        </w:rPr>
      </w:pPr>
      <w:r w:rsidRPr="00DC27D3">
        <w:rPr>
          <w:rStyle w:val="Znakapoznpodarou"/>
          <w:spacing w:val="-3"/>
          <w:sz w:val="16"/>
          <w:szCs w:val="16"/>
        </w:rPr>
        <w:footnoteRef/>
      </w:r>
      <w:r w:rsidRPr="00DC27D3">
        <w:rPr>
          <w:spacing w:val="-3"/>
          <w:sz w:val="16"/>
          <w:szCs w:val="16"/>
        </w:rPr>
        <w:t xml:space="preserve"> Vyjadřuje poměr počtu volných pracovních míst k součtu volných i obsazených pracovních míst. Údaje vycház</w:t>
      </w:r>
      <w:r>
        <w:rPr>
          <w:spacing w:val="-3"/>
          <w:sz w:val="16"/>
          <w:szCs w:val="16"/>
        </w:rPr>
        <w:t>ej</w:t>
      </w:r>
      <w:r w:rsidRPr="00DC27D3">
        <w:rPr>
          <w:spacing w:val="-3"/>
          <w:sz w:val="16"/>
          <w:szCs w:val="16"/>
        </w:rPr>
        <w:t>í ze statistik Eurostatu, nejsou sezón</w:t>
      </w:r>
      <w:r>
        <w:rPr>
          <w:spacing w:val="-3"/>
          <w:sz w:val="16"/>
          <w:szCs w:val="16"/>
        </w:rPr>
        <w:t>n</w:t>
      </w:r>
      <w:r w:rsidRPr="00DC27D3">
        <w:rPr>
          <w:spacing w:val="-3"/>
          <w:sz w:val="16"/>
          <w:szCs w:val="16"/>
        </w:rPr>
        <w:t>ě očištěné a nezahrnují odvětví zemědělství, lesnictví a rybářství. Míra volných míst se ve 4. čtvrtletí 2018 v EU rovnala 2,3. Nadprůměrných hodnot dosahovaly vedle ČR (6,0) také Belgie, Nizozemsko, Německo, Rakousko, Velká Británie a Maďarsko (v rozmezí 2,7 a</w:t>
      </w:r>
      <w:r>
        <w:rPr>
          <w:spacing w:val="-3"/>
          <w:sz w:val="16"/>
          <w:szCs w:val="16"/>
        </w:rPr>
        <w:t>ž</w:t>
      </w:r>
      <w:r w:rsidRPr="00DC27D3">
        <w:rPr>
          <w:spacing w:val="-3"/>
          <w:sz w:val="16"/>
          <w:szCs w:val="16"/>
        </w:rPr>
        <w:t xml:space="preserve"> 3,4), nejnižší pak Řecko (0,4), Španělsko, Portugalsko a překvapivě i Irsko (shodně 0,9). V EU se míra meziročně zvýšila o 0,3 p.</w:t>
      </w:r>
      <w:r>
        <w:rPr>
          <w:spacing w:val="-3"/>
          <w:sz w:val="16"/>
          <w:szCs w:val="16"/>
        </w:rPr>
        <w:t> </w:t>
      </w:r>
      <w:r w:rsidRPr="00DC27D3">
        <w:rPr>
          <w:spacing w:val="-3"/>
          <w:sz w:val="16"/>
          <w:szCs w:val="16"/>
        </w:rPr>
        <w: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2200D" w:rsidRDefault="0052200D" w:rsidP="00937AE2">
    <w:pPr>
      <w:pStyle w:val="Zhlav"/>
    </w:pPr>
    <w:r>
      <w:t>Vývoj ekonomiky České republiky</w:t>
    </w:r>
  </w:p>
  <w:p w14:paraId="675E4C41" w14:textId="77777777" w:rsidR="0052200D" w:rsidRPr="006F5416" w:rsidRDefault="0052200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2200D" w:rsidRDefault="0052200D" w:rsidP="00937AE2">
    <w:pPr>
      <w:pStyle w:val="Zhlav"/>
    </w:pPr>
    <w:r>
      <w:t>Vývoj ekonomiky České republiky</w:t>
    </w:r>
  </w:p>
  <w:p w14:paraId="0CDCFD48" w14:textId="77777777" w:rsidR="0052200D" w:rsidRPr="006F5416" w:rsidRDefault="0052200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0"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3"/>
  </w:num>
  <w:num w:numId="14">
    <w:abstractNumId w:val="11"/>
  </w:num>
  <w:num w:numId="15">
    <w:abstractNumId w:val="17"/>
  </w:num>
  <w:num w:numId="16">
    <w:abstractNumId w:val="13"/>
  </w:num>
  <w:num w:numId="17">
    <w:abstractNumId w:val="24"/>
  </w:num>
  <w:num w:numId="18">
    <w:abstractNumId w:val="18"/>
  </w:num>
  <w:num w:numId="19">
    <w:abstractNumId w:val="25"/>
  </w:num>
  <w:num w:numId="20">
    <w:abstractNumId w:val="26"/>
  </w:num>
  <w:num w:numId="21">
    <w:abstractNumId w:val="22"/>
  </w:num>
  <w:num w:numId="22">
    <w:abstractNumId w:val="16"/>
  </w:num>
  <w:num w:numId="23">
    <w:abstractNumId w:val="14"/>
  </w:num>
  <w:num w:numId="24">
    <w:abstractNumId w:val="15"/>
  </w:num>
  <w:num w:numId="25">
    <w:abstractNumId w:val="10"/>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70A87"/>
    <w:rsid w:val="000712B3"/>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BC0"/>
    <w:rsid w:val="000A1183"/>
    <w:rsid w:val="000A212B"/>
    <w:rsid w:val="000A256D"/>
    <w:rsid w:val="000A3A2C"/>
    <w:rsid w:val="000A3D9E"/>
    <w:rsid w:val="000A4A54"/>
    <w:rsid w:val="000A4ED9"/>
    <w:rsid w:val="000A7377"/>
    <w:rsid w:val="000B03CC"/>
    <w:rsid w:val="000B4212"/>
    <w:rsid w:val="000C0EA8"/>
    <w:rsid w:val="000C13A2"/>
    <w:rsid w:val="000C30C3"/>
    <w:rsid w:val="000C3408"/>
    <w:rsid w:val="000C35AB"/>
    <w:rsid w:val="000C4769"/>
    <w:rsid w:val="000C4D56"/>
    <w:rsid w:val="000C6AFD"/>
    <w:rsid w:val="000C6C90"/>
    <w:rsid w:val="000D0A26"/>
    <w:rsid w:val="000D3058"/>
    <w:rsid w:val="000D310A"/>
    <w:rsid w:val="000D3EF4"/>
    <w:rsid w:val="000D5637"/>
    <w:rsid w:val="000D6F4E"/>
    <w:rsid w:val="000E0E96"/>
    <w:rsid w:val="000E2C7D"/>
    <w:rsid w:val="000E440D"/>
    <w:rsid w:val="000E4AC5"/>
    <w:rsid w:val="000E6253"/>
    <w:rsid w:val="000E6E4D"/>
    <w:rsid w:val="000E6FBD"/>
    <w:rsid w:val="000E6FCB"/>
    <w:rsid w:val="000F090B"/>
    <w:rsid w:val="000F3F3B"/>
    <w:rsid w:val="000F47E8"/>
    <w:rsid w:val="000F70E4"/>
    <w:rsid w:val="00100F5C"/>
    <w:rsid w:val="00101CDA"/>
    <w:rsid w:val="00102037"/>
    <w:rsid w:val="00103DCB"/>
    <w:rsid w:val="00104C4C"/>
    <w:rsid w:val="00105015"/>
    <w:rsid w:val="001057C2"/>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92F05"/>
    <w:rsid w:val="00194729"/>
    <w:rsid w:val="00195234"/>
    <w:rsid w:val="00196016"/>
    <w:rsid w:val="00197A70"/>
    <w:rsid w:val="00197C0F"/>
    <w:rsid w:val="001A0487"/>
    <w:rsid w:val="001A1F68"/>
    <w:rsid w:val="001A4EF0"/>
    <w:rsid w:val="001A552F"/>
    <w:rsid w:val="001B2CA9"/>
    <w:rsid w:val="001B3110"/>
    <w:rsid w:val="001B3E38"/>
    <w:rsid w:val="001B40F5"/>
    <w:rsid w:val="001B4729"/>
    <w:rsid w:val="001B4F0E"/>
    <w:rsid w:val="001B6310"/>
    <w:rsid w:val="001B6C09"/>
    <w:rsid w:val="001C05CD"/>
    <w:rsid w:val="001C0F17"/>
    <w:rsid w:val="001C1B66"/>
    <w:rsid w:val="001C31A2"/>
    <w:rsid w:val="001C4BB8"/>
    <w:rsid w:val="001C5E46"/>
    <w:rsid w:val="001C6B3B"/>
    <w:rsid w:val="001D0EF1"/>
    <w:rsid w:val="001D22C2"/>
    <w:rsid w:val="001D2C99"/>
    <w:rsid w:val="001D54C1"/>
    <w:rsid w:val="001D556E"/>
    <w:rsid w:val="001D5DF2"/>
    <w:rsid w:val="001D68B2"/>
    <w:rsid w:val="001D7EFD"/>
    <w:rsid w:val="001D7F60"/>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3D6"/>
    <w:rsid w:val="0022441D"/>
    <w:rsid w:val="00224574"/>
    <w:rsid w:val="00224E3F"/>
    <w:rsid w:val="002252E0"/>
    <w:rsid w:val="002255F6"/>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25F"/>
    <w:rsid w:val="002709CC"/>
    <w:rsid w:val="00271022"/>
    <w:rsid w:val="00271465"/>
    <w:rsid w:val="002721F5"/>
    <w:rsid w:val="00272DF4"/>
    <w:rsid w:val="0027583D"/>
    <w:rsid w:val="00275DEF"/>
    <w:rsid w:val="002763A2"/>
    <w:rsid w:val="00276B33"/>
    <w:rsid w:val="002812E3"/>
    <w:rsid w:val="002837AE"/>
    <w:rsid w:val="00283C13"/>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EA2"/>
    <w:rsid w:val="002A532A"/>
    <w:rsid w:val="002A5846"/>
    <w:rsid w:val="002A5D97"/>
    <w:rsid w:val="002A603E"/>
    <w:rsid w:val="002A63B9"/>
    <w:rsid w:val="002B3EF4"/>
    <w:rsid w:val="002B4845"/>
    <w:rsid w:val="002B72AA"/>
    <w:rsid w:val="002C1F09"/>
    <w:rsid w:val="002C22A4"/>
    <w:rsid w:val="002C260B"/>
    <w:rsid w:val="002C27A6"/>
    <w:rsid w:val="002C398D"/>
    <w:rsid w:val="002C40D2"/>
    <w:rsid w:val="002C43BD"/>
    <w:rsid w:val="002C5245"/>
    <w:rsid w:val="002D05CB"/>
    <w:rsid w:val="002D0E59"/>
    <w:rsid w:val="002D455C"/>
    <w:rsid w:val="002E02A1"/>
    <w:rsid w:val="002E196A"/>
    <w:rsid w:val="002E20C7"/>
    <w:rsid w:val="002E20CD"/>
    <w:rsid w:val="002E222E"/>
    <w:rsid w:val="002E28D8"/>
    <w:rsid w:val="002E37D1"/>
    <w:rsid w:val="002E3BEE"/>
    <w:rsid w:val="002E4E4C"/>
    <w:rsid w:val="002E4EA7"/>
    <w:rsid w:val="002E5846"/>
    <w:rsid w:val="002E792B"/>
    <w:rsid w:val="002F1DCB"/>
    <w:rsid w:val="002F1DE4"/>
    <w:rsid w:val="002F333D"/>
    <w:rsid w:val="002F351A"/>
    <w:rsid w:val="002F46D6"/>
    <w:rsid w:val="002F498A"/>
    <w:rsid w:val="002F4AD8"/>
    <w:rsid w:val="002F5820"/>
    <w:rsid w:val="00300C31"/>
    <w:rsid w:val="00304771"/>
    <w:rsid w:val="003052D4"/>
    <w:rsid w:val="00306C5B"/>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32190"/>
    <w:rsid w:val="00333CD0"/>
    <w:rsid w:val="0033448D"/>
    <w:rsid w:val="00334AD2"/>
    <w:rsid w:val="0033709C"/>
    <w:rsid w:val="003370C5"/>
    <w:rsid w:val="00341D26"/>
    <w:rsid w:val="00341F05"/>
    <w:rsid w:val="0034335E"/>
    <w:rsid w:val="00344668"/>
    <w:rsid w:val="003462D9"/>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7F84"/>
    <w:rsid w:val="003712BC"/>
    <w:rsid w:val="00372164"/>
    <w:rsid w:val="003738BD"/>
    <w:rsid w:val="00374263"/>
    <w:rsid w:val="003746F0"/>
    <w:rsid w:val="00374A20"/>
    <w:rsid w:val="00374E21"/>
    <w:rsid w:val="003810F0"/>
    <w:rsid w:val="003818DC"/>
    <w:rsid w:val="00382513"/>
    <w:rsid w:val="00383388"/>
    <w:rsid w:val="003834F8"/>
    <w:rsid w:val="003838D0"/>
    <w:rsid w:val="003840C2"/>
    <w:rsid w:val="00384327"/>
    <w:rsid w:val="00384A89"/>
    <w:rsid w:val="00385086"/>
    <w:rsid w:val="00385D98"/>
    <w:rsid w:val="00390306"/>
    <w:rsid w:val="003908A6"/>
    <w:rsid w:val="003927F6"/>
    <w:rsid w:val="00396739"/>
    <w:rsid w:val="003A04F6"/>
    <w:rsid w:val="003A2B4D"/>
    <w:rsid w:val="003A2D12"/>
    <w:rsid w:val="003A45E3"/>
    <w:rsid w:val="003A478C"/>
    <w:rsid w:val="003A5525"/>
    <w:rsid w:val="003A5889"/>
    <w:rsid w:val="003A6B38"/>
    <w:rsid w:val="003A6B83"/>
    <w:rsid w:val="003A722F"/>
    <w:rsid w:val="003B039F"/>
    <w:rsid w:val="003B0DF4"/>
    <w:rsid w:val="003B1F9D"/>
    <w:rsid w:val="003B2AD1"/>
    <w:rsid w:val="003B2D2E"/>
    <w:rsid w:val="003B461F"/>
    <w:rsid w:val="003B483F"/>
    <w:rsid w:val="003B4998"/>
    <w:rsid w:val="003B5A32"/>
    <w:rsid w:val="003C0B07"/>
    <w:rsid w:val="003C2CE7"/>
    <w:rsid w:val="003C3490"/>
    <w:rsid w:val="003C3608"/>
    <w:rsid w:val="003C3D2C"/>
    <w:rsid w:val="003C6221"/>
    <w:rsid w:val="003C68CC"/>
    <w:rsid w:val="003C7E62"/>
    <w:rsid w:val="003D12B9"/>
    <w:rsid w:val="003D242B"/>
    <w:rsid w:val="003D2492"/>
    <w:rsid w:val="003D29AA"/>
    <w:rsid w:val="003D2A99"/>
    <w:rsid w:val="003D6920"/>
    <w:rsid w:val="003E1EF8"/>
    <w:rsid w:val="003E4C91"/>
    <w:rsid w:val="003E52D8"/>
    <w:rsid w:val="003F313C"/>
    <w:rsid w:val="003F37FC"/>
    <w:rsid w:val="003F4318"/>
    <w:rsid w:val="003F4B2C"/>
    <w:rsid w:val="003F551C"/>
    <w:rsid w:val="003F626D"/>
    <w:rsid w:val="003F72ED"/>
    <w:rsid w:val="003F7D23"/>
    <w:rsid w:val="00400050"/>
    <w:rsid w:val="004002C8"/>
    <w:rsid w:val="00400468"/>
    <w:rsid w:val="0040099D"/>
    <w:rsid w:val="00401B23"/>
    <w:rsid w:val="00402ADB"/>
    <w:rsid w:val="0040368D"/>
    <w:rsid w:val="00405318"/>
    <w:rsid w:val="004059D2"/>
    <w:rsid w:val="00406C2E"/>
    <w:rsid w:val="00406EB0"/>
    <w:rsid w:val="00407711"/>
    <w:rsid w:val="00407C13"/>
    <w:rsid w:val="004103F6"/>
    <w:rsid w:val="00410638"/>
    <w:rsid w:val="00412511"/>
    <w:rsid w:val="004125C2"/>
    <w:rsid w:val="00412DFA"/>
    <w:rsid w:val="00413465"/>
    <w:rsid w:val="0041501E"/>
    <w:rsid w:val="00415452"/>
    <w:rsid w:val="004159C3"/>
    <w:rsid w:val="00415A57"/>
    <w:rsid w:val="00416DAC"/>
    <w:rsid w:val="00420880"/>
    <w:rsid w:val="00421179"/>
    <w:rsid w:val="00431BFF"/>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321B"/>
    <w:rsid w:val="00456FE5"/>
    <w:rsid w:val="00457490"/>
    <w:rsid w:val="00457953"/>
    <w:rsid w:val="00460656"/>
    <w:rsid w:val="00460FB3"/>
    <w:rsid w:val="00464851"/>
    <w:rsid w:val="00467B14"/>
    <w:rsid w:val="004707FE"/>
    <w:rsid w:val="00472476"/>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79A5"/>
    <w:rsid w:val="004A036E"/>
    <w:rsid w:val="004A14E4"/>
    <w:rsid w:val="004A204E"/>
    <w:rsid w:val="004A26A5"/>
    <w:rsid w:val="004A27F0"/>
    <w:rsid w:val="004A3212"/>
    <w:rsid w:val="004A37CD"/>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0B3F"/>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5B0F"/>
    <w:rsid w:val="004D7626"/>
    <w:rsid w:val="004E1A40"/>
    <w:rsid w:val="004E200A"/>
    <w:rsid w:val="004E23FC"/>
    <w:rsid w:val="004E2409"/>
    <w:rsid w:val="004E261D"/>
    <w:rsid w:val="004E5F41"/>
    <w:rsid w:val="004E6DE6"/>
    <w:rsid w:val="004E765E"/>
    <w:rsid w:val="004E7815"/>
    <w:rsid w:val="004F06F5"/>
    <w:rsid w:val="004F12A4"/>
    <w:rsid w:val="004F253F"/>
    <w:rsid w:val="004F33A0"/>
    <w:rsid w:val="004F3BD2"/>
    <w:rsid w:val="004F46ED"/>
    <w:rsid w:val="00503D54"/>
    <w:rsid w:val="005048E2"/>
    <w:rsid w:val="00506603"/>
    <w:rsid w:val="0050689D"/>
    <w:rsid w:val="005077F5"/>
    <w:rsid w:val="005108C0"/>
    <w:rsid w:val="0051094F"/>
    <w:rsid w:val="00511873"/>
    <w:rsid w:val="00512461"/>
    <w:rsid w:val="00512A2F"/>
    <w:rsid w:val="00513B7E"/>
    <w:rsid w:val="0051475D"/>
    <w:rsid w:val="00514B11"/>
    <w:rsid w:val="00515BE9"/>
    <w:rsid w:val="00515C74"/>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3778"/>
    <w:rsid w:val="005A3DF8"/>
    <w:rsid w:val="005A5549"/>
    <w:rsid w:val="005A7CF8"/>
    <w:rsid w:val="005B121D"/>
    <w:rsid w:val="005B41C9"/>
    <w:rsid w:val="005B4853"/>
    <w:rsid w:val="005B6CA1"/>
    <w:rsid w:val="005B770C"/>
    <w:rsid w:val="005C06ED"/>
    <w:rsid w:val="005C11B8"/>
    <w:rsid w:val="005C2609"/>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480F"/>
    <w:rsid w:val="005F5469"/>
    <w:rsid w:val="005F63F3"/>
    <w:rsid w:val="005F6D7F"/>
    <w:rsid w:val="005F7174"/>
    <w:rsid w:val="00601EEF"/>
    <w:rsid w:val="00604307"/>
    <w:rsid w:val="0060487F"/>
    <w:rsid w:val="00604EAD"/>
    <w:rsid w:val="0060513F"/>
    <w:rsid w:val="006104FB"/>
    <w:rsid w:val="00612A2F"/>
    <w:rsid w:val="00612AAE"/>
    <w:rsid w:val="00612FD9"/>
    <w:rsid w:val="006139E0"/>
    <w:rsid w:val="00614D35"/>
    <w:rsid w:val="006156B4"/>
    <w:rsid w:val="00615DAF"/>
    <w:rsid w:val="00616E05"/>
    <w:rsid w:val="00617985"/>
    <w:rsid w:val="0062131B"/>
    <w:rsid w:val="0062263A"/>
    <w:rsid w:val="006227DF"/>
    <w:rsid w:val="006236C8"/>
    <w:rsid w:val="00624093"/>
    <w:rsid w:val="00626079"/>
    <w:rsid w:val="00631698"/>
    <w:rsid w:val="00631E44"/>
    <w:rsid w:val="00634C57"/>
    <w:rsid w:val="00634CE7"/>
    <w:rsid w:val="006350D5"/>
    <w:rsid w:val="0063642C"/>
    <w:rsid w:val="00637858"/>
    <w:rsid w:val="006404A7"/>
    <w:rsid w:val="00640A38"/>
    <w:rsid w:val="00641787"/>
    <w:rsid w:val="00642489"/>
    <w:rsid w:val="00644055"/>
    <w:rsid w:val="00644137"/>
    <w:rsid w:val="0064478C"/>
    <w:rsid w:val="006451E4"/>
    <w:rsid w:val="00645B33"/>
    <w:rsid w:val="006516CB"/>
    <w:rsid w:val="00653BD0"/>
    <w:rsid w:val="00654110"/>
    <w:rsid w:val="00656C5D"/>
    <w:rsid w:val="00656CFB"/>
    <w:rsid w:val="00657E87"/>
    <w:rsid w:val="00660D2D"/>
    <w:rsid w:val="00662469"/>
    <w:rsid w:val="00664205"/>
    <w:rsid w:val="00664647"/>
    <w:rsid w:val="00664803"/>
    <w:rsid w:val="00665982"/>
    <w:rsid w:val="00665BA4"/>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CA6"/>
    <w:rsid w:val="006D18B3"/>
    <w:rsid w:val="006D1E89"/>
    <w:rsid w:val="006D317E"/>
    <w:rsid w:val="006D3E8A"/>
    <w:rsid w:val="006D61F6"/>
    <w:rsid w:val="006E1332"/>
    <w:rsid w:val="006E279A"/>
    <w:rsid w:val="006E313B"/>
    <w:rsid w:val="006E3A45"/>
    <w:rsid w:val="006E53AD"/>
    <w:rsid w:val="006E58CB"/>
    <w:rsid w:val="006E7227"/>
    <w:rsid w:val="006F0741"/>
    <w:rsid w:val="006F1C27"/>
    <w:rsid w:val="006F2A65"/>
    <w:rsid w:val="006F40DF"/>
    <w:rsid w:val="006F42BB"/>
    <w:rsid w:val="006F438E"/>
    <w:rsid w:val="006F440B"/>
    <w:rsid w:val="006F5416"/>
    <w:rsid w:val="006F624B"/>
    <w:rsid w:val="006F6D87"/>
    <w:rsid w:val="0070398A"/>
    <w:rsid w:val="00705242"/>
    <w:rsid w:val="007055E0"/>
    <w:rsid w:val="007065C5"/>
    <w:rsid w:val="00706AA0"/>
    <w:rsid w:val="00706AD4"/>
    <w:rsid w:val="00707150"/>
    <w:rsid w:val="007124D7"/>
    <w:rsid w:val="00712C20"/>
    <w:rsid w:val="00713549"/>
    <w:rsid w:val="007140BE"/>
    <w:rsid w:val="00715502"/>
    <w:rsid w:val="00715E4D"/>
    <w:rsid w:val="00716F48"/>
    <w:rsid w:val="00717114"/>
    <w:rsid w:val="0071779F"/>
    <w:rsid w:val="007211F5"/>
    <w:rsid w:val="00722777"/>
    <w:rsid w:val="00723435"/>
    <w:rsid w:val="00723436"/>
    <w:rsid w:val="007240E2"/>
    <w:rsid w:val="0072583E"/>
    <w:rsid w:val="00725BB5"/>
    <w:rsid w:val="00727C02"/>
    <w:rsid w:val="00730AE8"/>
    <w:rsid w:val="00730F1B"/>
    <w:rsid w:val="0073186D"/>
    <w:rsid w:val="0073333D"/>
    <w:rsid w:val="007343D9"/>
    <w:rsid w:val="00735448"/>
    <w:rsid w:val="00737DEC"/>
    <w:rsid w:val="00741493"/>
    <w:rsid w:val="007434E5"/>
    <w:rsid w:val="0074499B"/>
    <w:rsid w:val="007450BF"/>
    <w:rsid w:val="007477BD"/>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61E9"/>
    <w:rsid w:val="00766460"/>
    <w:rsid w:val="00767062"/>
    <w:rsid w:val="00767777"/>
    <w:rsid w:val="00771972"/>
    <w:rsid w:val="00772DAB"/>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6689"/>
    <w:rsid w:val="007B6747"/>
    <w:rsid w:val="007B6F72"/>
    <w:rsid w:val="007C1F0C"/>
    <w:rsid w:val="007C1FFB"/>
    <w:rsid w:val="007C2D94"/>
    <w:rsid w:val="007C5F92"/>
    <w:rsid w:val="007C6227"/>
    <w:rsid w:val="007C6BBD"/>
    <w:rsid w:val="007C6D89"/>
    <w:rsid w:val="007D0382"/>
    <w:rsid w:val="007D1A1F"/>
    <w:rsid w:val="007D2E18"/>
    <w:rsid w:val="007D40DF"/>
    <w:rsid w:val="007D42E5"/>
    <w:rsid w:val="007D4458"/>
    <w:rsid w:val="007E0535"/>
    <w:rsid w:val="007E0D4A"/>
    <w:rsid w:val="007E1788"/>
    <w:rsid w:val="007E1EE3"/>
    <w:rsid w:val="007E29B4"/>
    <w:rsid w:val="007E2F12"/>
    <w:rsid w:val="007E435A"/>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734C"/>
    <w:rsid w:val="00807C82"/>
    <w:rsid w:val="008117CC"/>
    <w:rsid w:val="00813D58"/>
    <w:rsid w:val="00813DCA"/>
    <w:rsid w:val="008161A6"/>
    <w:rsid w:val="008165B8"/>
    <w:rsid w:val="00816905"/>
    <w:rsid w:val="00816D98"/>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D5"/>
    <w:rsid w:val="00831CDE"/>
    <w:rsid w:val="00834304"/>
    <w:rsid w:val="00834FAA"/>
    <w:rsid w:val="008354FB"/>
    <w:rsid w:val="00836086"/>
    <w:rsid w:val="0083630F"/>
    <w:rsid w:val="00836A06"/>
    <w:rsid w:val="008374BC"/>
    <w:rsid w:val="00837E48"/>
    <w:rsid w:val="00840293"/>
    <w:rsid w:val="008408D4"/>
    <w:rsid w:val="008417B5"/>
    <w:rsid w:val="00841901"/>
    <w:rsid w:val="008458BD"/>
    <w:rsid w:val="00846121"/>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E7"/>
    <w:rsid w:val="0087368D"/>
    <w:rsid w:val="00874FE8"/>
    <w:rsid w:val="00875A32"/>
    <w:rsid w:val="00876086"/>
    <w:rsid w:val="00876E83"/>
    <w:rsid w:val="008772BC"/>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37E2"/>
    <w:rsid w:val="008A388E"/>
    <w:rsid w:val="008A3CBA"/>
    <w:rsid w:val="008A4B59"/>
    <w:rsid w:val="008A63E1"/>
    <w:rsid w:val="008A66B7"/>
    <w:rsid w:val="008A7127"/>
    <w:rsid w:val="008B3A80"/>
    <w:rsid w:val="008B3C07"/>
    <w:rsid w:val="008B3F7B"/>
    <w:rsid w:val="008B6106"/>
    <w:rsid w:val="008B7C02"/>
    <w:rsid w:val="008B7D2B"/>
    <w:rsid w:val="008B7EF9"/>
    <w:rsid w:val="008C0049"/>
    <w:rsid w:val="008C0E88"/>
    <w:rsid w:val="008C1717"/>
    <w:rsid w:val="008C4B50"/>
    <w:rsid w:val="008C7569"/>
    <w:rsid w:val="008D0DBD"/>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6D7"/>
    <w:rsid w:val="00905B8D"/>
    <w:rsid w:val="00906401"/>
    <w:rsid w:val="009065CB"/>
    <w:rsid w:val="00906B79"/>
    <w:rsid w:val="0090786F"/>
    <w:rsid w:val="009110F7"/>
    <w:rsid w:val="0091155E"/>
    <w:rsid w:val="00912437"/>
    <w:rsid w:val="00912A92"/>
    <w:rsid w:val="00915D07"/>
    <w:rsid w:val="009162AE"/>
    <w:rsid w:val="00917251"/>
    <w:rsid w:val="0091728D"/>
    <w:rsid w:val="009203CC"/>
    <w:rsid w:val="00920EC4"/>
    <w:rsid w:val="0092180B"/>
    <w:rsid w:val="00921F14"/>
    <w:rsid w:val="00923CB0"/>
    <w:rsid w:val="00924871"/>
    <w:rsid w:val="00924AC8"/>
    <w:rsid w:val="00925429"/>
    <w:rsid w:val="0092597A"/>
    <w:rsid w:val="00926520"/>
    <w:rsid w:val="00926CF0"/>
    <w:rsid w:val="009273A9"/>
    <w:rsid w:val="0093033E"/>
    <w:rsid w:val="009305FC"/>
    <w:rsid w:val="00930FB1"/>
    <w:rsid w:val="0093139F"/>
    <w:rsid w:val="00932443"/>
    <w:rsid w:val="00932B32"/>
    <w:rsid w:val="00933F4A"/>
    <w:rsid w:val="009341F1"/>
    <w:rsid w:val="00934FF2"/>
    <w:rsid w:val="00935BD4"/>
    <w:rsid w:val="00935DFE"/>
    <w:rsid w:val="009373B2"/>
    <w:rsid w:val="00937AE2"/>
    <w:rsid w:val="0094061F"/>
    <w:rsid w:val="00940F0F"/>
    <w:rsid w:val="0094416B"/>
    <w:rsid w:val="0094427A"/>
    <w:rsid w:val="00944C7C"/>
    <w:rsid w:val="00945245"/>
    <w:rsid w:val="00945523"/>
    <w:rsid w:val="00950921"/>
    <w:rsid w:val="00951D68"/>
    <w:rsid w:val="00952B7B"/>
    <w:rsid w:val="00954F39"/>
    <w:rsid w:val="0095664B"/>
    <w:rsid w:val="009568DC"/>
    <w:rsid w:val="00957445"/>
    <w:rsid w:val="0095759C"/>
    <w:rsid w:val="009618EE"/>
    <w:rsid w:val="009624D2"/>
    <w:rsid w:val="009628D9"/>
    <w:rsid w:val="009637AE"/>
    <w:rsid w:val="009640F6"/>
    <w:rsid w:val="00964776"/>
    <w:rsid w:val="00964A4E"/>
    <w:rsid w:val="00964B35"/>
    <w:rsid w:val="009651C7"/>
    <w:rsid w:val="00965797"/>
    <w:rsid w:val="00965A10"/>
    <w:rsid w:val="009670A3"/>
    <w:rsid w:val="009674BE"/>
    <w:rsid w:val="00971B87"/>
    <w:rsid w:val="00971C77"/>
    <w:rsid w:val="00972FCD"/>
    <w:rsid w:val="009741AE"/>
    <w:rsid w:val="009741FC"/>
    <w:rsid w:val="00974923"/>
    <w:rsid w:val="00975909"/>
    <w:rsid w:val="00977C3D"/>
    <w:rsid w:val="00980D3D"/>
    <w:rsid w:val="0098103E"/>
    <w:rsid w:val="00983101"/>
    <w:rsid w:val="00983E41"/>
    <w:rsid w:val="00987A30"/>
    <w:rsid w:val="00990312"/>
    <w:rsid w:val="0099182E"/>
    <w:rsid w:val="00992CF3"/>
    <w:rsid w:val="0099321E"/>
    <w:rsid w:val="00994868"/>
    <w:rsid w:val="00994D28"/>
    <w:rsid w:val="00994F2C"/>
    <w:rsid w:val="009957CC"/>
    <w:rsid w:val="009968D6"/>
    <w:rsid w:val="00997953"/>
    <w:rsid w:val="009A10A0"/>
    <w:rsid w:val="009A1CAB"/>
    <w:rsid w:val="009A2359"/>
    <w:rsid w:val="009A24F1"/>
    <w:rsid w:val="009A4D57"/>
    <w:rsid w:val="009A60D1"/>
    <w:rsid w:val="009A64F5"/>
    <w:rsid w:val="009B00D2"/>
    <w:rsid w:val="009B05B3"/>
    <w:rsid w:val="009B284F"/>
    <w:rsid w:val="009B3764"/>
    <w:rsid w:val="009B52AC"/>
    <w:rsid w:val="009B59EA"/>
    <w:rsid w:val="009B66CE"/>
    <w:rsid w:val="009B6FD3"/>
    <w:rsid w:val="009B7DB2"/>
    <w:rsid w:val="009C1750"/>
    <w:rsid w:val="009C2E29"/>
    <w:rsid w:val="009C3E8F"/>
    <w:rsid w:val="009C554B"/>
    <w:rsid w:val="009C7126"/>
    <w:rsid w:val="009C719E"/>
    <w:rsid w:val="009C7799"/>
    <w:rsid w:val="009D07A9"/>
    <w:rsid w:val="009D0AE2"/>
    <w:rsid w:val="009D0EBB"/>
    <w:rsid w:val="009D3ACD"/>
    <w:rsid w:val="009D4F21"/>
    <w:rsid w:val="009D587D"/>
    <w:rsid w:val="009D7731"/>
    <w:rsid w:val="009E1120"/>
    <w:rsid w:val="009E1922"/>
    <w:rsid w:val="009E1A3D"/>
    <w:rsid w:val="009E4715"/>
    <w:rsid w:val="009E5273"/>
    <w:rsid w:val="009E57A8"/>
    <w:rsid w:val="009E5B85"/>
    <w:rsid w:val="009E5DDB"/>
    <w:rsid w:val="009F4982"/>
    <w:rsid w:val="009F4CA7"/>
    <w:rsid w:val="009F7D36"/>
    <w:rsid w:val="00A00E71"/>
    <w:rsid w:val="00A0306F"/>
    <w:rsid w:val="00A03B10"/>
    <w:rsid w:val="00A03E2E"/>
    <w:rsid w:val="00A04616"/>
    <w:rsid w:val="00A04717"/>
    <w:rsid w:val="00A05EE4"/>
    <w:rsid w:val="00A06F99"/>
    <w:rsid w:val="00A10D66"/>
    <w:rsid w:val="00A14114"/>
    <w:rsid w:val="00A16413"/>
    <w:rsid w:val="00A16545"/>
    <w:rsid w:val="00A16AED"/>
    <w:rsid w:val="00A16E1D"/>
    <w:rsid w:val="00A171D5"/>
    <w:rsid w:val="00A17A15"/>
    <w:rsid w:val="00A17D5B"/>
    <w:rsid w:val="00A201E1"/>
    <w:rsid w:val="00A20FE1"/>
    <w:rsid w:val="00A23E43"/>
    <w:rsid w:val="00A24ED9"/>
    <w:rsid w:val="00A25216"/>
    <w:rsid w:val="00A2628E"/>
    <w:rsid w:val="00A266BF"/>
    <w:rsid w:val="00A2731E"/>
    <w:rsid w:val="00A309AC"/>
    <w:rsid w:val="00A30F65"/>
    <w:rsid w:val="00A3279E"/>
    <w:rsid w:val="00A35900"/>
    <w:rsid w:val="00A40EAC"/>
    <w:rsid w:val="00A418BC"/>
    <w:rsid w:val="00A41FCF"/>
    <w:rsid w:val="00A43CF8"/>
    <w:rsid w:val="00A43DF2"/>
    <w:rsid w:val="00A445A8"/>
    <w:rsid w:val="00A44B0D"/>
    <w:rsid w:val="00A44D21"/>
    <w:rsid w:val="00A45087"/>
    <w:rsid w:val="00A45489"/>
    <w:rsid w:val="00A465E9"/>
    <w:rsid w:val="00A468E7"/>
    <w:rsid w:val="00A46DE0"/>
    <w:rsid w:val="00A50D73"/>
    <w:rsid w:val="00A52A88"/>
    <w:rsid w:val="00A52CAD"/>
    <w:rsid w:val="00A53FC7"/>
    <w:rsid w:val="00A55569"/>
    <w:rsid w:val="00A60AC1"/>
    <w:rsid w:val="00A626FF"/>
    <w:rsid w:val="00A62CE1"/>
    <w:rsid w:val="00A65469"/>
    <w:rsid w:val="00A655D3"/>
    <w:rsid w:val="00A662D9"/>
    <w:rsid w:val="00A6741E"/>
    <w:rsid w:val="00A7016A"/>
    <w:rsid w:val="00A7018D"/>
    <w:rsid w:val="00A7191D"/>
    <w:rsid w:val="00A722F9"/>
    <w:rsid w:val="00A72D42"/>
    <w:rsid w:val="00A75E40"/>
    <w:rsid w:val="00A77D1D"/>
    <w:rsid w:val="00A81652"/>
    <w:rsid w:val="00A83150"/>
    <w:rsid w:val="00A83398"/>
    <w:rsid w:val="00A83D6E"/>
    <w:rsid w:val="00A8521A"/>
    <w:rsid w:val="00A857C0"/>
    <w:rsid w:val="00A90F2C"/>
    <w:rsid w:val="00A90FED"/>
    <w:rsid w:val="00A9189D"/>
    <w:rsid w:val="00A91E71"/>
    <w:rsid w:val="00A925B1"/>
    <w:rsid w:val="00A934F9"/>
    <w:rsid w:val="00A95F1A"/>
    <w:rsid w:val="00A96116"/>
    <w:rsid w:val="00A9614E"/>
    <w:rsid w:val="00A96C0F"/>
    <w:rsid w:val="00AA212F"/>
    <w:rsid w:val="00AA2996"/>
    <w:rsid w:val="00AA2AF4"/>
    <w:rsid w:val="00AA4282"/>
    <w:rsid w:val="00AA52BF"/>
    <w:rsid w:val="00AA559A"/>
    <w:rsid w:val="00AA6C31"/>
    <w:rsid w:val="00AA7752"/>
    <w:rsid w:val="00AA7CE8"/>
    <w:rsid w:val="00AB1457"/>
    <w:rsid w:val="00AB2AF1"/>
    <w:rsid w:val="00AB5A64"/>
    <w:rsid w:val="00AB5CA1"/>
    <w:rsid w:val="00AB6456"/>
    <w:rsid w:val="00AC044E"/>
    <w:rsid w:val="00AC2118"/>
    <w:rsid w:val="00AC2395"/>
    <w:rsid w:val="00AC2960"/>
    <w:rsid w:val="00AC2AC4"/>
    <w:rsid w:val="00AC4284"/>
    <w:rsid w:val="00AC45BD"/>
    <w:rsid w:val="00AC50BB"/>
    <w:rsid w:val="00AD0EE7"/>
    <w:rsid w:val="00AD168E"/>
    <w:rsid w:val="00AD306C"/>
    <w:rsid w:val="00AD44CD"/>
    <w:rsid w:val="00AD5AD2"/>
    <w:rsid w:val="00AD6462"/>
    <w:rsid w:val="00AD66C5"/>
    <w:rsid w:val="00AD68C4"/>
    <w:rsid w:val="00AD71F9"/>
    <w:rsid w:val="00AE09B3"/>
    <w:rsid w:val="00AE1A83"/>
    <w:rsid w:val="00AE30BE"/>
    <w:rsid w:val="00AE3E6A"/>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10A4D"/>
    <w:rsid w:val="00B10C90"/>
    <w:rsid w:val="00B11002"/>
    <w:rsid w:val="00B121B2"/>
    <w:rsid w:val="00B141B6"/>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2316"/>
    <w:rsid w:val="00B63A11"/>
    <w:rsid w:val="00B64425"/>
    <w:rsid w:val="00B64C24"/>
    <w:rsid w:val="00B65CEF"/>
    <w:rsid w:val="00B6608F"/>
    <w:rsid w:val="00B679FB"/>
    <w:rsid w:val="00B73A14"/>
    <w:rsid w:val="00B748BD"/>
    <w:rsid w:val="00B7680F"/>
    <w:rsid w:val="00B76D1E"/>
    <w:rsid w:val="00B77543"/>
    <w:rsid w:val="00B77584"/>
    <w:rsid w:val="00B80EC6"/>
    <w:rsid w:val="00B81288"/>
    <w:rsid w:val="00B81D70"/>
    <w:rsid w:val="00B833B9"/>
    <w:rsid w:val="00B83E07"/>
    <w:rsid w:val="00B84CF6"/>
    <w:rsid w:val="00B85016"/>
    <w:rsid w:val="00B8561A"/>
    <w:rsid w:val="00B86643"/>
    <w:rsid w:val="00B90131"/>
    <w:rsid w:val="00B92951"/>
    <w:rsid w:val="00B92D1D"/>
    <w:rsid w:val="00B930CE"/>
    <w:rsid w:val="00B938C5"/>
    <w:rsid w:val="00B9554A"/>
    <w:rsid w:val="00B95940"/>
    <w:rsid w:val="00B95ACA"/>
    <w:rsid w:val="00B97ACC"/>
    <w:rsid w:val="00B97FE2"/>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2"/>
    <w:rsid w:val="00BB5ABF"/>
    <w:rsid w:val="00BB6EA2"/>
    <w:rsid w:val="00BB7B5B"/>
    <w:rsid w:val="00BC003F"/>
    <w:rsid w:val="00BC327F"/>
    <w:rsid w:val="00BC3512"/>
    <w:rsid w:val="00BC50BE"/>
    <w:rsid w:val="00BC5332"/>
    <w:rsid w:val="00BC5715"/>
    <w:rsid w:val="00BC5C12"/>
    <w:rsid w:val="00BC7154"/>
    <w:rsid w:val="00BC731E"/>
    <w:rsid w:val="00BC7614"/>
    <w:rsid w:val="00BD25BB"/>
    <w:rsid w:val="00BD2AF8"/>
    <w:rsid w:val="00BD366B"/>
    <w:rsid w:val="00BD410B"/>
    <w:rsid w:val="00BD4A73"/>
    <w:rsid w:val="00BD6C75"/>
    <w:rsid w:val="00BD6D50"/>
    <w:rsid w:val="00BE0AD1"/>
    <w:rsid w:val="00BE0EF9"/>
    <w:rsid w:val="00BE10A1"/>
    <w:rsid w:val="00BE18B9"/>
    <w:rsid w:val="00BE190A"/>
    <w:rsid w:val="00BE2495"/>
    <w:rsid w:val="00BE24DD"/>
    <w:rsid w:val="00BE386D"/>
    <w:rsid w:val="00BE557B"/>
    <w:rsid w:val="00BF02C8"/>
    <w:rsid w:val="00BF1578"/>
    <w:rsid w:val="00BF15CA"/>
    <w:rsid w:val="00BF1D12"/>
    <w:rsid w:val="00BF1D3A"/>
    <w:rsid w:val="00BF2B5B"/>
    <w:rsid w:val="00BF2D41"/>
    <w:rsid w:val="00BF32DC"/>
    <w:rsid w:val="00BF4329"/>
    <w:rsid w:val="00BF4E43"/>
    <w:rsid w:val="00BF5C4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513B"/>
    <w:rsid w:val="00C50E79"/>
    <w:rsid w:val="00C525FB"/>
    <w:rsid w:val="00C5390B"/>
    <w:rsid w:val="00C54257"/>
    <w:rsid w:val="00C54697"/>
    <w:rsid w:val="00C550CE"/>
    <w:rsid w:val="00C553A5"/>
    <w:rsid w:val="00C55402"/>
    <w:rsid w:val="00C5603B"/>
    <w:rsid w:val="00C61DAB"/>
    <w:rsid w:val="00C61F47"/>
    <w:rsid w:val="00C62828"/>
    <w:rsid w:val="00C719A3"/>
    <w:rsid w:val="00C71D2F"/>
    <w:rsid w:val="00C72984"/>
    <w:rsid w:val="00C73885"/>
    <w:rsid w:val="00C73C93"/>
    <w:rsid w:val="00C7435A"/>
    <w:rsid w:val="00C747B1"/>
    <w:rsid w:val="00C755F9"/>
    <w:rsid w:val="00C82191"/>
    <w:rsid w:val="00C83134"/>
    <w:rsid w:val="00C832F3"/>
    <w:rsid w:val="00C845A4"/>
    <w:rsid w:val="00C85545"/>
    <w:rsid w:val="00C855B5"/>
    <w:rsid w:val="00C85F0E"/>
    <w:rsid w:val="00C90CF4"/>
    <w:rsid w:val="00C922DE"/>
    <w:rsid w:val="00C92843"/>
    <w:rsid w:val="00C92EB6"/>
    <w:rsid w:val="00C93389"/>
    <w:rsid w:val="00C94CDD"/>
    <w:rsid w:val="00CA0346"/>
    <w:rsid w:val="00CA1BD6"/>
    <w:rsid w:val="00CA37FF"/>
    <w:rsid w:val="00CA423A"/>
    <w:rsid w:val="00CA47BC"/>
    <w:rsid w:val="00CA6AB4"/>
    <w:rsid w:val="00CA7255"/>
    <w:rsid w:val="00CB2351"/>
    <w:rsid w:val="00CB4930"/>
    <w:rsid w:val="00CB4C63"/>
    <w:rsid w:val="00CB5A48"/>
    <w:rsid w:val="00CB5E10"/>
    <w:rsid w:val="00CB613B"/>
    <w:rsid w:val="00CB6152"/>
    <w:rsid w:val="00CB64E1"/>
    <w:rsid w:val="00CC0834"/>
    <w:rsid w:val="00CC20FE"/>
    <w:rsid w:val="00CC2E7D"/>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908"/>
    <w:rsid w:val="00CF51EC"/>
    <w:rsid w:val="00CF545D"/>
    <w:rsid w:val="00CF5873"/>
    <w:rsid w:val="00CF73AE"/>
    <w:rsid w:val="00D0242D"/>
    <w:rsid w:val="00D02716"/>
    <w:rsid w:val="00D03A72"/>
    <w:rsid w:val="00D040DD"/>
    <w:rsid w:val="00D05C65"/>
    <w:rsid w:val="00D06B56"/>
    <w:rsid w:val="00D06D68"/>
    <w:rsid w:val="00D075BE"/>
    <w:rsid w:val="00D10C15"/>
    <w:rsid w:val="00D11476"/>
    <w:rsid w:val="00D12C25"/>
    <w:rsid w:val="00D133B4"/>
    <w:rsid w:val="00D13986"/>
    <w:rsid w:val="00D14C5B"/>
    <w:rsid w:val="00D15FED"/>
    <w:rsid w:val="00D214EF"/>
    <w:rsid w:val="00D215B0"/>
    <w:rsid w:val="00D21D6D"/>
    <w:rsid w:val="00D21D83"/>
    <w:rsid w:val="00D235B7"/>
    <w:rsid w:val="00D23FAE"/>
    <w:rsid w:val="00D25F28"/>
    <w:rsid w:val="00D26071"/>
    <w:rsid w:val="00D269B9"/>
    <w:rsid w:val="00D27973"/>
    <w:rsid w:val="00D31537"/>
    <w:rsid w:val="00D31E1E"/>
    <w:rsid w:val="00D32824"/>
    <w:rsid w:val="00D334E2"/>
    <w:rsid w:val="00D35AD6"/>
    <w:rsid w:val="00D35BBB"/>
    <w:rsid w:val="00D35E1A"/>
    <w:rsid w:val="00D36DFB"/>
    <w:rsid w:val="00D36E1C"/>
    <w:rsid w:val="00D373AF"/>
    <w:rsid w:val="00D40556"/>
    <w:rsid w:val="00D41F74"/>
    <w:rsid w:val="00D43ED2"/>
    <w:rsid w:val="00D50F46"/>
    <w:rsid w:val="00D5384E"/>
    <w:rsid w:val="00D544E7"/>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459B"/>
    <w:rsid w:val="00DB47FD"/>
    <w:rsid w:val="00DB5E9A"/>
    <w:rsid w:val="00DB657E"/>
    <w:rsid w:val="00DB7342"/>
    <w:rsid w:val="00DC17D0"/>
    <w:rsid w:val="00DC2B41"/>
    <w:rsid w:val="00DC435B"/>
    <w:rsid w:val="00DC53D8"/>
    <w:rsid w:val="00DC56FE"/>
    <w:rsid w:val="00DC5B3B"/>
    <w:rsid w:val="00DC6C2D"/>
    <w:rsid w:val="00DC7B1A"/>
    <w:rsid w:val="00DD04B0"/>
    <w:rsid w:val="00DD129F"/>
    <w:rsid w:val="00DD29B5"/>
    <w:rsid w:val="00DD32DD"/>
    <w:rsid w:val="00DD5287"/>
    <w:rsid w:val="00DE0D8B"/>
    <w:rsid w:val="00DE1237"/>
    <w:rsid w:val="00DE140F"/>
    <w:rsid w:val="00DE2491"/>
    <w:rsid w:val="00DE7AC8"/>
    <w:rsid w:val="00DF3643"/>
    <w:rsid w:val="00DF42FF"/>
    <w:rsid w:val="00DF4369"/>
    <w:rsid w:val="00DF4423"/>
    <w:rsid w:val="00DF4ADF"/>
    <w:rsid w:val="00DF5D1E"/>
    <w:rsid w:val="00DF7F88"/>
    <w:rsid w:val="00E01C0E"/>
    <w:rsid w:val="00E0368F"/>
    <w:rsid w:val="00E03D73"/>
    <w:rsid w:val="00E03F9A"/>
    <w:rsid w:val="00E04694"/>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1771"/>
    <w:rsid w:val="00E31A3E"/>
    <w:rsid w:val="00E32080"/>
    <w:rsid w:val="00E3309D"/>
    <w:rsid w:val="00E3724A"/>
    <w:rsid w:val="00E378B1"/>
    <w:rsid w:val="00E417BE"/>
    <w:rsid w:val="00E41CD5"/>
    <w:rsid w:val="00E43A9E"/>
    <w:rsid w:val="00E453F9"/>
    <w:rsid w:val="00E45D7D"/>
    <w:rsid w:val="00E4623F"/>
    <w:rsid w:val="00E4665D"/>
    <w:rsid w:val="00E47854"/>
    <w:rsid w:val="00E47EBA"/>
    <w:rsid w:val="00E50156"/>
    <w:rsid w:val="00E5076C"/>
    <w:rsid w:val="00E50D2E"/>
    <w:rsid w:val="00E53470"/>
    <w:rsid w:val="00E539F6"/>
    <w:rsid w:val="00E54698"/>
    <w:rsid w:val="00E55791"/>
    <w:rsid w:val="00E578A2"/>
    <w:rsid w:val="00E60043"/>
    <w:rsid w:val="00E61740"/>
    <w:rsid w:val="00E61EB5"/>
    <w:rsid w:val="00E6324D"/>
    <w:rsid w:val="00E6519D"/>
    <w:rsid w:val="00E66062"/>
    <w:rsid w:val="00E6660E"/>
    <w:rsid w:val="00E67305"/>
    <w:rsid w:val="00E67696"/>
    <w:rsid w:val="00E71A58"/>
    <w:rsid w:val="00E72A26"/>
    <w:rsid w:val="00E72A7A"/>
    <w:rsid w:val="00E7335A"/>
    <w:rsid w:val="00E747DC"/>
    <w:rsid w:val="00E75C94"/>
    <w:rsid w:val="00E76B9B"/>
    <w:rsid w:val="00E76E61"/>
    <w:rsid w:val="00E80CA3"/>
    <w:rsid w:val="00E82618"/>
    <w:rsid w:val="00E84E09"/>
    <w:rsid w:val="00E90CA8"/>
    <w:rsid w:val="00E930A1"/>
    <w:rsid w:val="00E93820"/>
    <w:rsid w:val="00E94A86"/>
    <w:rsid w:val="00E953F6"/>
    <w:rsid w:val="00E96143"/>
    <w:rsid w:val="00E96833"/>
    <w:rsid w:val="00EA0C68"/>
    <w:rsid w:val="00EA1D0E"/>
    <w:rsid w:val="00EA2841"/>
    <w:rsid w:val="00EA32BC"/>
    <w:rsid w:val="00EA35A7"/>
    <w:rsid w:val="00EA3B32"/>
    <w:rsid w:val="00EA3D05"/>
    <w:rsid w:val="00EA4402"/>
    <w:rsid w:val="00EA4B8D"/>
    <w:rsid w:val="00EA513E"/>
    <w:rsid w:val="00EA7419"/>
    <w:rsid w:val="00EB0E32"/>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EA1"/>
    <w:rsid w:val="00ED3F10"/>
    <w:rsid w:val="00ED4D04"/>
    <w:rsid w:val="00ED5907"/>
    <w:rsid w:val="00ED5F5B"/>
    <w:rsid w:val="00ED62C6"/>
    <w:rsid w:val="00ED64C1"/>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160B"/>
    <w:rsid w:val="00F0193E"/>
    <w:rsid w:val="00F03F8D"/>
    <w:rsid w:val="00F04811"/>
    <w:rsid w:val="00F0488C"/>
    <w:rsid w:val="00F073ED"/>
    <w:rsid w:val="00F07C4C"/>
    <w:rsid w:val="00F10F11"/>
    <w:rsid w:val="00F11159"/>
    <w:rsid w:val="00F12CFB"/>
    <w:rsid w:val="00F15AAA"/>
    <w:rsid w:val="00F15BEF"/>
    <w:rsid w:val="00F17898"/>
    <w:rsid w:val="00F207C2"/>
    <w:rsid w:val="00F21337"/>
    <w:rsid w:val="00F219A1"/>
    <w:rsid w:val="00F23E20"/>
    <w:rsid w:val="00F24407"/>
    <w:rsid w:val="00F24FAA"/>
    <w:rsid w:val="00F25040"/>
    <w:rsid w:val="00F27071"/>
    <w:rsid w:val="00F27331"/>
    <w:rsid w:val="00F27EE5"/>
    <w:rsid w:val="00F307CB"/>
    <w:rsid w:val="00F30C65"/>
    <w:rsid w:val="00F32649"/>
    <w:rsid w:val="00F33523"/>
    <w:rsid w:val="00F3364D"/>
    <w:rsid w:val="00F349BF"/>
    <w:rsid w:val="00F34DDC"/>
    <w:rsid w:val="00F37EDC"/>
    <w:rsid w:val="00F437CC"/>
    <w:rsid w:val="00F44537"/>
    <w:rsid w:val="00F46185"/>
    <w:rsid w:val="00F46423"/>
    <w:rsid w:val="00F4696A"/>
    <w:rsid w:val="00F47067"/>
    <w:rsid w:val="00F525EB"/>
    <w:rsid w:val="00F52CB5"/>
    <w:rsid w:val="00F53A68"/>
    <w:rsid w:val="00F55A92"/>
    <w:rsid w:val="00F62BFF"/>
    <w:rsid w:val="00F63AAE"/>
    <w:rsid w:val="00F63DDE"/>
    <w:rsid w:val="00F63FB7"/>
    <w:rsid w:val="00F6421B"/>
    <w:rsid w:val="00F647F1"/>
    <w:rsid w:val="00F649D2"/>
    <w:rsid w:val="00F6602B"/>
    <w:rsid w:val="00F7150B"/>
    <w:rsid w:val="00F71DE6"/>
    <w:rsid w:val="00F72D71"/>
    <w:rsid w:val="00F7381C"/>
    <w:rsid w:val="00F73A0C"/>
    <w:rsid w:val="00F7549F"/>
    <w:rsid w:val="00F756DB"/>
    <w:rsid w:val="00F767A8"/>
    <w:rsid w:val="00F84E7D"/>
    <w:rsid w:val="00F85066"/>
    <w:rsid w:val="00F87A4D"/>
    <w:rsid w:val="00F93688"/>
    <w:rsid w:val="00F939F3"/>
    <w:rsid w:val="00F9644E"/>
    <w:rsid w:val="00FA0105"/>
    <w:rsid w:val="00FA05A0"/>
    <w:rsid w:val="00FA17CC"/>
    <w:rsid w:val="00FA1F01"/>
    <w:rsid w:val="00FA26DF"/>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48E4"/>
    <w:rsid w:val="00FE634C"/>
    <w:rsid w:val="00FE6E69"/>
    <w:rsid w:val="00FE6F59"/>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po%20v&#237;kendu-dod&#283;lan&#233;\Trh%20pr&#225;ce\Grafy-trh%20pr&#225;ce-rok-2019-1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po%20v&#237;kendu-dod&#283;lan&#233;\Trh%20pr&#225;ce\Grafy-trh%20pr&#225;ce-rok-2019-1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po%20v&#237;kendu-dod&#283;lan&#233;\Trh%20pr&#225;ce\Grafy-trh%20pr&#225;ce-rok-2019-1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663279993532E-2"/>
          <c:y val="1.6549886621315377E-2"/>
          <c:w val="0.92612532736853703"/>
          <c:h val="0.71362200523083164"/>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1'!$AC$8:$AC$45</c:f>
              <c:numCache>
                <c:formatCode>#,##0.00</c:formatCode>
                <c:ptCount val="38"/>
                <c:pt idx="0">
                  <c:v>-0.23356174217311171</c:v>
                </c:pt>
                <c:pt idx="1">
                  <c:v>-0.1747122966562005</c:v>
                </c:pt>
                <c:pt idx="2">
                  <c:v>-0.13915962469226037</c:v>
                </c:pt>
                <c:pt idx="3">
                  <c:v>-0.14143959200405862</c:v>
                </c:pt>
                <c:pt idx="4">
                  <c:v>0.12025721096249922</c:v>
                </c:pt>
                <c:pt idx="5">
                  <c:v>9.358106375492109E-2</c:v>
                </c:pt>
                <c:pt idx="6">
                  <c:v>5.2909479039819948E-2</c:v>
                </c:pt>
                <c:pt idx="7">
                  <c:v>3.2200235806622762E-2</c:v>
                </c:pt>
                <c:pt idx="8">
                  <c:v>3.6416042268804891E-2</c:v>
                </c:pt>
                <c:pt idx="9">
                  <c:v>3.2594485393274086E-2</c:v>
                </c:pt>
                <c:pt idx="10">
                  <c:v>6.1848773312858325E-2</c:v>
                </c:pt>
                <c:pt idx="11">
                  <c:v>7.0937478899476325E-2</c:v>
                </c:pt>
                <c:pt idx="12">
                  <c:v>3.254323494845611E-2</c:v>
                </c:pt>
                <c:pt idx="13">
                  <c:v>7.6321874707195578E-2</c:v>
                </c:pt>
                <c:pt idx="14">
                  <c:v>2.3410924481669548E-2</c:v>
                </c:pt>
                <c:pt idx="15">
                  <c:v>-7.4800499194880665E-4</c:v>
                </c:pt>
                <c:pt idx="16">
                  <c:v>-6.3249219119214373E-4</c:v>
                </c:pt>
                <c:pt idx="17">
                  <c:v>-6.4752296459134953E-2</c:v>
                </c:pt>
                <c:pt idx="18">
                  <c:v>-3.5218637577225362E-2</c:v>
                </c:pt>
                <c:pt idx="19">
                  <c:v>-2.0958984742843256E-2</c:v>
                </c:pt>
                <c:pt idx="20">
                  <c:v>-2.3426406788155177E-2</c:v>
                </c:pt>
                <c:pt idx="21">
                  <c:v>-2.7474299959347057E-2</c:v>
                </c:pt>
                <c:pt idx="22">
                  <c:v>-4.4382342156993569E-2</c:v>
                </c:pt>
                <c:pt idx="23">
                  <c:v>-8.1709652130563096E-2</c:v>
                </c:pt>
                <c:pt idx="24">
                  <c:v>-0.1349012302557534</c:v>
                </c:pt>
                <c:pt idx="25">
                  <c:v>-5.8568195523339348E-2</c:v>
                </c:pt>
                <c:pt idx="26">
                  <c:v>-5.6239326192333558E-2</c:v>
                </c:pt>
                <c:pt idx="27">
                  <c:v>6.6170821514596537E-2</c:v>
                </c:pt>
                <c:pt idx="28">
                  <c:v>0.11723741570217129</c:v>
                </c:pt>
                <c:pt idx="29">
                  <c:v>4.0126527757696755E-2</c:v>
                </c:pt>
                <c:pt idx="30">
                  <c:v>3.1187617642086975E-2</c:v>
                </c:pt>
                <c:pt idx="31">
                  <c:v>-7.4823625304738392E-2</c:v>
                </c:pt>
                <c:pt idx="32">
                  <c:v>-5.6457958029779425E-2</c:v>
                </c:pt>
                <c:pt idx="33">
                  <c:v>-6.2853327364797804E-2</c:v>
                </c:pt>
                <c:pt idx="34">
                  <c:v>-7.0464313820449265E-2</c:v>
                </c:pt>
                <c:pt idx="35">
                  <c:v>-1.2232566219237755E-2</c:v>
                </c:pt>
                <c:pt idx="36" formatCode="0.00">
                  <c:v>2.0196567583157587E-2</c:v>
                </c:pt>
              </c:numCache>
            </c:numRef>
          </c:val>
          <c:extLst>
            <c:ext xmlns:c16="http://schemas.microsoft.com/office/drawing/2014/chart" uri="{C3380CC4-5D6E-409C-BE32-E72D297353CC}">
              <c16:uniqueId val="{00000000-80BC-43F9-A071-142AE78C11EF}"/>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1'!$AD$8:$AD$45</c:f>
              <c:numCache>
                <c:formatCode>#,##0.00</c:formatCode>
                <c:ptCount val="38"/>
                <c:pt idx="0">
                  <c:v>-1.8468131005586972</c:v>
                </c:pt>
                <c:pt idx="1">
                  <c:v>-0.84788747706839906</c:v>
                </c:pt>
                <c:pt idx="2">
                  <c:v>-0.30139112378533134</c:v>
                </c:pt>
                <c:pt idx="3">
                  <c:v>-0.1425635369007866</c:v>
                </c:pt>
                <c:pt idx="4">
                  <c:v>0.97844827072395646</c:v>
                </c:pt>
                <c:pt idx="5">
                  <c:v>1.063786603492519</c:v>
                </c:pt>
                <c:pt idx="6">
                  <c:v>0.95643299792444314</c:v>
                </c:pt>
                <c:pt idx="7">
                  <c:v>0.57769272501294466</c:v>
                </c:pt>
                <c:pt idx="8">
                  <c:v>0.15443577162715652</c:v>
                </c:pt>
                <c:pt idx="9">
                  <c:v>0.13176409830306832</c:v>
                </c:pt>
                <c:pt idx="10">
                  <c:v>0.310669774882741</c:v>
                </c:pt>
                <c:pt idx="11">
                  <c:v>0.42067990356315849</c:v>
                </c:pt>
                <c:pt idx="12">
                  <c:v>-4.6819370352935923E-2</c:v>
                </c:pt>
                <c:pt idx="13">
                  <c:v>4.2064995953618928E-2</c:v>
                </c:pt>
                <c:pt idx="14">
                  <c:v>-0.1041687774205378</c:v>
                </c:pt>
                <c:pt idx="15">
                  <c:v>-5.5135841643404702E-2</c:v>
                </c:pt>
                <c:pt idx="16">
                  <c:v>0.20301022799169485</c:v>
                </c:pt>
                <c:pt idx="17">
                  <c:v>0.19724032346706391</c:v>
                </c:pt>
                <c:pt idx="18">
                  <c:v>0.39740852145595407</c:v>
                </c:pt>
                <c:pt idx="19">
                  <c:v>0.53497562558633682</c:v>
                </c:pt>
                <c:pt idx="20">
                  <c:v>0.89708201699004209</c:v>
                </c:pt>
                <c:pt idx="21">
                  <c:v>0.95891386110790222</c:v>
                </c:pt>
                <c:pt idx="22">
                  <c:v>0.81128655463120936</c:v>
                </c:pt>
                <c:pt idx="23">
                  <c:v>0.98230949962927161</c:v>
                </c:pt>
                <c:pt idx="24">
                  <c:v>0.87235611440990379</c:v>
                </c:pt>
                <c:pt idx="25">
                  <c:v>0.65986062735229012</c:v>
                </c:pt>
                <c:pt idx="26">
                  <c:v>0.73012796808490243</c:v>
                </c:pt>
                <c:pt idx="27">
                  <c:v>0.59894211322673929</c:v>
                </c:pt>
                <c:pt idx="28">
                  <c:v>0.19150433793723556</c:v>
                </c:pt>
                <c:pt idx="29">
                  <c:v>0.31407747649739137</c:v>
                </c:pt>
                <c:pt idx="30">
                  <c:v>0.44293254775485197</c:v>
                </c:pt>
                <c:pt idx="31">
                  <c:v>0.42858338027908338</c:v>
                </c:pt>
                <c:pt idx="32">
                  <c:v>0.6416396084024838</c:v>
                </c:pt>
                <c:pt idx="33">
                  <c:v>0.55147093281985682</c:v>
                </c:pt>
                <c:pt idx="34">
                  <c:v>0.39112071414268845</c:v>
                </c:pt>
                <c:pt idx="35">
                  <c:v>0.34532329629863218</c:v>
                </c:pt>
                <c:pt idx="36" formatCode="0.00">
                  <c:v>0.26431401645492575</c:v>
                </c:pt>
              </c:numCache>
            </c:numRef>
          </c:val>
          <c:extLst>
            <c:ext xmlns:c16="http://schemas.microsoft.com/office/drawing/2014/chart" uri="{C3380CC4-5D6E-409C-BE32-E72D297353CC}">
              <c16:uniqueId val="{00000001-80BC-43F9-A071-142AE78C11EF}"/>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1'!$AE$8:$AE$45</c:f>
              <c:numCache>
                <c:formatCode>#,##0.00</c:formatCode>
                <c:ptCount val="38"/>
                <c:pt idx="0">
                  <c:v>9.1805397291672322E-2</c:v>
                </c:pt>
                <c:pt idx="1">
                  <c:v>0.14233137183665134</c:v>
                </c:pt>
                <c:pt idx="2">
                  <c:v>0.18536243119285936</c:v>
                </c:pt>
                <c:pt idx="3">
                  <c:v>0.18846781268294879</c:v>
                </c:pt>
                <c:pt idx="4">
                  <c:v>-0.46608857908148404</c:v>
                </c:pt>
                <c:pt idx="5">
                  <c:v>-0.46105406019246514</c:v>
                </c:pt>
                <c:pt idx="6">
                  <c:v>-0.50213718404433083</c:v>
                </c:pt>
                <c:pt idx="7">
                  <c:v>-0.48550624820548732</c:v>
                </c:pt>
                <c:pt idx="8">
                  <c:v>-8.7100822625494942E-2</c:v>
                </c:pt>
                <c:pt idx="9">
                  <c:v>-5.7664119966716589E-2</c:v>
                </c:pt>
                <c:pt idx="10">
                  <c:v>-0.14694777392936498</c:v>
                </c:pt>
                <c:pt idx="11">
                  <c:v>-0.16362090947726265</c:v>
                </c:pt>
                <c:pt idx="12">
                  <c:v>-0.21164023265136817</c:v>
                </c:pt>
                <c:pt idx="13">
                  <c:v>-0.32390837579697213</c:v>
                </c:pt>
                <c:pt idx="14">
                  <c:v>-0.19120233196415506</c:v>
                </c:pt>
                <c:pt idx="15">
                  <c:v>-9.5508426866765084E-2</c:v>
                </c:pt>
                <c:pt idx="16">
                  <c:v>-0.43207122810811094</c:v>
                </c:pt>
                <c:pt idx="17">
                  <c:v>-0.30623380701892161</c:v>
                </c:pt>
                <c:pt idx="18">
                  <c:v>-0.361619939409007</c:v>
                </c:pt>
                <c:pt idx="19">
                  <c:v>-0.44866003208200655</c:v>
                </c:pt>
                <c:pt idx="20">
                  <c:v>-1.1988345755684198E-2</c:v>
                </c:pt>
                <c:pt idx="21">
                  <c:v>-4.8830126266074855E-3</c:v>
                </c:pt>
                <c:pt idx="22">
                  <c:v>-5.0789652116277763E-2</c:v>
                </c:pt>
                <c:pt idx="23">
                  <c:v>-8.1280730072134724E-2</c:v>
                </c:pt>
                <c:pt idx="24">
                  <c:v>-0.17435091395971647</c:v>
                </c:pt>
                <c:pt idx="25">
                  <c:v>-0.20154859782266646</c:v>
                </c:pt>
                <c:pt idx="26">
                  <c:v>-8.8031800957899836E-2</c:v>
                </c:pt>
                <c:pt idx="27">
                  <c:v>-6.5305214837806186E-2</c:v>
                </c:pt>
                <c:pt idx="28">
                  <c:v>-2.2163527088411759E-3</c:v>
                </c:pt>
                <c:pt idx="29">
                  <c:v>-6.9727441700161638E-3</c:v>
                </c:pt>
                <c:pt idx="30">
                  <c:v>6.3305925457414092E-2</c:v>
                </c:pt>
                <c:pt idx="31">
                  <c:v>-8.1773421900432991E-2</c:v>
                </c:pt>
                <c:pt idx="32">
                  <c:v>-3.220250441325003E-3</c:v>
                </c:pt>
                <c:pt idx="33">
                  <c:v>-5.6517382047379244E-2</c:v>
                </c:pt>
                <c:pt idx="34">
                  <c:v>-5.76119806097403E-2</c:v>
                </c:pt>
                <c:pt idx="35">
                  <c:v>-5.4366960974389271E-3</c:v>
                </c:pt>
                <c:pt idx="36" formatCode="0.00">
                  <c:v>9.6262283622749259E-2</c:v>
                </c:pt>
              </c:numCache>
            </c:numRef>
          </c:val>
          <c:extLst>
            <c:ext xmlns:c16="http://schemas.microsoft.com/office/drawing/2014/chart" uri="{C3380CC4-5D6E-409C-BE32-E72D297353CC}">
              <c16:uniqueId val="{00000002-80BC-43F9-A071-142AE78C11EF}"/>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1'!$AF$8:$AF$45</c:f>
              <c:numCache>
                <c:formatCode>#,##0.00</c:formatCode>
                <c:ptCount val="38"/>
                <c:pt idx="0">
                  <c:v>-0.32992745808419799</c:v>
                </c:pt>
                <c:pt idx="1">
                  <c:v>-0.13169415981863533</c:v>
                </c:pt>
                <c:pt idx="2">
                  <c:v>0.1363839128402832</c:v>
                </c:pt>
                <c:pt idx="3">
                  <c:v>0.26629606719849908</c:v>
                </c:pt>
                <c:pt idx="4">
                  <c:v>-4.4602253198547499E-2</c:v>
                </c:pt>
                <c:pt idx="5">
                  <c:v>-8.3343778532470478E-2</c:v>
                </c:pt>
                <c:pt idx="6">
                  <c:v>-8.9490576176930112E-2</c:v>
                </c:pt>
                <c:pt idx="7">
                  <c:v>-0.17073613404442001</c:v>
                </c:pt>
                <c:pt idx="8">
                  <c:v>-0.13093899013055701</c:v>
                </c:pt>
                <c:pt idx="9">
                  <c:v>-9.8654754695802052E-2</c:v>
                </c:pt>
                <c:pt idx="10">
                  <c:v>-8.3732505144657896E-2</c:v>
                </c:pt>
                <c:pt idx="11">
                  <c:v>-0.19994359954085053</c:v>
                </c:pt>
                <c:pt idx="12">
                  <c:v>0.20870161228994447</c:v>
                </c:pt>
                <c:pt idx="13">
                  <c:v>0.15908791702758593</c:v>
                </c:pt>
                <c:pt idx="14">
                  <c:v>1.2571076255283883E-2</c:v>
                </c:pt>
                <c:pt idx="15">
                  <c:v>1.6731690609384169E-2</c:v>
                </c:pt>
                <c:pt idx="16">
                  <c:v>-4.7436914339410621E-2</c:v>
                </c:pt>
                <c:pt idx="17">
                  <c:v>-0.23822328648818419</c:v>
                </c:pt>
                <c:pt idx="18">
                  <c:v>-0.10860390136816096</c:v>
                </c:pt>
                <c:pt idx="19">
                  <c:v>0.12986698621410456</c:v>
                </c:pt>
                <c:pt idx="20">
                  <c:v>0.13077123386609546</c:v>
                </c:pt>
                <c:pt idx="21">
                  <c:v>0.38187511999169982</c:v>
                </c:pt>
                <c:pt idx="22">
                  <c:v>0.21771179724458325</c:v>
                </c:pt>
                <c:pt idx="23">
                  <c:v>8.2353035218203058E-2</c:v>
                </c:pt>
                <c:pt idx="24">
                  <c:v>8.3575891644353945E-2</c:v>
                </c:pt>
                <c:pt idx="25">
                  <c:v>0.22999435517457698</c:v>
                </c:pt>
                <c:pt idx="26">
                  <c:v>-6.0153136002780421E-3</c:v>
                </c:pt>
                <c:pt idx="27">
                  <c:v>0.12124264186235174</c:v>
                </c:pt>
                <c:pt idx="28">
                  <c:v>0.30899013799470437</c:v>
                </c:pt>
                <c:pt idx="29">
                  <c:v>0.15780821001677431</c:v>
                </c:pt>
                <c:pt idx="30">
                  <c:v>0.50460501698984073</c:v>
                </c:pt>
                <c:pt idx="31">
                  <c:v>0.37073765481002691</c:v>
                </c:pt>
                <c:pt idx="32">
                  <c:v>0.25564268854377808</c:v>
                </c:pt>
                <c:pt idx="33">
                  <c:v>0.52295917889148047</c:v>
                </c:pt>
                <c:pt idx="34">
                  <c:v>0.34963934304087885</c:v>
                </c:pt>
                <c:pt idx="35">
                  <c:v>0.37874408224008366</c:v>
                </c:pt>
                <c:pt idx="36" formatCode="0.00">
                  <c:v>0.43827107014780553</c:v>
                </c:pt>
              </c:numCache>
            </c:numRef>
          </c:val>
          <c:extLst>
            <c:ext xmlns:c16="http://schemas.microsoft.com/office/drawing/2014/chart" uri="{C3380CC4-5D6E-409C-BE32-E72D297353CC}">
              <c16:uniqueId val="{00000003-80BC-43F9-A071-142AE78C11EF}"/>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1'!$AG$8:$AG$45</c:f>
              <c:numCache>
                <c:formatCode>#,##0.00</c:formatCode>
                <c:ptCount val="38"/>
                <c:pt idx="0">
                  <c:v>-6.5544918462082921E-2</c:v>
                </c:pt>
                <c:pt idx="1">
                  <c:v>-7.6376746585239866E-2</c:v>
                </c:pt>
                <c:pt idx="2">
                  <c:v>-6.7365148634448022E-2</c:v>
                </c:pt>
                <c:pt idx="3">
                  <c:v>-8.1298680863339648E-2</c:v>
                </c:pt>
                <c:pt idx="4">
                  <c:v>-4.2754587475846345E-2</c:v>
                </c:pt>
                <c:pt idx="5">
                  <c:v>-8.4571460706150903E-2</c:v>
                </c:pt>
                <c:pt idx="6">
                  <c:v>-0.13311180898948402</c:v>
                </c:pt>
                <c:pt idx="7">
                  <c:v>-0.16297181769937</c:v>
                </c:pt>
                <c:pt idx="8">
                  <c:v>2.048030279095709E-2</c:v>
                </c:pt>
                <c:pt idx="9">
                  <c:v>3.5782645872203221E-2</c:v>
                </c:pt>
                <c:pt idx="10">
                  <c:v>5.3511170506353962E-2</c:v>
                </c:pt>
                <c:pt idx="11">
                  <c:v>7.1751710880125247E-2</c:v>
                </c:pt>
                <c:pt idx="12">
                  <c:v>4.0922274087106726E-2</c:v>
                </c:pt>
                <c:pt idx="13">
                  <c:v>7.4542810028706205E-2</c:v>
                </c:pt>
                <c:pt idx="14">
                  <c:v>3.1221123657486902E-2</c:v>
                </c:pt>
                <c:pt idx="15">
                  <c:v>3.1416209661862315E-2</c:v>
                </c:pt>
                <c:pt idx="16">
                  <c:v>0.10163358897218235</c:v>
                </c:pt>
                <c:pt idx="17">
                  <c:v>6.6224385648111464E-2</c:v>
                </c:pt>
                <c:pt idx="18">
                  <c:v>8.507895204899954E-2</c:v>
                </c:pt>
                <c:pt idx="19">
                  <c:v>8.2438673321849676E-2</c:v>
                </c:pt>
                <c:pt idx="20">
                  <c:v>8.1363526932014367E-3</c:v>
                </c:pt>
                <c:pt idx="21">
                  <c:v>5.196780506229165E-2</c:v>
                </c:pt>
                <c:pt idx="22">
                  <c:v>7.5696116134837246E-2</c:v>
                </c:pt>
                <c:pt idx="23">
                  <c:v>9.8730059267280498E-2</c:v>
                </c:pt>
                <c:pt idx="24">
                  <c:v>0.13556098886172266</c:v>
                </c:pt>
                <c:pt idx="25">
                  <c:v>0.11844690019297284</c:v>
                </c:pt>
                <c:pt idx="26">
                  <c:v>0.14205394425269552</c:v>
                </c:pt>
                <c:pt idx="27">
                  <c:v>0.1723519072008087</c:v>
                </c:pt>
                <c:pt idx="28">
                  <c:v>9.117616488441338E-2</c:v>
                </c:pt>
                <c:pt idx="29">
                  <c:v>7.4933250699032117E-2</c:v>
                </c:pt>
                <c:pt idx="30">
                  <c:v>9.0599839313492886E-2</c:v>
                </c:pt>
                <c:pt idx="31">
                  <c:v>6.5909755758085858E-2</c:v>
                </c:pt>
                <c:pt idx="32">
                  <c:v>0.11351853602518676</c:v>
                </c:pt>
                <c:pt idx="33">
                  <c:v>0.12467565771048955</c:v>
                </c:pt>
                <c:pt idx="34">
                  <c:v>0.1292683949019077</c:v>
                </c:pt>
                <c:pt idx="35">
                  <c:v>0.14219194553473155</c:v>
                </c:pt>
                <c:pt idx="36" formatCode="0.00">
                  <c:v>0.15442691730403352</c:v>
                </c:pt>
              </c:numCache>
            </c:numRef>
          </c:val>
          <c:extLst>
            <c:ext xmlns:c16="http://schemas.microsoft.com/office/drawing/2014/chart" uri="{C3380CC4-5D6E-409C-BE32-E72D297353CC}">
              <c16:uniqueId val="{00000004-80BC-43F9-A071-142AE78C11EF}"/>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1'!$AH$8:$AH$45</c:f>
              <c:numCache>
                <c:formatCode>#,##0.00</c:formatCode>
                <c:ptCount val="38"/>
                <c:pt idx="0">
                  <c:v>-0.14301236484017521</c:v>
                </c:pt>
                <c:pt idx="1">
                  <c:v>-6.1261737596404291E-2</c:v>
                </c:pt>
                <c:pt idx="2">
                  <c:v>-5.7089109012243349E-3</c:v>
                </c:pt>
                <c:pt idx="3">
                  <c:v>-5.3554988412522542E-2</c:v>
                </c:pt>
                <c:pt idx="4">
                  <c:v>-0.2067200198355853</c:v>
                </c:pt>
                <c:pt idx="5">
                  <c:v>-0.23613080517931392</c:v>
                </c:pt>
                <c:pt idx="6">
                  <c:v>-0.38896256600127194</c:v>
                </c:pt>
                <c:pt idx="7">
                  <c:v>-0.29327044631221588</c:v>
                </c:pt>
                <c:pt idx="8">
                  <c:v>0.12079806500829224</c:v>
                </c:pt>
                <c:pt idx="9">
                  <c:v>0.13786318791493057</c:v>
                </c:pt>
                <c:pt idx="10">
                  <c:v>0.20517236359949115</c:v>
                </c:pt>
                <c:pt idx="11">
                  <c:v>0.246156229271838</c:v>
                </c:pt>
                <c:pt idx="12">
                  <c:v>4.8586513678384492E-2</c:v>
                </c:pt>
                <c:pt idx="13">
                  <c:v>0.15669606340428388</c:v>
                </c:pt>
                <c:pt idx="14">
                  <c:v>0.21355091197354684</c:v>
                </c:pt>
                <c:pt idx="15">
                  <c:v>0.20194166348436518</c:v>
                </c:pt>
                <c:pt idx="16">
                  <c:v>0.32444872870057895</c:v>
                </c:pt>
                <c:pt idx="17">
                  <c:v>0.23009735416503094</c:v>
                </c:pt>
                <c:pt idx="18">
                  <c:v>0.12021897659591836</c:v>
                </c:pt>
                <c:pt idx="19">
                  <c:v>8.6689509664060513E-2</c:v>
                </c:pt>
                <c:pt idx="20">
                  <c:v>0.11212051235438299</c:v>
                </c:pt>
                <c:pt idx="21">
                  <c:v>0.10889706472109727</c:v>
                </c:pt>
                <c:pt idx="22">
                  <c:v>0.21462534915444087</c:v>
                </c:pt>
                <c:pt idx="23">
                  <c:v>0.35403616631803658</c:v>
                </c:pt>
                <c:pt idx="24">
                  <c:v>0.28965343268521748</c:v>
                </c:pt>
                <c:pt idx="25">
                  <c:v>0.25529874501404182</c:v>
                </c:pt>
                <c:pt idx="26">
                  <c:v>0.24628082028826492</c:v>
                </c:pt>
                <c:pt idx="27">
                  <c:v>0.25598874788263026</c:v>
                </c:pt>
                <c:pt idx="28">
                  <c:v>0.23116940882994805</c:v>
                </c:pt>
                <c:pt idx="29">
                  <c:v>0.15482531945902892</c:v>
                </c:pt>
                <c:pt idx="30">
                  <c:v>9.278411216905956E-2</c:v>
                </c:pt>
                <c:pt idx="31">
                  <c:v>-4.4059444178685847E-2</c:v>
                </c:pt>
                <c:pt idx="32">
                  <c:v>0.11901744321154208</c:v>
                </c:pt>
                <c:pt idx="33">
                  <c:v>9.2171133508114345E-2</c:v>
                </c:pt>
                <c:pt idx="34">
                  <c:v>1.9539271794250693E-2</c:v>
                </c:pt>
                <c:pt idx="35">
                  <c:v>0.17991367941627653</c:v>
                </c:pt>
                <c:pt idx="36" formatCode="0.00">
                  <c:v>5.1981633156284603E-2</c:v>
                </c:pt>
              </c:numCache>
            </c:numRef>
          </c:val>
          <c:extLst>
            <c:ext xmlns:c16="http://schemas.microsoft.com/office/drawing/2014/chart" uri="{C3380CC4-5D6E-409C-BE32-E72D297353CC}">
              <c16:uniqueId val="{00000005-80BC-43F9-A071-142AE78C11EF}"/>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1'!$AI$8:$AI$45</c:f>
              <c:numCache>
                <c:formatCode>#,##0.00</c:formatCode>
                <c:ptCount val="38"/>
                <c:pt idx="0">
                  <c:v>-2.0907901466973439E-2</c:v>
                </c:pt>
                <c:pt idx="1">
                  <c:v>-6.2962909371343301E-2</c:v>
                </c:pt>
                <c:pt idx="2">
                  <c:v>-2.8209894211911567E-2</c:v>
                </c:pt>
                <c:pt idx="3">
                  <c:v>-2.2340869613912382E-2</c:v>
                </c:pt>
                <c:pt idx="4">
                  <c:v>-9.5105116285723379E-2</c:v>
                </c:pt>
                <c:pt idx="5">
                  <c:v>-0.14678722505612299</c:v>
                </c:pt>
                <c:pt idx="6">
                  <c:v>-0.16744479557477174</c:v>
                </c:pt>
                <c:pt idx="7">
                  <c:v>-0.1288994751598026</c:v>
                </c:pt>
                <c:pt idx="8">
                  <c:v>-0.43673451891530518</c:v>
                </c:pt>
                <c:pt idx="9">
                  <c:v>-0.32576663378174864</c:v>
                </c:pt>
                <c:pt idx="10">
                  <c:v>-5.8957348111554328E-2</c:v>
                </c:pt>
                <c:pt idx="11">
                  <c:v>3.9857648418602898E-2</c:v>
                </c:pt>
                <c:pt idx="12">
                  <c:v>0.15165663730097972</c:v>
                </c:pt>
                <c:pt idx="13">
                  <c:v>0.37473032344581875</c:v>
                </c:pt>
                <c:pt idx="14">
                  <c:v>0.18752347240275047</c:v>
                </c:pt>
                <c:pt idx="15">
                  <c:v>0.15316386427252701</c:v>
                </c:pt>
                <c:pt idx="16">
                  <c:v>0.26533047420509104</c:v>
                </c:pt>
                <c:pt idx="17">
                  <c:v>0.16561984768783769</c:v>
                </c:pt>
                <c:pt idx="18">
                  <c:v>0.34577941380228444</c:v>
                </c:pt>
                <c:pt idx="19">
                  <c:v>0.35604690325588367</c:v>
                </c:pt>
                <c:pt idx="20">
                  <c:v>0.26073669367319835</c:v>
                </c:pt>
                <c:pt idx="21">
                  <c:v>0.23875774589939752</c:v>
                </c:pt>
                <c:pt idx="22">
                  <c:v>9.980166640848423E-2</c:v>
                </c:pt>
                <c:pt idx="23">
                  <c:v>9.8593584066869605E-2</c:v>
                </c:pt>
                <c:pt idx="24">
                  <c:v>0.37561609810998425</c:v>
                </c:pt>
                <c:pt idx="25">
                  <c:v>0.36534296891607143</c:v>
                </c:pt>
                <c:pt idx="26">
                  <c:v>0.44871925875912344</c:v>
                </c:pt>
                <c:pt idx="27">
                  <c:v>0.54529373496970024</c:v>
                </c:pt>
                <c:pt idx="28">
                  <c:v>0.50744923788037166</c:v>
                </c:pt>
                <c:pt idx="29">
                  <c:v>0.561448400458187</c:v>
                </c:pt>
                <c:pt idx="30">
                  <c:v>0.64859608236418231</c:v>
                </c:pt>
                <c:pt idx="31">
                  <c:v>0.65218553161883674</c:v>
                </c:pt>
                <c:pt idx="32">
                  <c:v>0.43955476930389625</c:v>
                </c:pt>
                <c:pt idx="33">
                  <c:v>0.4662168520399318</c:v>
                </c:pt>
                <c:pt idx="34">
                  <c:v>0.40427107247132682</c:v>
                </c:pt>
                <c:pt idx="35">
                  <c:v>0.4249559990683125</c:v>
                </c:pt>
                <c:pt idx="36" formatCode="0.00">
                  <c:v>0.45187737369832875</c:v>
                </c:pt>
              </c:numCache>
            </c:numRef>
          </c:val>
          <c:extLst>
            <c:ext xmlns:c16="http://schemas.microsoft.com/office/drawing/2014/chart" uri="{C3380CC4-5D6E-409C-BE32-E72D297353CC}">
              <c16:uniqueId val="{00000006-80BC-43F9-A071-142AE78C11EF}"/>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1'!$AJ$8:$AJ$45</c:f>
              <c:numCache>
                <c:formatCode>#,##0.00</c:formatCode>
                <c:ptCount val="38"/>
                <c:pt idx="0">
                  <c:v>-0.1901420983687783</c:v>
                </c:pt>
                <c:pt idx="1">
                  <c:v>-3.799283630699439E-2</c:v>
                </c:pt>
                <c:pt idx="2">
                  <c:v>4.5809088507411368E-2</c:v>
                </c:pt>
                <c:pt idx="3">
                  <c:v>4.7047939010411724E-2</c:v>
                </c:pt>
                <c:pt idx="4">
                  <c:v>-0.13197896124630437</c:v>
                </c:pt>
                <c:pt idx="5">
                  <c:v>-0.15009404639490076</c:v>
                </c:pt>
                <c:pt idx="6">
                  <c:v>-0.15241795135995928</c:v>
                </c:pt>
                <c:pt idx="7">
                  <c:v>-0.13857531101112103</c:v>
                </c:pt>
                <c:pt idx="8">
                  <c:v>0.27082819010483822</c:v>
                </c:pt>
                <c:pt idx="9">
                  <c:v>0.3204002270128683</c:v>
                </c:pt>
                <c:pt idx="10">
                  <c:v>0.32552298653328626</c:v>
                </c:pt>
                <c:pt idx="11">
                  <c:v>0.40308454905449781</c:v>
                </c:pt>
                <c:pt idx="12">
                  <c:v>0.2322105751813254</c:v>
                </c:pt>
                <c:pt idx="13">
                  <c:v>0.15133910198349895</c:v>
                </c:pt>
                <c:pt idx="14">
                  <c:v>-7.2219751069082586E-2</c:v>
                </c:pt>
                <c:pt idx="15">
                  <c:v>-0.22877142148506568</c:v>
                </c:pt>
                <c:pt idx="16">
                  <c:v>0.15741149408293634</c:v>
                </c:pt>
                <c:pt idx="17">
                  <c:v>3.8568736751197499E-2</c:v>
                </c:pt>
                <c:pt idx="18">
                  <c:v>0.16498909735535922</c:v>
                </c:pt>
                <c:pt idx="19">
                  <c:v>0.21998078070938992</c:v>
                </c:pt>
                <c:pt idx="20">
                  <c:v>-9.3528749920159276E-2</c:v>
                </c:pt>
                <c:pt idx="21">
                  <c:v>4.7320118345400244E-2</c:v>
                </c:pt>
                <c:pt idx="22">
                  <c:v>-3.2427239428080012E-3</c:v>
                </c:pt>
                <c:pt idx="23">
                  <c:v>-9.7462789549197376E-2</c:v>
                </c:pt>
                <c:pt idx="24">
                  <c:v>0.113090386929018</c:v>
                </c:pt>
                <c:pt idx="25">
                  <c:v>6.7491221034133714E-2</c:v>
                </c:pt>
                <c:pt idx="26">
                  <c:v>8.9786267424647681E-2</c:v>
                </c:pt>
                <c:pt idx="27">
                  <c:v>0.1606565992121825</c:v>
                </c:pt>
                <c:pt idx="28">
                  <c:v>1.2935092964532574E-2</c:v>
                </c:pt>
                <c:pt idx="29">
                  <c:v>5.8232863436240317E-2</c:v>
                </c:pt>
                <c:pt idx="30">
                  <c:v>9.6867752725118106E-2</c:v>
                </c:pt>
                <c:pt idx="31">
                  <c:v>0.11455833192795077</c:v>
                </c:pt>
                <c:pt idx="32">
                  <c:v>0.21835557817054407</c:v>
                </c:pt>
                <c:pt idx="33">
                  <c:v>0.22080207069190425</c:v>
                </c:pt>
                <c:pt idx="34">
                  <c:v>8.1956907430603219E-3</c:v>
                </c:pt>
                <c:pt idx="35">
                  <c:v>4.2990860578720841E-2</c:v>
                </c:pt>
                <c:pt idx="36" formatCode="0.00">
                  <c:v>-3.9930335725821185E-2</c:v>
                </c:pt>
              </c:numCache>
            </c:numRef>
          </c:val>
          <c:extLst>
            <c:ext xmlns:c16="http://schemas.microsoft.com/office/drawing/2014/chart" uri="{C3380CC4-5D6E-409C-BE32-E72D297353CC}">
              <c16:uniqueId val="{00000007-80BC-43F9-A071-142AE78C11EF}"/>
            </c:ext>
          </c:extLst>
        </c:ser>
        <c:dLbls>
          <c:showLegendKey val="0"/>
          <c:showVal val="0"/>
          <c:showCatName val="0"/>
          <c:showSerName val="0"/>
          <c:showPercent val="0"/>
          <c:showBubbleSize val="0"/>
        </c:dLbls>
        <c:gapWidth val="47"/>
        <c:overlap val="100"/>
        <c:axId val="87352448"/>
        <c:axId val="8735398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1'!$AA$8:$AB$45</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1'!$AK$8:$AK$45</c:f>
              <c:numCache>
                <c:formatCode>#,##0.00</c:formatCode>
                <c:ptCount val="38"/>
                <c:pt idx="0">
                  <c:v>-2.7381041866623406</c:v>
                </c:pt>
                <c:pt idx="1">
                  <c:v>-1.2505567915665665</c:v>
                </c:pt>
                <c:pt idx="2">
                  <c:v>-0.17427926968461804</c:v>
                </c:pt>
                <c:pt idx="3">
                  <c:v>6.0614151097240665E-2</c:v>
                </c:pt>
                <c:pt idx="4">
                  <c:v>0.11145596456296403</c:v>
                </c:pt>
                <c:pt idx="5">
                  <c:v>-4.6137088139772686E-3</c:v>
                </c:pt>
                <c:pt idx="6">
                  <c:v>-0.42422240518249055</c:v>
                </c:pt>
                <c:pt idx="7">
                  <c:v>-0.77006647161285002</c:v>
                </c:pt>
                <c:pt idx="8">
                  <c:v>-5.1815959871305495E-2</c:v>
                </c:pt>
                <c:pt idx="9">
                  <c:v>0.17631913605207217</c:v>
                </c:pt>
                <c:pt idx="10">
                  <c:v>0.66708744164915856</c:v>
                </c:pt>
                <c:pt idx="11">
                  <c:v>0.88890301106958702</c:v>
                </c:pt>
                <c:pt idx="12">
                  <c:v>0.45616124448189055</c:v>
                </c:pt>
                <c:pt idx="13">
                  <c:v>0.71087471075372832</c:v>
                </c:pt>
                <c:pt idx="14">
                  <c:v>0.10068664831696594</c:v>
                </c:pt>
                <c:pt idx="15">
                  <c:v>2.3089733040947635E-2</c:v>
                </c:pt>
                <c:pt idx="16">
                  <c:v>0.57169387931377003</c:v>
                </c:pt>
                <c:pt idx="17">
                  <c:v>8.8541257752993374E-2</c:v>
                </c:pt>
                <c:pt idx="18">
                  <c:v>0.60803248290413592</c:v>
                </c:pt>
                <c:pt idx="19">
                  <c:v>0.94037946192678135</c:v>
                </c:pt>
                <c:pt idx="20">
                  <c:v>1.2799033071129173</c:v>
                </c:pt>
                <c:pt idx="21">
                  <c:v>1.7553744025418325</c:v>
                </c:pt>
                <c:pt idx="22">
                  <c:v>1.3207067653574711</c:v>
                </c:pt>
                <c:pt idx="23">
                  <c:v>1.3555691727477779</c:v>
                </c:pt>
                <c:pt idx="24">
                  <c:v>1.5606007684247203</c:v>
                </c:pt>
                <c:pt idx="25">
                  <c:v>1.4363180243380782</c:v>
                </c:pt>
                <c:pt idx="26">
                  <c:v>1.5066818180591355</c:v>
                </c:pt>
                <c:pt idx="27">
                  <c:v>1.8553413510311998</c:v>
                </c:pt>
                <c:pt idx="28">
                  <c:v>1.4582454434845431</c:v>
                </c:pt>
                <c:pt idx="29">
                  <c:v>1.3544793041543386</c:v>
                </c:pt>
                <c:pt idx="30">
                  <c:v>1.970878894416046</c:v>
                </c:pt>
                <c:pt idx="31">
                  <c:v>1.4313181630101184</c:v>
                </c:pt>
                <c:pt idx="32">
                  <c:v>1.7280504151863312</c:v>
                </c:pt>
                <c:pt idx="33">
                  <c:v>1.8589251162496083</c:v>
                </c:pt>
                <c:pt idx="34">
                  <c:v>1.1739581926639318</c:v>
                </c:pt>
                <c:pt idx="35">
                  <c:v>1.4964506008200829</c:v>
                </c:pt>
                <c:pt idx="36">
                  <c:v>1.4373995262414638</c:v>
                </c:pt>
              </c:numCache>
            </c:numRef>
          </c:val>
          <c:smooth val="0"/>
          <c:extLst>
            <c:ext xmlns:c16="http://schemas.microsoft.com/office/drawing/2014/chart" uri="{C3380CC4-5D6E-409C-BE32-E72D297353CC}">
              <c16:uniqueId val="{00000008-80BC-43F9-A071-142AE78C11EF}"/>
            </c:ext>
          </c:extLst>
        </c:ser>
        <c:dLbls>
          <c:showLegendKey val="0"/>
          <c:showVal val="0"/>
          <c:showCatName val="0"/>
          <c:showSerName val="0"/>
          <c:showPercent val="0"/>
          <c:showBubbleSize val="0"/>
        </c:dLbls>
        <c:marker val="1"/>
        <c:smooth val="0"/>
        <c:axId val="87352448"/>
        <c:axId val="87353984"/>
      </c:lineChart>
      <c:catAx>
        <c:axId val="87352448"/>
        <c:scaling>
          <c:orientation val="minMax"/>
        </c:scaling>
        <c:delete val="0"/>
        <c:axPos val="b"/>
        <c:numFmt formatCode="General" sourceLinked="1"/>
        <c:majorTickMark val="out"/>
        <c:minorTickMark val="none"/>
        <c:tickLblPos val="low"/>
        <c:spPr>
          <a:ln>
            <a:solidFill>
              <a:schemeClr val="tx1"/>
            </a:solidFill>
          </a:ln>
        </c:spPr>
        <c:crossAx val="87353984"/>
        <c:crosses val="autoZero"/>
        <c:auto val="1"/>
        <c:lblAlgn val="ctr"/>
        <c:lblOffset val="10"/>
        <c:noMultiLvlLbl val="0"/>
      </c:catAx>
      <c:valAx>
        <c:axId val="87353984"/>
        <c:scaling>
          <c:orientation val="minMax"/>
          <c:max val="2"/>
          <c:min val="-3"/>
        </c:scaling>
        <c:delete val="0"/>
        <c:axPos val="l"/>
        <c:majorGridlines>
          <c:spPr>
            <a:ln w="6350">
              <a:solidFill>
                <a:schemeClr val="bg1">
                  <a:lumMod val="75000"/>
                </a:schemeClr>
              </a:solidFill>
            </a:ln>
          </c:spPr>
        </c:majorGridlines>
        <c:numFmt formatCode="0.0" sourceLinked="0"/>
        <c:majorTickMark val="out"/>
        <c:minorTickMark val="none"/>
        <c:tickLblPos val="nextTo"/>
        <c:spPr>
          <a:ln>
            <a:solidFill>
              <a:schemeClr val="tx1"/>
            </a:solidFill>
          </a:ln>
        </c:spPr>
        <c:crossAx val="87352448"/>
        <c:crosses val="autoZero"/>
        <c:crossBetween val="between"/>
        <c:majorUnit val="0.5"/>
      </c:valAx>
      <c:spPr>
        <a:ln>
          <a:solidFill>
            <a:schemeClr val="tx1"/>
          </a:solidFill>
        </a:ln>
      </c:spPr>
    </c:plotArea>
    <c:legend>
      <c:legendPos val="b"/>
      <c:layout>
        <c:manualLayout>
          <c:xMode val="edge"/>
          <c:yMode val="edge"/>
          <c:x val="5.5582430822068776E-2"/>
          <c:y val="0.83458955395312773"/>
          <c:w val="0.9272008319203987"/>
          <c:h val="0.1618145565003873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183922558922563E-2"/>
          <c:y val="1.643251153889452E-2"/>
          <c:w val="0.8957392676767677"/>
          <c:h val="0.75753478190891899"/>
        </c:manualLayout>
      </c:layout>
      <c:barChart>
        <c:barDir val="col"/>
        <c:grouping val="clustered"/>
        <c:varyColors val="0"/>
        <c:ser>
          <c:idx val="0"/>
          <c:order val="0"/>
          <c:tx>
            <c:strRef>
              <c:f>'Trh práce-2'!$A$32</c:f>
              <c:strCache>
                <c:ptCount val="1"/>
                <c:pt idx="0">
                  <c:v>Míra nezaměstnanosti mužů (levá osa)</c:v>
                </c:pt>
              </c:strCache>
            </c:strRef>
          </c:tx>
          <c:spPr>
            <a:solidFill>
              <a:srgbClr val="BCBCBC"/>
            </a:solidFill>
          </c:spPr>
          <c:invertIfNegative val="0"/>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práce-2'!$B$32:$AM$32</c:f>
              <c:numCache>
                <c:formatCode>0.0</c:formatCode>
                <c:ptCount val="38"/>
                <c:pt idx="0">
                  <c:v>7.0984261964423681</c:v>
                </c:pt>
                <c:pt idx="1">
                  <c:v>6.5135583821211851</c:v>
                </c:pt>
                <c:pt idx="2">
                  <c:v>6.1925174973206412</c:v>
                </c:pt>
                <c:pt idx="3">
                  <c:v>6.0751752494425988</c:v>
                </c:pt>
                <c:pt idx="4">
                  <c:v>6.0585504123063769</c:v>
                </c:pt>
                <c:pt idx="5">
                  <c:v>6.0037781675822162</c:v>
                </c:pt>
                <c:pt idx="6">
                  <c:v>5.7771123440108241</c:v>
                </c:pt>
                <c:pt idx="7">
                  <c:v>5.6914303332293281</c:v>
                </c:pt>
                <c:pt idx="8">
                  <c:v>5.999444560507885</c:v>
                </c:pt>
                <c:pt idx="9">
                  <c:v>5.9934774990686046</c:v>
                </c:pt>
                <c:pt idx="10">
                  <c:v>6.0666122060007597</c:v>
                </c:pt>
                <c:pt idx="11">
                  <c:v>6.252704068775639</c:v>
                </c:pt>
                <c:pt idx="12">
                  <c:v>6.2702270348516764</c:v>
                </c:pt>
                <c:pt idx="13">
                  <c:v>5.9057854548173836</c:v>
                </c:pt>
                <c:pt idx="14">
                  <c:v>5.9365078922261789</c:v>
                </c:pt>
                <c:pt idx="15">
                  <c:v>5.7576462287734786</c:v>
                </c:pt>
                <c:pt idx="16">
                  <c:v>5.5339334646450906</c:v>
                </c:pt>
                <c:pt idx="17">
                  <c:v>5.2282751984916649</c:v>
                </c:pt>
                <c:pt idx="18">
                  <c:v>4.9463964293731832</c:v>
                </c:pt>
                <c:pt idx="19">
                  <c:v>5.024899902558472</c:v>
                </c:pt>
                <c:pt idx="20">
                  <c:v>4.9895127892003819</c:v>
                </c:pt>
                <c:pt idx="21">
                  <c:v>4.3828206559983309</c:v>
                </c:pt>
                <c:pt idx="22">
                  <c:v>4.0788029838950886</c:v>
                </c:pt>
                <c:pt idx="23">
                  <c:v>3.7650503471565702</c:v>
                </c:pt>
                <c:pt idx="24">
                  <c:v>3.6073351390851784</c:v>
                </c:pt>
                <c:pt idx="25">
                  <c:v>3.5996652175846702</c:v>
                </c:pt>
                <c:pt idx="26">
                  <c:v>3.3951063649934792</c:v>
                </c:pt>
                <c:pt idx="27">
                  <c:v>3.1389186356449676</c:v>
                </c:pt>
                <c:pt idx="28">
                  <c:v>2.6923090399603491</c:v>
                </c:pt>
                <c:pt idx="29">
                  <c:v>2.4912805992535083</c:v>
                </c:pt>
                <c:pt idx="30">
                  <c:v>2.2651837865154993</c:v>
                </c:pt>
                <c:pt idx="31">
                  <c:v>2.0426608024474615</c:v>
                </c:pt>
                <c:pt idx="32">
                  <c:v>1.8829101011799743</c:v>
                </c:pt>
                <c:pt idx="33">
                  <c:v>1.8600347094393845</c:v>
                </c:pt>
                <c:pt idx="34">
                  <c:v>1.9133693217507461</c:v>
                </c:pt>
                <c:pt idx="35">
                  <c:v>1.6607096328522293</c:v>
                </c:pt>
                <c:pt idx="36">
                  <c:v>1.7829289662020356</c:v>
                </c:pt>
              </c:numCache>
            </c:numRef>
          </c:val>
          <c:extLst>
            <c:ext xmlns:c16="http://schemas.microsoft.com/office/drawing/2014/chart" uri="{C3380CC4-5D6E-409C-BE32-E72D297353CC}">
              <c16:uniqueId val="{00000000-0468-46AD-A148-25373D08CB54}"/>
            </c:ext>
          </c:extLst>
        </c:ser>
        <c:ser>
          <c:idx val="1"/>
          <c:order val="1"/>
          <c:tx>
            <c:strRef>
              <c:f>'Trh práce-2'!$A$33</c:f>
              <c:strCache>
                <c:ptCount val="1"/>
                <c:pt idx="0">
                  <c:v>Míra nezaměstnanosti žen (levá osa)</c:v>
                </c:pt>
              </c:strCache>
            </c:strRef>
          </c:tx>
          <c:spPr>
            <a:solidFill>
              <a:srgbClr val="DBDBDB"/>
            </a:solidFill>
          </c:spPr>
          <c:invertIfNegative val="0"/>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práce-2'!$B$33:$AM$33</c:f>
              <c:numCache>
                <c:formatCode>0.0</c:formatCode>
                <c:ptCount val="38"/>
                <c:pt idx="0">
                  <c:v>8.7633696101973779</c:v>
                </c:pt>
                <c:pt idx="1">
                  <c:v>8.6310295790753013</c:v>
                </c:pt>
                <c:pt idx="2">
                  <c:v>8.4858096938064556</c:v>
                </c:pt>
                <c:pt idx="3">
                  <c:v>8.3010704919620277</c:v>
                </c:pt>
                <c:pt idx="4">
                  <c:v>8.1745626452512052</c:v>
                </c:pt>
                <c:pt idx="5">
                  <c:v>8.1868732965665512</c:v>
                </c:pt>
                <c:pt idx="6">
                  <c:v>7.7763311994031126</c:v>
                </c:pt>
                <c:pt idx="7">
                  <c:v>7.728281834271491</c:v>
                </c:pt>
                <c:pt idx="8">
                  <c:v>8.0311636412730021</c:v>
                </c:pt>
                <c:pt idx="9">
                  <c:v>8.2407929954465864</c:v>
                </c:pt>
                <c:pt idx="10">
                  <c:v>8.3049407606014238</c:v>
                </c:pt>
                <c:pt idx="11">
                  <c:v>8.5479216720113502</c:v>
                </c:pt>
                <c:pt idx="12">
                  <c:v>8.4753243348388825</c:v>
                </c:pt>
                <c:pt idx="13">
                  <c:v>8.4592364247587515</c:v>
                </c:pt>
                <c:pt idx="14">
                  <c:v>8.3592289534544673</c:v>
                </c:pt>
                <c:pt idx="15">
                  <c:v>8.2500639941225327</c:v>
                </c:pt>
                <c:pt idx="16">
                  <c:v>8.0240692285867024</c:v>
                </c:pt>
                <c:pt idx="17">
                  <c:v>7.6998248722356237</c:v>
                </c:pt>
                <c:pt idx="18">
                  <c:v>7.2762005720021952</c:v>
                </c:pt>
                <c:pt idx="19">
                  <c:v>7.0072976233268598</c:v>
                </c:pt>
                <c:pt idx="20">
                  <c:v>6.9060385283823491</c:v>
                </c:pt>
                <c:pt idx="21">
                  <c:v>6.2608308369461865</c:v>
                </c:pt>
                <c:pt idx="22">
                  <c:v>5.933528937116729</c:v>
                </c:pt>
                <c:pt idx="23">
                  <c:v>5.6186615875899149</c:v>
                </c:pt>
                <c:pt idx="24">
                  <c:v>5.1175314592534695</c:v>
                </c:pt>
                <c:pt idx="25">
                  <c:v>4.8514367476859439</c:v>
                </c:pt>
                <c:pt idx="26">
                  <c:v>4.7843125946435121</c:v>
                </c:pt>
                <c:pt idx="27">
                  <c:v>4.3218514532585237</c:v>
                </c:pt>
                <c:pt idx="28">
                  <c:v>4.2671623131028236</c:v>
                </c:pt>
                <c:pt idx="29">
                  <c:v>3.9309933682204705</c:v>
                </c:pt>
                <c:pt idx="30">
                  <c:v>3.393179247652069</c:v>
                </c:pt>
                <c:pt idx="31">
                  <c:v>3.0589728986623048</c:v>
                </c:pt>
                <c:pt idx="32">
                  <c:v>2.9153483771733346</c:v>
                </c:pt>
                <c:pt idx="33">
                  <c:v>2.8848351509991201</c:v>
                </c:pt>
                <c:pt idx="34">
                  <c:v>2.8472750923763548</c:v>
                </c:pt>
                <c:pt idx="35">
                  <c:v>2.654274976774309</c:v>
                </c:pt>
                <c:pt idx="36">
                  <c:v>2.2381214201925697</c:v>
                </c:pt>
              </c:numCache>
            </c:numRef>
          </c:val>
          <c:extLst>
            <c:ext xmlns:c16="http://schemas.microsoft.com/office/drawing/2014/chart" uri="{C3380CC4-5D6E-409C-BE32-E72D297353CC}">
              <c16:uniqueId val="{00000001-0468-46AD-A148-25373D08CB54}"/>
            </c:ext>
          </c:extLst>
        </c:ser>
        <c:dLbls>
          <c:showLegendKey val="0"/>
          <c:showVal val="0"/>
          <c:showCatName val="0"/>
          <c:showSerName val="0"/>
          <c:showPercent val="0"/>
          <c:showBubbleSize val="0"/>
        </c:dLbls>
        <c:gapWidth val="68"/>
        <c:axId val="87505920"/>
        <c:axId val="87536384"/>
      </c:barChart>
      <c:lineChart>
        <c:grouping val="standard"/>
        <c:varyColors val="0"/>
        <c:ser>
          <c:idx val="2"/>
          <c:order val="2"/>
          <c:tx>
            <c:strRef>
              <c:f>'Trh práce-2'!$A$34</c:f>
              <c:strCache>
                <c:ptCount val="1"/>
                <c:pt idx="0">
                  <c:v>Podíl nezam. nad 1 rok (v %, pravá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práce-2'!$B$34:$AM$34</c:f>
              <c:numCache>
                <c:formatCode>0.0</c:formatCode>
                <c:ptCount val="38"/>
                <c:pt idx="0">
                  <c:v>35.78199052132701</c:v>
                </c:pt>
                <c:pt idx="1">
                  <c:v>41.6</c:v>
                </c:pt>
                <c:pt idx="2">
                  <c:v>43.048128342245988</c:v>
                </c:pt>
                <c:pt idx="3">
                  <c:v>44.0771349862259</c:v>
                </c:pt>
                <c:pt idx="4">
                  <c:v>39.946380697050934</c:v>
                </c:pt>
                <c:pt idx="5">
                  <c:v>39.03133903133903</c:v>
                </c:pt>
                <c:pt idx="6">
                  <c:v>40.233236151603499</c:v>
                </c:pt>
                <c:pt idx="7">
                  <c:v>42.985074626865668</c:v>
                </c:pt>
                <c:pt idx="8">
                  <c:v>43.089430894308947</c:v>
                </c:pt>
                <c:pt idx="9">
                  <c:v>44.444444444444443</c:v>
                </c:pt>
                <c:pt idx="10">
                  <c:v>43.20652173913043</c:v>
                </c:pt>
                <c:pt idx="11">
                  <c:v>42.744063324538253</c:v>
                </c:pt>
                <c:pt idx="12">
                  <c:v>43.256997455470739</c:v>
                </c:pt>
                <c:pt idx="13">
                  <c:v>43.922651933701658</c:v>
                </c:pt>
                <c:pt idx="14">
                  <c:v>43.78378378378379</c:v>
                </c:pt>
                <c:pt idx="15">
                  <c:v>42.25352112676056</c:v>
                </c:pt>
                <c:pt idx="16">
                  <c:v>41.061452513966479</c:v>
                </c:pt>
                <c:pt idx="17">
                  <c:v>43.260188087774296</c:v>
                </c:pt>
                <c:pt idx="18">
                  <c:v>43.769968051118212</c:v>
                </c:pt>
                <c:pt idx="19">
                  <c:v>46.229508196721312</c:v>
                </c:pt>
                <c:pt idx="20">
                  <c:v>45.741324921135643</c:v>
                </c:pt>
                <c:pt idx="21">
                  <c:v>46.564885496183209</c:v>
                </c:pt>
                <c:pt idx="22">
                  <c:v>48.638132295719842</c:v>
                </c:pt>
                <c:pt idx="23">
                  <c:v>48.52320675105485</c:v>
                </c:pt>
                <c:pt idx="24">
                  <c:v>45.887445887445885</c:v>
                </c:pt>
                <c:pt idx="25">
                  <c:v>43.333333333333336</c:v>
                </c:pt>
                <c:pt idx="26">
                  <c:v>39.436619718309856</c:v>
                </c:pt>
                <c:pt idx="27">
                  <c:v>39.0625</c:v>
                </c:pt>
                <c:pt idx="28">
                  <c:v>36.95652173913043</c:v>
                </c:pt>
                <c:pt idx="29">
                  <c:v>37.106918238993707</c:v>
                </c:pt>
                <c:pt idx="30">
                  <c:v>32.666666666666664</c:v>
                </c:pt>
                <c:pt idx="31">
                  <c:v>31.007751937984494</c:v>
                </c:pt>
                <c:pt idx="32">
                  <c:v>31.538461538461537</c:v>
                </c:pt>
                <c:pt idx="33">
                  <c:v>30.508474576271187</c:v>
                </c:pt>
                <c:pt idx="34">
                  <c:v>29.133858267716533</c:v>
                </c:pt>
                <c:pt idx="35">
                  <c:v>31.441441441441441</c:v>
                </c:pt>
                <c:pt idx="36">
                  <c:v>31.814038286235185</c:v>
                </c:pt>
              </c:numCache>
            </c:numRef>
          </c:val>
          <c:smooth val="0"/>
          <c:extLst>
            <c:ext xmlns:c16="http://schemas.microsoft.com/office/drawing/2014/chart" uri="{C3380CC4-5D6E-409C-BE32-E72D297353CC}">
              <c16:uniqueId val="{00000002-0468-46AD-A148-25373D08CB54}"/>
            </c:ext>
          </c:extLst>
        </c:ser>
        <c:ser>
          <c:idx val="3"/>
          <c:order val="3"/>
          <c:tx>
            <c:strRef>
              <c:f>'Trh práce-2'!$A$36</c:f>
              <c:strCache>
                <c:ptCount val="1"/>
                <c:pt idx="0">
                  <c:v>Podíl nezam. nad 49 let  (v %, pravá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práce-2'!$B$36:$AM$36</c:f>
              <c:numCache>
                <c:formatCode>0.0</c:formatCode>
                <c:ptCount val="38"/>
                <c:pt idx="0">
                  <c:v>22.485207100591715</c:v>
                </c:pt>
                <c:pt idx="1">
                  <c:v>23.791722296395193</c:v>
                </c:pt>
                <c:pt idx="2">
                  <c:v>23.656776263031272</c:v>
                </c:pt>
                <c:pt idx="3">
                  <c:v>24.221548635987876</c:v>
                </c:pt>
                <c:pt idx="4">
                  <c:v>24.577408103031928</c:v>
                </c:pt>
                <c:pt idx="5">
                  <c:v>23.107569721115539</c:v>
                </c:pt>
                <c:pt idx="6">
                  <c:v>22.935512109716953</c:v>
                </c:pt>
                <c:pt idx="7">
                  <c:v>22.875037280047721</c:v>
                </c:pt>
                <c:pt idx="8">
                  <c:v>22.914409534127845</c:v>
                </c:pt>
                <c:pt idx="9">
                  <c:v>22.969506982046166</c:v>
                </c:pt>
                <c:pt idx="10">
                  <c:v>20.76651263930416</c:v>
                </c:pt>
                <c:pt idx="11">
                  <c:v>23.912470340100185</c:v>
                </c:pt>
                <c:pt idx="12">
                  <c:v>22.969187675070028</c:v>
                </c:pt>
                <c:pt idx="13">
                  <c:v>22.793296089385471</c:v>
                </c:pt>
                <c:pt idx="14">
                  <c:v>21.13095238095238</c:v>
                </c:pt>
                <c:pt idx="15">
                  <c:v>22.059651097355097</c:v>
                </c:pt>
                <c:pt idx="16">
                  <c:v>23.141419787590831</c:v>
                </c:pt>
                <c:pt idx="17">
                  <c:v>21.720025109855616</c:v>
                </c:pt>
                <c:pt idx="18">
                  <c:v>22.161816437480013</c:v>
                </c:pt>
                <c:pt idx="19">
                  <c:v>20.962987225679658</c:v>
                </c:pt>
                <c:pt idx="20">
                  <c:v>23.213156230234031</c:v>
                </c:pt>
                <c:pt idx="21">
                  <c:v>24.140565317035907</c:v>
                </c:pt>
                <c:pt idx="22">
                  <c:v>22.451361867704282</c:v>
                </c:pt>
                <c:pt idx="23">
                  <c:v>23.954372623574148</c:v>
                </c:pt>
                <c:pt idx="24">
                  <c:v>28.157439446366784</c:v>
                </c:pt>
                <c:pt idx="25">
                  <c:v>26.180257510729614</c:v>
                </c:pt>
                <c:pt idx="26">
                  <c:v>22.86384976525822</c:v>
                </c:pt>
                <c:pt idx="27">
                  <c:v>24.947807933194156</c:v>
                </c:pt>
                <c:pt idx="28">
                  <c:v>26.138828633405641</c:v>
                </c:pt>
                <c:pt idx="29">
                  <c:v>24.763705103969755</c:v>
                </c:pt>
                <c:pt idx="30">
                  <c:v>23.380093520374086</c:v>
                </c:pt>
                <c:pt idx="31">
                  <c:v>23.931623931623935</c:v>
                </c:pt>
                <c:pt idx="32">
                  <c:v>25.808936825885976</c:v>
                </c:pt>
                <c:pt idx="33">
                  <c:v>24.957698815566832</c:v>
                </c:pt>
                <c:pt idx="34">
                  <c:v>24.311565696302122</c:v>
                </c:pt>
                <c:pt idx="35">
                  <c:v>23.285198555956679</c:v>
                </c:pt>
              </c:numCache>
            </c:numRef>
          </c:val>
          <c:smooth val="0"/>
          <c:extLst>
            <c:ext xmlns:c16="http://schemas.microsoft.com/office/drawing/2014/chart" uri="{C3380CC4-5D6E-409C-BE32-E72D297353CC}">
              <c16:uniqueId val="{00000003-0468-46AD-A148-25373D08CB54}"/>
            </c:ext>
          </c:extLst>
        </c:ser>
        <c:ser>
          <c:idx val="4"/>
          <c:order val="4"/>
          <c:tx>
            <c:strRef>
              <c:f>'Trh práce-2'!$A$37</c:f>
              <c:strCache>
                <c:ptCount val="1"/>
                <c:pt idx="0">
                  <c:v>Podíl nezam. mladších 25 let  (v %, pr.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práce-2'!$B$37:$AM$37</c:f>
              <c:numCache>
                <c:formatCode>0.0</c:formatCode>
                <c:ptCount val="38"/>
                <c:pt idx="0">
                  <c:v>18.48341232227488</c:v>
                </c:pt>
                <c:pt idx="1">
                  <c:v>18.399999999999999</c:v>
                </c:pt>
                <c:pt idx="2">
                  <c:v>20.588235294117645</c:v>
                </c:pt>
                <c:pt idx="3">
                  <c:v>19.28374655647383</c:v>
                </c:pt>
                <c:pt idx="4">
                  <c:v>16.890080428954423</c:v>
                </c:pt>
                <c:pt idx="5">
                  <c:v>18.518518518518519</c:v>
                </c:pt>
                <c:pt idx="6">
                  <c:v>20.699708454810494</c:v>
                </c:pt>
                <c:pt idx="7">
                  <c:v>20</c:v>
                </c:pt>
                <c:pt idx="8">
                  <c:v>19.241192411924118</c:v>
                </c:pt>
                <c:pt idx="9">
                  <c:v>19.943019943019944</c:v>
                </c:pt>
                <c:pt idx="10">
                  <c:v>20.380434782608695</c:v>
                </c:pt>
                <c:pt idx="11">
                  <c:v>19.788918205804748</c:v>
                </c:pt>
                <c:pt idx="12">
                  <c:v>17.557251908396946</c:v>
                </c:pt>
                <c:pt idx="13">
                  <c:v>17.127071823204421</c:v>
                </c:pt>
                <c:pt idx="14">
                  <c:v>19.72972972972973</c:v>
                </c:pt>
                <c:pt idx="15">
                  <c:v>19.718309859154928</c:v>
                </c:pt>
                <c:pt idx="16">
                  <c:v>15.921787709497206</c:v>
                </c:pt>
                <c:pt idx="17">
                  <c:v>16.927899686520377</c:v>
                </c:pt>
                <c:pt idx="18">
                  <c:v>19.169329073482427</c:v>
                </c:pt>
                <c:pt idx="19">
                  <c:v>18.032786885245901</c:v>
                </c:pt>
                <c:pt idx="20">
                  <c:v>15.772870662460567</c:v>
                </c:pt>
                <c:pt idx="21">
                  <c:v>15.648854961832063</c:v>
                </c:pt>
                <c:pt idx="22">
                  <c:v>17.509727626459142</c:v>
                </c:pt>
                <c:pt idx="23">
                  <c:v>16.455696202531644</c:v>
                </c:pt>
                <c:pt idx="24">
                  <c:v>13.852813852813853</c:v>
                </c:pt>
                <c:pt idx="25">
                  <c:v>15.238095238095239</c:v>
                </c:pt>
                <c:pt idx="26">
                  <c:v>18.30985915492958</c:v>
                </c:pt>
                <c:pt idx="27">
                  <c:v>18.75</c:v>
                </c:pt>
                <c:pt idx="28">
                  <c:v>14.673913043478262</c:v>
                </c:pt>
                <c:pt idx="29">
                  <c:v>16.352201257861633</c:v>
                </c:pt>
                <c:pt idx="30">
                  <c:v>18.666666666666668</c:v>
                </c:pt>
                <c:pt idx="31">
                  <c:v>14.728682170542637</c:v>
                </c:pt>
                <c:pt idx="32">
                  <c:v>14.615384615384617</c:v>
                </c:pt>
                <c:pt idx="33">
                  <c:v>16.949152542372879</c:v>
                </c:pt>
                <c:pt idx="34">
                  <c:v>18.110236220472441</c:v>
                </c:pt>
                <c:pt idx="35">
                  <c:v>16.216216216216218</c:v>
                </c:pt>
                <c:pt idx="36">
                  <c:v>14.545454545454545</c:v>
                </c:pt>
              </c:numCache>
            </c:numRef>
          </c:val>
          <c:smooth val="0"/>
          <c:extLst>
            <c:ext xmlns:c16="http://schemas.microsoft.com/office/drawing/2014/chart" uri="{C3380CC4-5D6E-409C-BE32-E72D297353CC}">
              <c16:uniqueId val="{00000004-0468-46AD-A148-25373D08CB54}"/>
            </c:ext>
          </c:extLst>
        </c:ser>
        <c:ser>
          <c:idx val="5"/>
          <c:order val="5"/>
          <c:tx>
            <c:strRef>
              <c:f>'Trh práce-2'!$A$38</c:f>
              <c:strCache>
                <c:ptCount val="1"/>
                <c:pt idx="0">
                  <c:v>Ekon.neaktiv.chtějící pracovat (pr. osa)*</c:v>
                </c:pt>
              </c:strCache>
            </c:strRef>
          </c:tx>
          <c:spPr>
            <a:ln w="22225"/>
          </c:spPr>
          <c:marker>
            <c:symbol val="none"/>
          </c:marker>
          <c:cat>
            <c:multiLvlStrRef>
              <c:f>'Trh práce-2'!$B$30:$AM$31</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práce-2'!$B$38:$AM$38</c:f>
              <c:numCache>
                <c:formatCode>0.0</c:formatCode>
                <c:ptCount val="38"/>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numCache>
            </c:numRef>
          </c:val>
          <c:smooth val="0"/>
          <c:extLst>
            <c:ext xmlns:c16="http://schemas.microsoft.com/office/drawing/2014/chart" uri="{C3380CC4-5D6E-409C-BE32-E72D297353CC}">
              <c16:uniqueId val="{00000005-0468-46AD-A148-25373D08CB54}"/>
            </c:ext>
          </c:extLst>
        </c:ser>
        <c:dLbls>
          <c:showLegendKey val="0"/>
          <c:showVal val="0"/>
          <c:showCatName val="0"/>
          <c:showSerName val="0"/>
          <c:showPercent val="0"/>
          <c:showBubbleSize val="0"/>
        </c:dLbls>
        <c:marker val="1"/>
        <c:smooth val="0"/>
        <c:axId val="87552000"/>
        <c:axId val="87537920"/>
      </c:lineChart>
      <c:catAx>
        <c:axId val="87505920"/>
        <c:scaling>
          <c:orientation val="minMax"/>
        </c:scaling>
        <c:delete val="0"/>
        <c:axPos val="b"/>
        <c:numFmt formatCode="General" sourceLinked="0"/>
        <c:majorTickMark val="out"/>
        <c:minorTickMark val="none"/>
        <c:tickLblPos val="low"/>
        <c:spPr>
          <a:ln>
            <a:solidFill>
              <a:schemeClr val="tx1"/>
            </a:solidFill>
          </a:ln>
        </c:spPr>
        <c:crossAx val="87536384"/>
        <c:crossesAt val="-50"/>
        <c:auto val="1"/>
        <c:lblAlgn val="ctr"/>
        <c:lblOffset val="0"/>
        <c:noMultiLvlLbl val="0"/>
      </c:catAx>
      <c:valAx>
        <c:axId val="87536384"/>
        <c:scaling>
          <c:orientation val="minMax"/>
          <c:max val="10"/>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7505920"/>
        <c:crosses val="autoZero"/>
        <c:crossBetween val="between"/>
        <c:majorUnit val="1"/>
      </c:valAx>
      <c:valAx>
        <c:axId val="87537920"/>
        <c:scaling>
          <c:orientation val="minMax"/>
          <c:max val="200"/>
        </c:scaling>
        <c:delete val="0"/>
        <c:axPos val="r"/>
        <c:numFmt formatCode="#,##0" sourceLinked="0"/>
        <c:majorTickMark val="out"/>
        <c:minorTickMark val="none"/>
        <c:tickLblPos val="nextTo"/>
        <c:crossAx val="87552000"/>
        <c:crosses val="max"/>
        <c:crossBetween val="between"/>
        <c:majorUnit val="20"/>
      </c:valAx>
      <c:catAx>
        <c:axId val="87552000"/>
        <c:scaling>
          <c:orientation val="minMax"/>
        </c:scaling>
        <c:delete val="1"/>
        <c:axPos val="b"/>
        <c:numFmt formatCode="General" sourceLinked="1"/>
        <c:majorTickMark val="out"/>
        <c:minorTickMark val="none"/>
        <c:tickLblPos val="none"/>
        <c:crossAx val="87537920"/>
        <c:crosses val="autoZero"/>
        <c:auto val="1"/>
        <c:lblAlgn val="ctr"/>
        <c:lblOffset val="100"/>
        <c:noMultiLvlLbl val="0"/>
      </c:catAx>
      <c:spPr>
        <a:ln>
          <a:solidFill>
            <a:schemeClr val="tx1"/>
          </a:solidFill>
        </a:ln>
      </c:spPr>
    </c:plotArea>
    <c:legend>
      <c:legendPos val="b"/>
      <c:layout>
        <c:manualLayout>
          <c:xMode val="edge"/>
          <c:yMode val="edge"/>
          <c:x val="9.8992134398909453E-3"/>
          <c:y val="0.86269615937971755"/>
          <c:w val="0.9750698306835992"/>
          <c:h val="0.1191505687089034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7E-2"/>
          <c:w val="0.94100987714831719"/>
          <c:h val="0.77115164399092972"/>
        </c:manualLayout>
      </c:layout>
      <c:barChart>
        <c:barDir val="col"/>
        <c:grouping val="clustered"/>
        <c:varyColors val="0"/>
        <c:ser>
          <c:idx val="5"/>
          <c:order val="2"/>
          <c:tx>
            <c:strRef>
              <c:f>'Trh práce 3'!$E$8</c:f>
              <c:strCache>
                <c:ptCount val="1"/>
                <c:pt idx="0">
                  <c:v>Průměrná mzda (reálně)</c:v>
                </c:pt>
              </c:strCache>
            </c:strRef>
          </c:tx>
          <c:spPr>
            <a:solidFill>
              <a:srgbClr val="A6A6A6"/>
            </a:solidFill>
            <a:ln>
              <a:noFill/>
            </a:ln>
          </c:spPr>
          <c:invertIfNegative val="0"/>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3'!$E$9:$E$46</c:f>
              <c:numCache>
                <c:formatCode>#\ ##0.0</c:formatCode>
                <c:ptCount val="38"/>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4.5999999999999943</c:v>
                </c:pt>
              </c:numCache>
            </c:numRef>
          </c:val>
          <c:extLst>
            <c:ext xmlns:c16="http://schemas.microsoft.com/office/drawing/2014/chart" uri="{C3380CC4-5D6E-409C-BE32-E72D297353CC}">
              <c16:uniqueId val="{00000000-68BF-4F2C-917C-643FB43AB90E}"/>
            </c:ext>
          </c:extLst>
        </c:ser>
        <c:dLbls>
          <c:showLegendKey val="0"/>
          <c:showVal val="0"/>
          <c:showCatName val="0"/>
          <c:showSerName val="0"/>
          <c:showPercent val="0"/>
          <c:showBubbleSize val="0"/>
        </c:dLbls>
        <c:gapWidth val="39"/>
        <c:axId val="87652224"/>
        <c:axId val="87653760"/>
      </c:barChart>
      <c:lineChart>
        <c:grouping val="standard"/>
        <c:varyColors val="0"/>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3'!$C$9:$C$46</c:f>
              <c:numCache>
                <c:formatCode>0.0</c:formatCode>
                <c:ptCount val="38"/>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5.0999999999999943</c:v>
                </c:pt>
                <c:pt idx="29">
                  <c:v>7.2000000000000028</c:v>
                </c:pt>
                <c:pt idx="30">
                  <c:v>6.7000000000000028</c:v>
                </c:pt>
                <c:pt idx="31">
                  <c:v>7.7999999999999972</c:v>
                </c:pt>
                <c:pt idx="32">
                  <c:v>7.7999999999999972</c:v>
                </c:pt>
                <c:pt idx="33">
                  <c:v>8.0999999999999943</c:v>
                </c:pt>
                <c:pt idx="34">
                  <c:v>7.9000000000000057</c:v>
                </c:pt>
                <c:pt idx="35">
                  <c:v>6.5</c:v>
                </c:pt>
                <c:pt idx="36">
                  <c:v>7.4000000000000057</c:v>
                </c:pt>
              </c:numCache>
            </c:numRef>
          </c:val>
          <c:smooth val="0"/>
          <c:extLst>
            <c:ext xmlns:c16="http://schemas.microsoft.com/office/drawing/2014/chart" uri="{C3380CC4-5D6E-409C-BE32-E72D297353CC}">
              <c16:uniqueId val="{00000001-68BF-4F2C-917C-643FB43AB90E}"/>
            </c:ext>
          </c:extLst>
        </c:ser>
        <c:ser>
          <c:idx val="4"/>
          <c:order val="1"/>
          <c:tx>
            <c:strRef>
              <c:f>'Trh práce 3'!$D$8</c:f>
              <c:strCache>
                <c:ptCount val="1"/>
                <c:pt idx="0">
                  <c:v>Mediánová mzda (nominálně)</c:v>
                </c:pt>
              </c:strCache>
            </c:strRef>
          </c:tx>
          <c:spPr>
            <a:ln w="19050">
              <a:solidFill>
                <a:srgbClr val="BD1B21"/>
              </a:solidFill>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3'!$D$9:$D$46</c:f>
              <c:numCache>
                <c:formatCode>0.0</c:formatCode>
                <c:ptCount val="38"/>
                <c:pt idx="0">
                  <c:v>3.2000000000000028</c:v>
                </c:pt>
                <c:pt idx="1">
                  <c:v>2.5999999999999943</c:v>
                </c:pt>
                <c:pt idx="2">
                  <c:v>2.7999999999999972</c:v>
                </c:pt>
                <c:pt idx="3">
                  <c:v>1.7999999999999972</c:v>
                </c:pt>
                <c:pt idx="4">
                  <c:v>2.7999999999999972</c:v>
                </c:pt>
                <c:pt idx="5">
                  <c:v>2.2000000000000028</c:v>
                </c:pt>
                <c:pt idx="6">
                  <c:v>1.7000000000000028</c:v>
                </c:pt>
                <c:pt idx="7">
                  <c:v>2.2000000000000028</c:v>
                </c:pt>
                <c:pt idx="8">
                  <c:v>1.4000000000000057</c:v>
                </c:pt>
                <c:pt idx="9">
                  <c:v>1.2999999999999972</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4.9000000000000057</c:v>
                </c:pt>
                <c:pt idx="29">
                  <c:v>7.7000000000000028</c:v>
                </c:pt>
                <c:pt idx="30">
                  <c:v>7</c:v>
                </c:pt>
                <c:pt idx="31">
                  <c:v>8.9000000000000057</c:v>
                </c:pt>
                <c:pt idx="32">
                  <c:v>7.7999999999999972</c:v>
                </c:pt>
                <c:pt idx="33">
                  <c:v>9</c:v>
                </c:pt>
                <c:pt idx="34">
                  <c:v>9.4000000000000057</c:v>
                </c:pt>
                <c:pt idx="35">
                  <c:v>6.5999999999999943</c:v>
                </c:pt>
                <c:pt idx="36">
                  <c:v>7.4000000000000057</c:v>
                </c:pt>
              </c:numCache>
            </c:numRef>
          </c:val>
          <c:smooth val="0"/>
          <c:extLst>
            <c:ext xmlns:c16="http://schemas.microsoft.com/office/drawing/2014/chart" uri="{C3380CC4-5D6E-409C-BE32-E72D297353CC}">
              <c16:uniqueId val="{00000002-68BF-4F2C-917C-643FB43AB90E}"/>
            </c:ext>
          </c:extLst>
        </c:ser>
        <c:ser>
          <c:idx val="1"/>
          <c:order val="3"/>
          <c:tx>
            <c:strRef>
              <c:f>'Trh práce 3'!$F$8</c:f>
              <c:strCache>
                <c:ptCount val="1"/>
                <c:pt idx="0">
                  <c:v>Produktivita práce v NH (reálně)*</c:v>
                </c:pt>
              </c:strCache>
            </c:strRef>
          </c:tx>
          <c:spPr>
            <a:ln w="19050">
              <a:noFill/>
              <a:prstDash val="solid"/>
            </a:ln>
          </c:spPr>
          <c:marker>
            <c:symbol val="diamond"/>
            <c:size val="5"/>
            <c:spPr>
              <a:solidFill>
                <a:srgbClr val="FFFF00"/>
              </a:solidFill>
              <a:ln>
                <a:solidFill>
                  <a:schemeClr val="tx1">
                    <a:lumMod val="95000"/>
                    <a:lumOff val="5000"/>
                  </a:schemeClr>
                </a:solidFill>
              </a:ln>
            </c:spPr>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3'!$F$9:$F$46</c:f>
              <c:numCache>
                <c:formatCode>0.0</c:formatCode>
                <c:ptCount val="38"/>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2.1515124153600311</c:v>
                </c:pt>
                <c:pt idx="29">
                  <c:v>2.3231135835342371</c:v>
                </c:pt>
                <c:pt idx="30">
                  <c:v>2.9467476194007958</c:v>
                </c:pt>
                <c:pt idx="31">
                  <c:v>3.5413178743205265</c:v>
                </c:pt>
                <c:pt idx="32">
                  <c:v>1.6638016286019308</c:v>
                </c:pt>
                <c:pt idx="33">
                  <c:v>0.74584580797700539</c:v>
                </c:pt>
                <c:pt idx="34">
                  <c:v>1.4078834932011119</c:v>
                </c:pt>
                <c:pt idx="35">
                  <c:v>1.4583630007449955</c:v>
                </c:pt>
                <c:pt idx="36">
                  <c:v>1.148570729077278</c:v>
                </c:pt>
              </c:numCache>
            </c:numRef>
          </c:val>
          <c:smooth val="0"/>
          <c:extLst>
            <c:ext xmlns:c16="http://schemas.microsoft.com/office/drawing/2014/chart" uri="{C3380CC4-5D6E-409C-BE32-E72D297353CC}">
              <c16:uniqueId val="{00000003-68BF-4F2C-917C-643FB43AB90E}"/>
            </c:ext>
          </c:extLst>
        </c:ser>
        <c:dLbls>
          <c:showLegendKey val="0"/>
          <c:showVal val="0"/>
          <c:showCatName val="0"/>
          <c:showSerName val="0"/>
          <c:showPercent val="0"/>
          <c:showBubbleSize val="0"/>
        </c:dLbls>
        <c:marker val="1"/>
        <c:smooth val="0"/>
        <c:axId val="87652224"/>
        <c:axId val="87653760"/>
      </c:lineChart>
      <c:catAx>
        <c:axId val="8765222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87653760"/>
        <c:crosses val="autoZero"/>
        <c:auto val="1"/>
        <c:lblAlgn val="ctr"/>
        <c:lblOffset val="0"/>
        <c:tickMarkSkip val="4"/>
        <c:noMultiLvlLbl val="0"/>
      </c:catAx>
      <c:valAx>
        <c:axId val="87653760"/>
        <c:scaling>
          <c:orientation val="minMax"/>
          <c:max val="10"/>
          <c:min val="-4"/>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87652224"/>
        <c:crosses val="autoZero"/>
        <c:crossBetween val="between"/>
        <c:majorUnit val="1"/>
      </c:valAx>
      <c:spPr>
        <a:ln>
          <a:solidFill>
            <a:schemeClr val="tx1"/>
          </a:solidFill>
        </a:ln>
      </c:spPr>
    </c:plotArea>
    <c:legend>
      <c:legendPos val="b"/>
      <c:layout>
        <c:manualLayout>
          <c:xMode val="edge"/>
          <c:yMode val="edge"/>
          <c:x val="4.4672385016341916E-2"/>
          <c:y val="0.88298129251700685"/>
          <c:w val="0.94307265361592563"/>
          <c:h val="0.1062193877551020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32AF-4BD6-48A3-9759-8DAE437A5BD6}">
  <ds:schemaRefs>
    <ds:schemaRef ds:uri="http://schemas.openxmlformats.org/officeDocument/2006/bibliography"/>
  </ds:schemaRefs>
</ds:datastoreItem>
</file>

<file path=customXml/itemProps2.xml><?xml version="1.0" encoding="utf-8"?>
<ds:datastoreItem xmlns:ds="http://schemas.openxmlformats.org/officeDocument/2006/customXml" ds:itemID="{A58829CC-D75F-42AD-B044-D2F32C8B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4</Pages>
  <Words>1716</Words>
  <Characters>10131</Characters>
  <Application>Microsoft Office Word</Application>
  <DocSecurity>0</DocSecurity>
  <Lines>84</Lines>
  <Paragraphs>23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11824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5</cp:revision>
  <cp:lastPrinted>2019-04-08T10:52:00Z</cp:lastPrinted>
  <dcterms:created xsi:type="dcterms:W3CDTF">2019-06-13T09:58:00Z</dcterms:created>
  <dcterms:modified xsi:type="dcterms:W3CDTF">2019-06-13T10:22:00Z</dcterms:modified>
</cp:coreProperties>
</file>