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C97B" w14:textId="4FBC8A00" w:rsidR="00C62828" w:rsidRPr="009110F7" w:rsidRDefault="00C62828" w:rsidP="00235316">
      <w:pPr>
        <w:pStyle w:val="Nadpis1"/>
      </w:pPr>
      <w:r w:rsidRPr="0077605B">
        <w:t>2. Souhrnná výkonnost</w:t>
      </w:r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8"/>
        <w:gridCol w:w="250"/>
        <w:gridCol w:w="7501"/>
      </w:tblGrid>
      <w:tr w:rsidR="00FA6CB6" w:rsidRPr="009110F7" w14:paraId="71FBA8C8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C565CE2" w14:textId="77777777" w:rsidR="00FA6CB6" w:rsidRDefault="00FA6CB6" w:rsidP="00FA6CB6">
            <w:pPr>
              <w:pStyle w:val="Marginlie"/>
            </w:pPr>
            <w:r>
              <w:t>Hrubý domácí produkt si udržel meziroční dynamiku z konce loňského roku.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83624D8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03024AC" w14:textId="591D6A25" w:rsidR="00FA6CB6" w:rsidRPr="00B83E07" w:rsidRDefault="00572900" w:rsidP="00572900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V 1. čtvrtletí 2019 se hrubý domácí produkt (HDP) meziročně zvýšil o 2,6</w:t>
            </w:r>
            <w:r w:rsidR="00870ECD">
              <w:rPr>
                <w:spacing w:val="-2"/>
              </w:rPr>
              <w:t> 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, stejně jako v předchozím čtvrtletí. </w:t>
            </w:r>
            <w:r w:rsidR="00FA6CB6">
              <w:rPr>
                <w:spacing w:val="-2"/>
              </w:rPr>
              <w:t xml:space="preserve">Vstup do roku 2019 </w:t>
            </w:r>
            <w:r>
              <w:rPr>
                <w:spacing w:val="-2"/>
              </w:rPr>
              <w:t xml:space="preserve">tak </w:t>
            </w:r>
            <w:r w:rsidR="00FA6CB6">
              <w:rPr>
                <w:spacing w:val="-2"/>
              </w:rPr>
              <w:t>nepřinesl výraznější zpomalení růstu</w:t>
            </w:r>
            <w:r>
              <w:rPr>
                <w:spacing w:val="-2"/>
              </w:rPr>
              <w:t xml:space="preserve"> </w:t>
            </w:r>
            <w:r w:rsidR="00FA6CB6">
              <w:rPr>
                <w:spacing w:val="-2"/>
              </w:rPr>
              <w:t>HDP. I tentokrát byla hlavním tahounem meziroční</w:t>
            </w:r>
            <w:r w:rsidR="00CB64E1">
              <w:rPr>
                <w:spacing w:val="-2"/>
              </w:rPr>
              <w:t xml:space="preserve"> dynamiky spotřeba domácností a</w:t>
            </w:r>
            <w:r w:rsidR="00837E48">
              <w:t> </w:t>
            </w:r>
            <w:r w:rsidR="00FA6CB6">
              <w:rPr>
                <w:spacing w:val="-2"/>
              </w:rPr>
              <w:t>vládních institucí (příspěvek 1,8</w:t>
            </w:r>
            <w:r w:rsidR="00870ECD">
              <w:rPr>
                <w:spacing w:val="-2"/>
              </w:rPr>
              <w:t> p. b.</w:t>
            </w:r>
            <w:r w:rsidR="00FA6CB6" w:rsidRPr="009110F7">
              <w:rPr>
                <w:rStyle w:val="Znakapoznpodarou"/>
              </w:rPr>
              <w:footnoteReference w:id="2"/>
            </w:r>
            <w:r w:rsidR="00FA6CB6">
              <w:rPr>
                <w:spacing w:val="-2"/>
              </w:rPr>
              <w:t>). Oslabil příspěvek investiční aktivity (0,2</w:t>
            </w:r>
            <w:r w:rsidR="00870ECD">
              <w:rPr>
                <w:spacing w:val="-2"/>
              </w:rPr>
              <w:t> p. b.</w:t>
            </w:r>
            <w:r w:rsidR="00FA6CB6">
              <w:rPr>
                <w:spacing w:val="-2"/>
              </w:rPr>
              <w:t>). Zahraniční poptávka k růstu i nadále mírně přispívala (0,6</w:t>
            </w:r>
            <w:r w:rsidR="00870ECD">
              <w:rPr>
                <w:spacing w:val="-2"/>
              </w:rPr>
              <w:t> p. b.</w:t>
            </w:r>
            <w:r w:rsidR="00FA6CB6">
              <w:rPr>
                <w:spacing w:val="-2"/>
              </w:rPr>
              <w:t>). Mezičtvrtletní přírůstek HDP v 1. čtvrtletí dosáhl 0,6</w:t>
            </w:r>
            <w:r w:rsidR="00870ECD">
              <w:rPr>
                <w:spacing w:val="-2"/>
              </w:rPr>
              <w:t> %</w:t>
            </w:r>
            <w:r w:rsidR="00FA6CB6">
              <w:rPr>
                <w:spacing w:val="-2"/>
              </w:rPr>
              <w:t>. To znamenalo mírné zpomalení oproti tempu ze závěru minulého roku. Uvedené tempo však ukazuje, že se česká ekonomika drží na růstové trajektorii navzdory vnějším rizikům souvisejícím například s</w:t>
            </w:r>
            <w:r w:rsidR="0052200D">
              <w:rPr>
                <w:spacing w:val="-2"/>
              </w:rPr>
              <w:t xml:space="preserve"> očekávaným </w:t>
            </w:r>
            <w:r w:rsidR="00FA6CB6">
              <w:rPr>
                <w:spacing w:val="-2"/>
              </w:rPr>
              <w:t xml:space="preserve">odchodem Velké Británie z EU nebo možným zavedením nových omezení mezinárodního obchodu. Pokles důvěry v ekonomiku zachycený v konjunkturálních průzkumech se zatím do reálné ekonomiky nepromítl. Hrubá přidaná hodnota (HPH) v 1. kvartálu meziročně </w:t>
            </w:r>
            <w:r w:rsidR="00CB64E1">
              <w:rPr>
                <w:spacing w:val="-2"/>
              </w:rPr>
              <w:t>vzrostla o</w:t>
            </w:r>
            <w:r w:rsidR="00837E48">
              <w:t> </w:t>
            </w:r>
            <w:r w:rsidR="00FA6CB6">
              <w:rPr>
                <w:spacing w:val="-2"/>
              </w:rPr>
              <w:t>2,6</w:t>
            </w:r>
            <w:r w:rsidR="00870ECD">
              <w:rPr>
                <w:spacing w:val="-2"/>
              </w:rPr>
              <w:t> %</w:t>
            </w:r>
            <w:r w:rsidR="00FA6CB6">
              <w:rPr>
                <w:spacing w:val="-2"/>
              </w:rPr>
              <w:t>. Mezičtvrtletní přírůstek činil 0,6</w:t>
            </w:r>
            <w:r w:rsidR="00870ECD">
              <w:rPr>
                <w:spacing w:val="-2"/>
              </w:rPr>
              <w:t> %</w:t>
            </w:r>
            <w:r w:rsidR="00FA6CB6">
              <w:rPr>
                <w:spacing w:val="-2"/>
              </w:rPr>
              <w:t>. Největší vliv na meziroční dynamiku si opět vydobyla odvětví služeb. Zpracovatelský průmysl si udržel stejnou výši příspěvku jako v předchozím čtvrtletí.</w:t>
            </w:r>
          </w:p>
        </w:tc>
      </w:tr>
      <w:tr w:rsidR="00FA6CB6" w:rsidRPr="009110F7" w14:paraId="737E5CC8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5E86F9BD" w14:textId="77777777" w:rsidR="00FA6CB6" w:rsidRDefault="00FA6CB6" w:rsidP="00FA6CB6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7B27B5E0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D7959FF" w14:textId="77777777" w:rsidR="00FA6CB6" w:rsidRPr="001208E3" w:rsidRDefault="00FA6CB6" w:rsidP="00FA6CB6">
            <w:pPr>
              <w:spacing w:after="0"/>
              <w:rPr>
                <w:b/>
                <w:szCs w:val="20"/>
              </w:rPr>
            </w:pPr>
            <w:r w:rsidRPr="001208E3">
              <w:rPr>
                <w:rFonts w:cs="Arial"/>
                <w:b/>
                <w:bCs/>
                <w:color w:val="000000"/>
                <w:szCs w:val="20"/>
              </w:rPr>
              <w:t xml:space="preserve">Graf č. 1  </w:t>
            </w:r>
            <w:r w:rsidRPr="001208E3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1208E3">
              <w:rPr>
                <w:rFonts w:cs="Arial"/>
                <w:szCs w:val="20"/>
                <w:lang w:eastAsia="en-US"/>
              </w:rPr>
              <w:t>(objemové indexy, očištěno o sezónní a kalendářní vlivy, v %)</w:t>
            </w:r>
          </w:p>
        </w:tc>
      </w:tr>
      <w:tr w:rsidR="00FA6CB6" w:rsidRPr="009110F7" w14:paraId="7D447A6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1BA59FE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51B507E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3EBEF34" w14:textId="77777777" w:rsidR="00FA6CB6" w:rsidRPr="009110F7" w:rsidRDefault="00FA6CB6" w:rsidP="00FA6CB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114D7DE" wp14:editId="47AA5B21">
                  <wp:extent cx="4737600" cy="3553200"/>
                  <wp:effectExtent l="0" t="0" r="635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A6CB6" w:rsidRPr="009110F7" w14:paraId="1971686F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47198DF3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3A6781EA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FEFB14B" w14:textId="77777777" w:rsidR="00FA6CB6" w:rsidRPr="009110F7" w:rsidRDefault="00FA6CB6" w:rsidP="00FA6CB6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FA6CB6" w:rsidRPr="009110F7" w14:paraId="235CAA10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EC02A2A" w14:textId="77777777" w:rsidR="00FA6CB6" w:rsidRDefault="002721F5" w:rsidP="00FA6CB6">
            <w:pPr>
              <w:pStyle w:val="Marginlie"/>
            </w:pPr>
            <w:r>
              <w:t>Dynamika meziročního růstu HDP v Evropské unii se nezměnila oproti konci roku 2018.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1D1E5DCF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1018BCB" w14:textId="40CB4D78" w:rsidR="00FA6CB6" w:rsidRDefault="00FA6CB6" w:rsidP="004C5AE8">
            <w:r>
              <w:t>Meziroční tempo růstu HDP v</w:t>
            </w:r>
            <w:r w:rsidR="00881CD7">
              <w:t> EU28</w:t>
            </w:r>
            <w:r>
              <w:t xml:space="preserve"> činilo 1,5</w:t>
            </w:r>
            <w:r w:rsidR="00870ECD">
              <w:t> %</w:t>
            </w:r>
            <w:r>
              <w:t>, stejně jako v předchozím kvartálu.</w:t>
            </w:r>
            <w:r w:rsidR="000C4769">
              <w:t xml:space="preserve"> </w:t>
            </w:r>
            <w:r w:rsidR="004C5AE8">
              <w:t xml:space="preserve">Růst podpořily zejména investiční výdaje doprovázené mírným zvýšením spotřeby. </w:t>
            </w:r>
            <w:r w:rsidR="000C4769">
              <w:t>Dostupné údaje</w:t>
            </w:r>
            <w:r w:rsidR="000C4769" w:rsidRPr="009110F7">
              <w:rPr>
                <w:rStyle w:val="Znakapoznpodarou"/>
                <w:spacing w:val="-2"/>
              </w:rPr>
              <w:footnoteReference w:id="3"/>
            </w:r>
            <w:r w:rsidR="000C4769">
              <w:t xml:space="preserve"> ukazují, že </w:t>
            </w:r>
            <w:r w:rsidR="004C5AE8">
              <w:t>ne</w:t>
            </w:r>
            <w:r w:rsidR="00881CD7">
              <w:t>j</w:t>
            </w:r>
            <w:r w:rsidR="004C5AE8">
              <w:t xml:space="preserve">silnějšího meziročního přírůstku HDP </w:t>
            </w:r>
            <w:r w:rsidR="00881CD7">
              <w:t xml:space="preserve">dosáhly </w:t>
            </w:r>
            <w:r w:rsidR="004C5AE8">
              <w:t>Maďarsko (5,2</w:t>
            </w:r>
            <w:r w:rsidR="00870ECD">
              <w:t> %</w:t>
            </w:r>
            <w:r w:rsidR="004C5AE8">
              <w:t>), Rumunsko (5,1</w:t>
            </w:r>
            <w:r w:rsidR="00870ECD">
              <w:t> %</w:t>
            </w:r>
            <w:r w:rsidR="004C5AE8">
              <w:t>) a Polsko (4,7</w:t>
            </w:r>
            <w:r w:rsidR="00870ECD">
              <w:t> %</w:t>
            </w:r>
            <w:r w:rsidR="004C5AE8">
              <w:t>). Jedinou zemí, kde došlo v 1.</w:t>
            </w:r>
            <w:r w:rsidR="00837E48">
              <w:t> </w:t>
            </w:r>
            <w:r w:rsidR="004C5AE8">
              <w:t>čtvrtletí k meziročnímu poklesu HDP</w:t>
            </w:r>
            <w:r w:rsidR="00CB64E1">
              <w:t>,</w:t>
            </w:r>
            <w:r w:rsidR="004C5AE8">
              <w:t xml:space="preserve"> byla Itálie (</w:t>
            </w:r>
            <w:r w:rsidR="00881CD7">
              <w:t>–</w:t>
            </w:r>
            <w:r w:rsidR="004C5AE8">
              <w:t>0,1</w:t>
            </w:r>
            <w:r w:rsidR="00870ECD">
              <w:t> %</w:t>
            </w:r>
            <w:r w:rsidR="004C5AE8">
              <w:t>). V Německu se růst držel pod 1</w:t>
            </w:r>
            <w:r w:rsidR="00870ECD">
              <w:t> %</w:t>
            </w:r>
            <w:r w:rsidR="004C5AE8">
              <w:t xml:space="preserve"> (0,7</w:t>
            </w:r>
            <w:r w:rsidR="00870ECD">
              <w:t> %</w:t>
            </w:r>
            <w:r w:rsidR="004C5AE8">
              <w:t>) a sho</w:t>
            </w:r>
            <w:r w:rsidR="006F2A65">
              <w:t>d</w:t>
            </w:r>
            <w:r w:rsidR="004C5AE8">
              <w:t>ně o 1,2</w:t>
            </w:r>
            <w:r w:rsidR="00870ECD">
              <w:t> %</w:t>
            </w:r>
            <w:r w:rsidR="004C5AE8">
              <w:t xml:space="preserve"> se zvýšil HDP ve Finsku, Francii a Belgii. Mezičtvrtletně vzrostla ekonomika EU o 0,5</w:t>
            </w:r>
            <w:r w:rsidR="00870ECD">
              <w:t> %</w:t>
            </w:r>
            <w:r w:rsidR="004C5AE8">
              <w:t>, takže po slabším 2. pololetí loňského roku růst opět zrychlil.</w:t>
            </w:r>
            <w:r w:rsidR="006F2A65">
              <w:t xml:space="preserve"> Z jednotlivých zemí EU nejvíce mezičtvrtletně narostly </w:t>
            </w:r>
            <w:r w:rsidR="006F2A65">
              <w:lastRenderedPageBreak/>
              <w:t>ekonomiky Chorvatska (1,8</w:t>
            </w:r>
            <w:r w:rsidR="00870ECD">
              <w:t> %</w:t>
            </w:r>
            <w:r w:rsidR="006F2A65">
              <w:t>), Maďarska a Polska (shodně 1,5</w:t>
            </w:r>
            <w:r w:rsidR="00870ECD">
              <w:t> %</w:t>
            </w:r>
            <w:r w:rsidR="006F2A65">
              <w:t>). Mezikvartální pokles se objevil v Lotyšsku (</w:t>
            </w:r>
            <w:r w:rsidR="00881CD7">
              <w:t>–</w:t>
            </w:r>
            <w:r w:rsidR="006F2A65">
              <w:t>0,1</w:t>
            </w:r>
            <w:r w:rsidR="00870ECD">
              <w:t> %</w:t>
            </w:r>
            <w:r w:rsidR="006F2A65">
              <w:t>). Německo, které je klíčovým ekonomickým partnerem pro většinu Unie</w:t>
            </w:r>
            <w:r w:rsidR="005F480F">
              <w:t>,</w:t>
            </w:r>
            <w:r w:rsidR="006F2A65">
              <w:t xml:space="preserve"> dosáhlo mezičtvrtletního nárůstu o 0,4</w:t>
            </w:r>
            <w:r w:rsidR="00870ECD">
              <w:t> %</w:t>
            </w:r>
            <w:r w:rsidR="006F2A65">
              <w:t>.</w:t>
            </w:r>
          </w:p>
        </w:tc>
      </w:tr>
      <w:tr w:rsidR="00FA6CB6" w:rsidRPr="009110F7" w14:paraId="157F568A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34F4EDF2" w14:textId="77777777" w:rsidR="00FA6CB6" w:rsidRDefault="00FA6CB6" w:rsidP="00FA6CB6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3359375B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0AD5AC1" w14:textId="6725E983" w:rsidR="00FA6CB6" w:rsidRPr="001208E3" w:rsidRDefault="00FA6CB6" w:rsidP="000A212B">
            <w:pPr>
              <w:spacing w:after="0"/>
              <w:rPr>
                <w:b/>
                <w:szCs w:val="20"/>
              </w:rPr>
            </w:pPr>
            <w:r w:rsidRPr="001208E3">
              <w:rPr>
                <w:b/>
                <w:spacing w:val="-4"/>
                <w:szCs w:val="20"/>
                <w:lang w:eastAsia="en-US"/>
              </w:rPr>
              <w:t xml:space="preserve">Graf č. 2  </w:t>
            </w:r>
            <w:r w:rsidRPr="001208E3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1208E3">
              <w:rPr>
                <w:rFonts w:cs="Arial"/>
                <w:szCs w:val="20"/>
                <w:lang w:eastAsia="en-US"/>
              </w:rPr>
              <w:t>(objemové indexy, očištěno o sezónní a kalendářní vlivy, meziročně v %, pravá osa a indikátory důvěry (2005 = 100, levá osa)</w:t>
            </w:r>
          </w:p>
        </w:tc>
      </w:tr>
      <w:tr w:rsidR="00FA6CB6" w:rsidRPr="009110F7" w14:paraId="622B20A1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12796FE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6D86FB7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842B51E" w14:textId="77777777" w:rsidR="00FA6CB6" w:rsidRPr="009110F7" w:rsidRDefault="00FA6CB6" w:rsidP="00FA6CB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D76E803" wp14:editId="05AFB1EE">
                  <wp:extent cx="4737600" cy="3553200"/>
                  <wp:effectExtent l="0" t="0" r="6350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A6CB6" w:rsidRPr="009110F7" w14:paraId="4CCCC2F2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2B8FAD70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41FD5936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2F5436F3" w14:textId="77777777" w:rsidR="00FA6CB6" w:rsidRPr="009110F7" w:rsidRDefault="00FA6CB6" w:rsidP="00FA6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FA6CB6" w:rsidRPr="009110F7" w14:paraId="1FF501B1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665FA05E" w14:textId="77777777" w:rsidR="00FA6CB6" w:rsidRDefault="00FA6CB6" w:rsidP="00FA6CB6">
            <w:pPr>
              <w:pStyle w:val="Marginlie"/>
            </w:pPr>
            <w:r>
              <w:t>Domácí spotřeba byla hlavním tahounem růstu. Mezičtvrtletní dynamika byla dokonce nejsilnější od roku 2008.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D9829E9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18CC1D6" w14:textId="5BBF564F" w:rsidR="00FA6CB6" w:rsidRDefault="00FA6CB6" w:rsidP="0052200D">
            <w:r>
              <w:t>Meziroční zvýšení výdajů na konečnou spotřebu v 1. čtvrtletí 2019 dosáhlo 2,9</w:t>
            </w:r>
            <w:r w:rsidR="00870ECD">
              <w:t> %</w:t>
            </w:r>
            <w:r>
              <w:t>. U</w:t>
            </w:r>
            <w:r w:rsidR="00664205">
              <w:t> </w:t>
            </w:r>
            <w:r>
              <w:t>domácností přírůstek činil 2,7</w:t>
            </w:r>
            <w:r w:rsidR="00870ECD">
              <w:t> %</w:t>
            </w:r>
            <w:r>
              <w:t>, v porovnání se 4. čtvrtletím tak meziroční tempo mírně zrychlilo. Zvýšil se tedy i příspěvek spotřeby domácností k růstu HDP na 1,1 p. b. Spotřeba vládních institucí se meziročně zvýšila o 3,4</w:t>
            </w:r>
            <w:r w:rsidR="00870ECD">
              <w:t> %</w:t>
            </w:r>
            <w:r>
              <w:t>. Do nárůstu se mimo jiné promítal pokračující nárůst mzdových nákladů, a to přímo vyplacených v sektoru vládních institucí, ale také nepřímo prostřednictvím spotřebovaných služeb a výrobků. Příspěvek k růstu HDP ze st</w:t>
            </w:r>
            <w:r w:rsidR="00486132">
              <w:t>r</w:t>
            </w:r>
            <w:r>
              <w:t>any vládní spotřeby činil 0,6</w:t>
            </w:r>
            <w:r w:rsidR="00870ECD">
              <w:t> p. b.</w:t>
            </w:r>
            <w:r>
              <w:t xml:space="preserve"> Mezičtvrtletní růst spotřeby dosáhl 1,6</w:t>
            </w:r>
            <w:r w:rsidR="00870ECD">
              <w:t> %</w:t>
            </w:r>
            <w:r>
              <w:t xml:space="preserve">, nejvíce od 2. čtvrtletí 2008. Stejné výše dosahoval mezičtvrtletní přírůstek spotřeby domácností i vládních institucí. Pokles důvěry spotřebitelů ani tempa růstu mezd tak zatím neměl větší vliv na vývoj výdajů </w:t>
            </w:r>
            <w:r w:rsidR="0052200D">
              <w:t>domácností</w:t>
            </w:r>
            <w:r>
              <w:t>.</w:t>
            </w:r>
          </w:p>
        </w:tc>
      </w:tr>
      <w:tr w:rsidR="00FA6CB6" w:rsidRPr="009110F7" w14:paraId="4126DD65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154E99B4" w14:textId="02EB7D81" w:rsidR="00FA6CB6" w:rsidRDefault="00FA6CB6" w:rsidP="00FA6CB6">
            <w:pPr>
              <w:pStyle w:val="Marginlie"/>
            </w:pPr>
            <w:r>
              <w:t xml:space="preserve">Domácnosti mohly i nadále prosperovat ze silně rostoucího objemu mezd </w:t>
            </w:r>
            <w:r w:rsidR="00664205">
              <w:br/>
            </w:r>
            <w:r>
              <w:t>a platů.</w:t>
            </w: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036B3CED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40CFBDB" w14:textId="1D8B85C5" w:rsidR="00FA6CB6" w:rsidRDefault="00FA6CB6" w:rsidP="00FA6CB6">
            <w:r>
              <w:t>Objem vyplacených mezd a platů se v 1. čtvrtletí meziročně zvýšil o 8,1</w:t>
            </w:r>
            <w:r w:rsidR="00870ECD">
              <w:t> %</w:t>
            </w:r>
            <w:r>
              <w:t>. Meziroční dynamika tak v porovnání se závěrem loňského roku vzrostla (jak je v 1. kvartálu obvyklé). Zaměstnanost meziročně vzrostla o 1,4</w:t>
            </w:r>
            <w:r w:rsidR="00870ECD">
              <w:t> %</w:t>
            </w:r>
            <w:r w:rsidRPr="00B83E07">
              <w:rPr>
                <w:rStyle w:val="Znakapoznpodarou"/>
                <w:spacing w:val="-2"/>
              </w:rPr>
              <w:footnoteReference w:id="4"/>
            </w:r>
            <w:r>
              <w:t>, růst mzdových prostředků se tak promítl zejména do zvyšování průměrné mzdy. V 1. čtvrtletí také posílil cenový růst, což se odrazilo na reálném tempu růstu objemu mezd a platů (5,2</w:t>
            </w:r>
            <w:r w:rsidR="00870ECD">
              <w:t> %</w:t>
            </w:r>
            <w:r w:rsidRPr="00B83E07">
              <w:rPr>
                <w:rStyle w:val="Znakapoznpodarou"/>
                <w:spacing w:val="-2"/>
              </w:rPr>
              <w:footnoteReference w:id="5"/>
            </w:r>
            <w:r>
              <w:t>). Nejvýrazněji se navyšoval objem vyplacených prostředků v odvětví činností v oblasti nemovitostí (11,4</w:t>
            </w:r>
            <w:r w:rsidR="00870ECD">
              <w:t> %</w:t>
            </w:r>
            <w:r>
              <w:t>), ale celkovou dynamiku ne</w:t>
            </w:r>
            <w:r w:rsidR="00664205">
              <w:t>j</w:t>
            </w:r>
            <w:r>
              <w:t>více ovlivnil 10,0% nárůst v odvětvích s dominancí veřejného sektoru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t xml:space="preserve">, která zaměstnávají podstatnou část pracovníků ve službách. Poměrně výrazná dynamika přetrvala i v seskupení obchod, doprava, </w:t>
            </w:r>
            <w:r>
              <w:lastRenderedPageBreak/>
              <w:t>ubytování a pohostinství (8,4</w:t>
            </w:r>
            <w:r w:rsidR="00870ECD">
              <w:t> %</w:t>
            </w:r>
            <w:r>
              <w:t>) a informačních a komunikačních činnostech (8,1</w:t>
            </w:r>
            <w:r w:rsidR="00870ECD">
              <w:t> %</w:t>
            </w:r>
            <w:r>
              <w:t>). Období mimořádně vysokého růstu mezd ve zpracovatelském průmyslu</w:t>
            </w:r>
            <w:r w:rsidR="00664205">
              <w:t>,</w:t>
            </w:r>
            <w:r>
              <w:t xml:space="preserve"> trvající od 2. čtvrtletí 2017</w:t>
            </w:r>
            <w:r w:rsidR="00664205">
              <w:t>,</w:t>
            </w:r>
            <w:r>
              <w:t xml:space="preserve"> patrně skončilo, i když se meziroční dynamika dostala na solidních 6,4</w:t>
            </w:r>
            <w:r w:rsidR="00870ECD">
              <w:t> %</w:t>
            </w:r>
            <w:r>
              <w:t>. Mírněji než v loňském roce se zvýšil objem mezd také ve stavebnictví (6,4</w:t>
            </w:r>
            <w:r w:rsidR="00870ECD">
              <w:t> %</w:t>
            </w:r>
            <w:r>
              <w:t>).</w:t>
            </w:r>
          </w:p>
        </w:tc>
      </w:tr>
      <w:tr w:rsidR="00FA6CB6" w:rsidRPr="009110F7" w14:paraId="0BCD4CB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0B08478F" w14:textId="77777777" w:rsidR="00FA6CB6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57ADE096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48DB7B4" w14:textId="77777777" w:rsidR="00FA6CB6" w:rsidRPr="001208E3" w:rsidRDefault="00FA6CB6" w:rsidP="00FA6CB6">
            <w:pPr>
              <w:spacing w:after="0"/>
              <w:rPr>
                <w:szCs w:val="20"/>
              </w:rPr>
            </w:pPr>
            <w:r w:rsidRPr="001208E3">
              <w:rPr>
                <w:b/>
                <w:szCs w:val="20"/>
              </w:rPr>
              <w:t xml:space="preserve">Graf č. 3  </w:t>
            </w:r>
            <w:r w:rsidRPr="001208E3">
              <w:rPr>
                <w:rFonts w:cs="Arial"/>
                <w:b/>
                <w:szCs w:val="20"/>
                <w:lang w:eastAsia="en-US"/>
              </w:rPr>
              <w:t xml:space="preserve">Příspěvky výdajových složek k reálné změně HDP* </w:t>
            </w:r>
            <w:r w:rsidRPr="001208E3">
              <w:rPr>
                <w:rFonts w:cs="Arial"/>
                <w:szCs w:val="20"/>
                <w:lang w:eastAsia="en-US"/>
              </w:rPr>
              <w:t>(objemové indexy, meziroční růst, příspěvky v p. b., HDP v %)</w:t>
            </w:r>
          </w:p>
        </w:tc>
      </w:tr>
      <w:tr w:rsidR="00FA6CB6" w:rsidRPr="009110F7" w14:paraId="45BA167C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E0581B1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144D4263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72F896B2" w14:textId="77777777" w:rsidR="00FA6CB6" w:rsidRPr="009110F7" w:rsidRDefault="00FA6CB6" w:rsidP="00FA6CB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049AE3C" wp14:editId="65AE052B">
                  <wp:extent cx="4737600" cy="3553200"/>
                  <wp:effectExtent l="0" t="0" r="635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A6CB6" w:rsidRPr="009110F7" w14:paraId="3D0E6D58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0EFD7B93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2D7A78CA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E78B4AC" w14:textId="77777777" w:rsidR="00FA6CB6" w:rsidRDefault="00FA6CB6" w:rsidP="00FA6CB6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07B81BC8" w14:textId="77777777" w:rsidR="00FA6CB6" w:rsidRPr="009110F7" w:rsidRDefault="00FA6CB6" w:rsidP="00FA6C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FA6CB6" w:rsidRPr="009110F7" w14:paraId="2E59976F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6D85B0D1" w14:textId="1C6BAEFB" w:rsidR="00FA6CB6" w:rsidRDefault="00FA6CB6" w:rsidP="00FA6CB6">
            <w:pPr>
              <w:pStyle w:val="Marginlie"/>
            </w:pPr>
            <w:r>
              <w:t>Investiční aktivita v 1. čtvrt</w:t>
            </w:r>
            <w:r w:rsidR="008165B8">
              <w:t>-</w:t>
            </w:r>
            <w:r>
              <w:t xml:space="preserve">letí meziročně oslabila.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CDD38B0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DD48E09" w14:textId="77777777" w:rsidR="00FA6CB6" w:rsidRDefault="00FA6CB6" w:rsidP="00FA6CB6">
            <w:r>
              <w:t>Výdaje na tvorbu hrubého kapitálu v 1. čtvrtletí 2019 meziročně vzrostly o 2,2</w:t>
            </w:r>
            <w:r w:rsidR="00870ECD">
              <w:t> %</w:t>
            </w:r>
            <w:r>
              <w:t>. Výrazně kleslo tempo růstu výdajů na tvorbu fixního kapitálu, které v loňském 2.</w:t>
            </w:r>
            <w:r w:rsidR="00837E48">
              <w:t> </w:t>
            </w:r>
            <w:r>
              <w:t>pololetí překračovalo 10</w:t>
            </w:r>
            <w:r w:rsidR="00870ECD">
              <w:t> %</w:t>
            </w:r>
            <w:r>
              <w:t>, tentokrát se ale dostalo na 3,4</w:t>
            </w:r>
            <w:r w:rsidR="00870ECD">
              <w:t> %</w:t>
            </w:r>
            <w:r>
              <w:t>. Výsledný příspěvek investiční aktivity (tvorby hrubého fixního kapitálu) k růstu HDP činil 0,6</w:t>
            </w:r>
            <w:r w:rsidR="00870ECD">
              <w:t> p. b.</w:t>
            </w:r>
            <w:r>
              <w:t xml:space="preserve">, opět jej však tlumil meziroční pokles tvorby zásob. V porovnání s předchozím čtvrtletím investiční aktivita poklesla. Výdaje na hrubý kapitál </w:t>
            </w:r>
            <w:r w:rsidR="00EB48D7">
              <w:t xml:space="preserve">se snížily </w:t>
            </w:r>
            <w:r>
              <w:t>o 0,4</w:t>
            </w:r>
            <w:r w:rsidR="00870ECD">
              <w:t> %</w:t>
            </w:r>
            <w:r>
              <w:t>, z toho tvorba hrubého fixního kapitálu dokonce o 2,0</w:t>
            </w:r>
            <w:r w:rsidR="00870ECD">
              <w:t> %</w:t>
            </w:r>
            <w:r>
              <w:t>. Z věcného členění tvorby hrubého fixního kapitálu</w:t>
            </w:r>
            <w:r w:rsidRPr="009110F7">
              <w:rPr>
                <w:rStyle w:val="Znakapoznpodarou"/>
              </w:rPr>
              <w:footnoteReference w:id="7"/>
            </w:r>
            <w:r>
              <w:t xml:space="preserve"> lze vidět výrazné zpomalení růstu ve všech kategoriích výdajů. Nejsilnější meziroční tempo si udržely investiční výdaje na obydlí (7,3</w:t>
            </w:r>
            <w:r w:rsidR="00870ECD">
              <w:t> %</w:t>
            </w:r>
            <w:r>
              <w:t>, nárůst v loňském roce byl 12,8 %). Výrazně zpomalil růst investic do ostatních budov a staveb (3,6</w:t>
            </w:r>
            <w:r w:rsidR="00870ECD">
              <w:t> %</w:t>
            </w:r>
            <w:r>
              <w:t>, loni 14,4</w:t>
            </w:r>
            <w:r w:rsidR="00870ECD">
              <w:t> %</w:t>
            </w:r>
            <w:r>
              <w:t>). Jen o 0,8</w:t>
            </w:r>
            <w:r w:rsidR="00870ECD">
              <w:t> %</w:t>
            </w:r>
            <w:r>
              <w:t xml:space="preserve"> vzrostly investice do dopravních prostředků a zařízení. Položka ICT, ostatní stroje a zařízení dosáhla meziročního nárůstu o 4,1</w:t>
            </w:r>
            <w:r w:rsidR="00870ECD">
              <w:t> %</w:t>
            </w:r>
            <w:r>
              <w:t xml:space="preserve"> (loni 10,1</w:t>
            </w:r>
            <w:r w:rsidR="00870ECD">
              <w:t> %</w:t>
            </w:r>
            <w:r>
              <w:t>).</w:t>
            </w:r>
          </w:p>
        </w:tc>
      </w:tr>
      <w:tr w:rsidR="00FA6CB6" w:rsidRPr="009110F7" w14:paraId="3E7DFCEA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E133E96" w14:textId="77777777" w:rsidR="00FA6CB6" w:rsidRDefault="00FA6CB6" w:rsidP="00FA6CB6">
            <w:pPr>
              <w:pStyle w:val="Marginlie"/>
            </w:pPr>
            <w:r>
              <w:t>Přebytek bilance zahraničního obchodu se díky službám meziročně zvýšil.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354E25A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A7C52B6" w14:textId="77777777" w:rsidR="00FA6CB6" w:rsidRDefault="00FA6CB6" w:rsidP="00EB48D7">
            <w:r>
              <w:t>Bilance zahraničního obchodu se zbožím a službami v 1. čtvrtletí 2019 dosáhla přebytku 90,1</w:t>
            </w:r>
            <w:r w:rsidR="00870ECD">
              <w:t> mld</w:t>
            </w:r>
            <w:r>
              <w:t>. korun</w:t>
            </w:r>
            <w:r w:rsidRPr="009110F7">
              <w:rPr>
                <w:rStyle w:val="Znakapoznpodarou"/>
              </w:rPr>
              <w:footnoteReference w:id="8"/>
            </w:r>
            <w:r>
              <w:t>. To je o 2,4</w:t>
            </w:r>
            <w:r w:rsidR="00870ECD">
              <w:t> mld</w:t>
            </w:r>
            <w:r>
              <w:t>. více než ve stejném období minulého roku</w:t>
            </w:r>
            <w:r w:rsidR="00EB48D7">
              <w:t>. Z</w:t>
            </w:r>
            <w:r>
              <w:t>astavila se tak loňská série meziročních poklesů přebytku. Za meziročním přírůstkem stál výhradně obchod se službami. Přebytek zde dosáhl 38,6</w:t>
            </w:r>
            <w:r w:rsidR="00870ECD">
              <w:t> mld</w:t>
            </w:r>
            <w:r>
              <w:t>. korun a</w:t>
            </w:r>
            <w:r w:rsidR="00837E48">
              <w:t> </w:t>
            </w:r>
            <w:r>
              <w:t>zvýšil se o 5,4</w:t>
            </w:r>
            <w:r w:rsidR="00870ECD">
              <w:t> mld</w:t>
            </w:r>
            <w:r>
              <w:t>. V případě zboží se kladné saldo meziročně snížilo o 2,9</w:t>
            </w:r>
            <w:r w:rsidR="00870ECD">
              <w:t> mld</w:t>
            </w:r>
            <w:r>
              <w:t>. korun na 51,6</w:t>
            </w:r>
            <w:r w:rsidR="00870ECD">
              <w:t> mld</w:t>
            </w:r>
            <w:r>
              <w:t xml:space="preserve">. Příspěvek salda zahraničního obchodu k růstu HDP opět mírně tlumil fakt, že část růstu spotřební i investiční poptávky saturoval dovoz. Dynamika </w:t>
            </w:r>
            <w:r>
              <w:lastRenderedPageBreak/>
              <w:t>vývozu i dovozu se v 1. čtvrtletí zmírnila ve srovnání se silným 2. pololetím loňského roku. Reálně se vývoz zvýšil o 2,0</w:t>
            </w:r>
            <w:r w:rsidR="00870ECD">
              <w:t> %</w:t>
            </w:r>
            <w:r>
              <w:t xml:space="preserve"> a dovoz o 2,1</w:t>
            </w:r>
            <w:r w:rsidR="00870ECD">
              <w:t> %</w:t>
            </w:r>
            <w:r>
              <w:t>.</w:t>
            </w:r>
          </w:p>
        </w:tc>
      </w:tr>
      <w:tr w:rsidR="00FA6CB6" w:rsidRPr="009110F7" w14:paraId="00DB0054" w14:textId="77777777" w:rsidTr="004861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025C83F7" w14:textId="77777777" w:rsidR="00FA6CB6" w:rsidRDefault="00FA6CB6" w:rsidP="00FA6CB6">
            <w:pPr>
              <w:pStyle w:val="Marginlie"/>
            </w:pPr>
            <w:r>
              <w:lastRenderedPageBreak/>
              <w:t>Služby si udržely pozici tahouna růstu hrubé přidané hodnoty.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23F3DDF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F35751F" w14:textId="3F16E86D" w:rsidR="00FA6CB6" w:rsidRDefault="00FA6CB6" w:rsidP="00FA6CB6">
            <w:r>
              <w:t>Meziroční růst hrubé přidané hodnoty více podporovala odvětví služeb než průmysl. Služby, které stimulovala přetrvávající silná domácí poptávka, přispěly 1,8</w:t>
            </w:r>
            <w:r w:rsidR="00870ECD">
              <w:t> p. b.</w:t>
            </w:r>
            <w:r>
              <w:t xml:space="preserve"> Z nich největší příspěvek mělo seskupení obchod, doprava, ubytování a pohostinství (0,5 p. b.), ve kterém HPH meziročně vzrostla o 2,8</w:t>
            </w:r>
            <w:r w:rsidR="00870ECD">
              <w:t> %</w:t>
            </w:r>
            <w:r>
              <w:t xml:space="preserve">. </w:t>
            </w:r>
            <w:r w:rsidR="004C0B3F">
              <w:t xml:space="preserve">Jedním </w:t>
            </w:r>
            <w:r>
              <w:t xml:space="preserve">ze dvou odvětví služeb, kde posílil růst HPH, </w:t>
            </w:r>
            <w:r w:rsidR="004C0B3F">
              <w:t xml:space="preserve">bylo </w:t>
            </w:r>
            <w:r>
              <w:t>odvětví s dominancí veřejného sektoru. Zrychlení na 2,4</w:t>
            </w:r>
            <w:r w:rsidR="00870ECD">
              <w:t> %</w:t>
            </w:r>
            <w:r>
              <w:t xml:space="preserve"> zvýšilo i příspěvek k růstu HPH na 0,4</w:t>
            </w:r>
            <w:r w:rsidR="00870ECD">
              <w:t> p. b.</w:t>
            </w:r>
            <w:r>
              <w:t xml:space="preserve"> Zpomalil růst HPH v</w:t>
            </w:r>
            <w:r w:rsidR="00837E48">
              <w:t> </w:t>
            </w:r>
            <w:r>
              <w:t>informační</w:t>
            </w:r>
            <w:r w:rsidR="00837E48">
              <w:t>ch a </w:t>
            </w:r>
            <w:r>
              <w:t>komunikačních činnostech. Stále poměrně solidní přírůstek 4,8</w:t>
            </w:r>
            <w:r w:rsidR="00870ECD">
              <w:t> %</w:t>
            </w:r>
            <w:r>
              <w:t xml:space="preserve"> však stačil na příspěvek k růstu ve výši 0,3</w:t>
            </w:r>
            <w:r w:rsidR="00870ECD">
              <w:t> p. b.</w:t>
            </w:r>
            <w:r>
              <w:t xml:space="preserve"> Shodně 0,2</w:t>
            </w:r>
            <w:r w:rsidR="00870ECD">
              <w:t> p. b.</w:t>
            </w:r>
            <w:r>
              <w:t xml:space="preserve"> přispěly peněžnictví a</w:t>
            </w:r>
            <w:r w:rsidR="00837E48">
              <w:t> </w:t>
            </w:r>
            <w:r>
              <w:t>pojišťovnictví, činnosti v oblasti nemovitostí a také profesní, vědecké, technické a</w:t>
            </w:r>
            <w:r w:rsidR="00837E48">
              <w:t> </w:t>
            </w:r>
            <w:r>
              <w:t>administrativní činnosti. Posledně jmenované odvětví také posílilo svůj meziroční růst HPH na 3,0</w:t>
            </w:r>
            <w:r w:rsidR="00870ECD">
              <w:t> %</w:t>
            </w:r>
            <w:r>
              <w:t>. Průmyslová odvětví přispívala k růstu HPH slaběji. Hrubá přidaná hodnota ve zpracovatelském průmyslu, který zčásti závisí na zahraniční poptávce, vzrostla o 2,5</w:t>
            </w:r>
            <w:r w:rsidR="00870ECD">
              <w:t> %</w:t>
            </w:r>
            <w:r>
              <w:t xml:space="preserve"> a jeho příspěvek k celkovému růstu HPH činil 0,7</w:t>
            </w:r>
            <w:r w:rsidR="00870ECD">
              <w:t> p. b.</w:t>
            </w:r>
            <w:r>
              <w:t xml:space="preserve"> Ostatní průmyslová odvětví přidala 0,1</w:t>
            </w:r>
            <w:r w:rsidR="00870ECD">
              <w:t> p. b.</w:t>
            </w:r>
            <w:r>
              <w:t xml:space="preserve"> Dynamika HPH v porovnání s předchozím rokem oslabila ve stavebnictví. Meziroční přírůstek v 1. čtvrtletí dosáhl 3,1</w:t>
            </w:r>
            <w:r w:rsidR="00870ECD">
              <w:t> %</w:t>
            </w:r>
            <w:r>
              <w:t xml:space="preserve"> (loni 6,7</w:t>
            </w:r>
            <w:r w:rsidR="00870ECD">
              <w:t> %</w:t>
            </w:r>
            <w:r>
              <w:t>) a</w:t>
            </w:r>
            <w:r w:rsidR="00837E48">
              <w:t> </w:t>
            </w:r>
            <w:r>
              <w:t>příspěvek k celkovému růstu byl 0,2</w:t>
            </w:r>
            <w:r w:rsidR="00870ECD">
              <w:t> p. b.</w:t>
            </w:r>
            <w:r>
              <w:t xml:space="preserve"> </w:t>
            </w:r>
          </w:p>
        </w:tc>
      </w:tr>
      <w:tr w:rsidR="00FA6CB6" w:rsidRPr="009110F7" w14:paraId="06070C1E" w14:textId="77777777" w:rsidTr="00486132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6CA856BA" w14:textId="77777777" w:rsidR="00FA6CB6" w:rsidRDefault="00FA6CB6" w:rsidP="00FA6CB6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111410F7" w14:textId="77777777" w:rsidR="00FA6CB6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49DB8841" w14:textId="77777777" w:rsidR="00FA6CB6" w:rsidRPr="001208E3" w:rsidRDefault="00FA6CB6" w:rsidP="00FA6CB6">
            <w:pPr>
              <w:spacing w:after="0"/>
              <w:rPr>
                <w:szCs w:val="20"/>
              </w:rPr>
            </w:pPr>
            <w:r w:rsidRPr="001208E3">
              <w:rPr>
                <w:b/>
                <w:szCs w:val="20"/>
              </w:rPr>
              <w:t xml:space="preserve">Graf č. 4  </w:t>
            </w:r>
            <w:r w:rsidRPr="001208E3">
              <w:rPr>
                <w:rFonts w:cs="Arial"/>
                <w:b/>
                <w:szCs w:val="20"/>
                <w:lang w:eastAsia="en-US"/>
              </w:rPr>
              <w:t xml:space="preserve">Příspěvky odvětví k reálné změně HPH </w:t>
            </w:r>
            <w:r w:rsidRPr="001208E3">
              <w:rPr>
                <w:rFonts w:cs="Arial"/>
                <w:szCs w:val="20"/>
                <w:lang w:eastAsia="en-US"/>
              </w:rPr>
              <w:t>(objemové indexy, meziroční příspěvky v p. b., HPH v %)</w:t>
            </w:r>
          </w:p>
        </w:tc>
      </w:tr>
      <w:tr w:rsidR="00FA6CB6" w:rsidRPr="009110F7" w14:paraId="4580B5C3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5768A0F5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63F3AA79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15DFCB23" w14:textId="77777777" w:rsidR="00FA6CB6" w:rsidRPr="009110F7" w:rsidRDefault="00FA6CB6" w:rsidP="00FA6CB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0092680" wp14:editId="5A16DB35">
                  <wp:extent cx="4737600" cy="3553200"/>
                  <wp:effectExtent l="0" t="0" r="635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A6CB6" w:rsidRPr="009110F7" w14:paraId="10A8BFF4" w14:textId="77777777" w:rsidTr="00486132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75C9CE95" w14:textId="77777777" w:rsidR="00FA6CB6" w:rsidRPr="009110F7" w:rsidRDefault="00FA6CB6" w:rsidP="00FA6CB6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5A0714AD" w14:textId="77777777" w:rsidR="00FA6CB6" w:rsidRPr="009110F7" w:rsidRDefault="00FA6CB6" w:rsidP="00FA6CB6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CB11613" w14:textId="77777777" w:rsidR="00FA6CB6" w:rsidRPr="009110F7" w:rsidRDefault="00FA6CB6" w:rsidP="00FA6CB6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63ECF9C9" w14:textId="4A98C3A6" w:rsidR="00A50D73" w:rsidRPr="009110F7" w:rsidRDefault="00A50D73" w:rsidP="00235316">
      <w:pPr>
        <w:spacing w:after="0" w:line="240" w:lineRule="auto"/>
        <w:jc w:val="left"/>
        <w:rPr>
          <w:sz w:val="2"/>
          <w:szCs w:val="2"/>
        </w:rPr>
      </w:pPr>
      <w:bookmarkStart w:id="0" w:name="_GoBack"/>
      <w:bookmarkEnd w:id="0"/>
    </w:p>
    <w:sectPr w:rsidR="00A50D73" w:rsidRPr="009110F7" w:rsidSect="002353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BDC4D" w16cid:durableId="20AA22BF"/>
  <w16cid:commentId w16cid:paraId="1D79D092" w16cid:durableId="20AA7522"/>
  <w16cid:commentId w16cid:paraId="35C66900" w16cid:durableId="20AA841D"/>
  <w16cid:commentId w16cid:paraId="39CFBFF6" w16cid:durableId="20AA9586"/>
  <w16cid:commentId w16cid:paraId="385B1D8E" w16cid:durableId="20AB3CC7"/>
  <w16cid:commentId w16cid:paraId="1DCDDDF9" w16cid:durableId="20AB3E90"/>
  <w16cid:commentId w16cid:paraId="33D3157C" w16cid:durableId="20AB41FD"/>
  <w16cid:commentId w16cid:paraId="2F2C6295" w16cid:durableId="20AB535B"/>
  <w16cid:commentId w16cid:paraId="50067FCC" w16cid:durableId="20AB53EB"/>
  <w16cid:commentId w16cid:paraId="3FC61740" w16cid:durableId="20AB6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F63A" w14:textId="77777777" w:rsidR="000B5533" w:rsidRDefault="000B5533" w:rsidP="00E71A58">
      <w:r>
        <w:separator/>
      </w:r>
    </w:p>
  </w:endnote>
  <w:endnote w:type="continuationSeparator" w:id="0">
    <w:p w14:paraId="0446214A" w14:textId="77777777" w:rsidR="000B5533" w:rsidRDefault="000B55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3A0B9513" w:rsidR="0052200D" w:rsidRPr="00932443" w:rsidRDefault="0052200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9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35316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0D4869E2" w:rsidR="0052200D" w:rsidRPr="00932443" w:rsidRDefault="0052200D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t xml:space="preserve">.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35316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79B1" w14:textId="77777777" w:rsidR="000B5533" w:rsidRDefault="000B5533" w:rsidP="00E71A58">
      <w:r>
        <w:separator/>
      </w:r>
    </w:p>
  </w:footnote>
  <w:footnote w:type="continuationSeparator" w:id="0">
    <w:p w14:paraId="2097A2AC" w14:textId="77777777" w:rsidR="000B5533" w:rsidRDefault="000B5533" w:rsidP="00E71A58">
      <w:r>
        <w:continuationSeparator/>
      </w:r>
    </w:p>
  </w:footnote>
  <w:footnote w:id="1">
    <w:p w14:paraId="106AA1E0" w14:textId="77777777" w:rsidR="0052200D" w:rsidRPr="00EF1EE3" w:rsidRDefault="0052200D" w:rsidP="00572900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po</w:t>
      </w:r>
      <w:r w:rsidRPr="00EF1EE3">
        <w:rPr>
          <w:sz w:val="16"/>
          <w:szCs w:val="16"/>
        </w:rPr>
        <w:t> 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 31. 5. 2019</w:t>
      </w:r>
      <w:r w:rsidRPr="00EF1EE3">
        <w:rPr>
          <w:sz w:val="16"/>
          <w:szCs w:val="16"/>
        </w:rPr>
        <w:t>.</w:t>
      </w:r>
    </w:p>
  </w:footnote>
  <w:footnote w:id="2">
    <w:p w14:paraId="65D0CB5D" w14:textId="77777777" w:rsidR="0052200D" w:rsidRPr="009C6EA8" w:rsidRDefault="0052200D" w:rsidP="00486132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1616A972" w14:textId="77777777" w:rsidR="0052200D" w:rsidRPr="00BB319F" w:rsidRDefault="0052200D" w:rsidP="000C4769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</w:t>
      </w:r>
      <w:r>
        <w:rPr>
          <w:sz w:val="16"/>
          <w:szCs w:val="16"/>
        </w:rPr>
        <w:t xml:space="preserve"> Bulharsko,</w:t>
      </w:r>
      <w:r w:rsidRPr="00BB319F">
        <w:rPr>
          <w:sz w:val="16"/>
          <w:szCs w:val="16"/>
        </w:rPr>
        <w:t xml:space="preserve"> Irsko</w:t>
      </w:r>
      <w:r>
        <w:rPr>
          <w:sz w:val="16"/>
          <w:szCs w:val="16"/>
        </w:rPr>
        <w:t>, Kypr, </w:t>
      </w:r>
      <w:r w:rsidRPr="00BB319F">
        <w:rPr>
          <w:sz w:val="16"/>
          <w:szCs w:val="16"/>
        </w:rPr>
        <w:t>Lucembursko</w:t>
      </w:r>
      <w:r>
        <w:rPr>
          <w:sz w:val="16"/>
          <w:szCs w:val="16"/>
        </w:rPr>
        <w:t xml:space="preserve"> a Maltu</w:t>
      </w:r>
      <w:r w:rsidRPr="00BB319F">
        <w:rPr>
          <w:sz w:val="16"/>
          <w:szCs w:val="16"/>
        </w:rPr>
        <w:t>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4">
    <w:p w14:paraId="7E6F3B26" w14:textId="77777777" w:rsidR="0052200D" w:rsidRDefault="0052200D" w:rsidP="00486132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 xml:space="preserve"> pojetí národních účtů,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5">
    <w:p w14:paraId="0C3D1E9D" w14:textId="77777777" w:rsidR="0052200D" w:rsidRPr="009C6EA8" w:rsidRDefault="0052200D" w:rsidP="00486132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6">
    <w:p w14:paraId="1FCC1F9D" w14:textId="77777777" w:rsidR="0052200D" w:rsidRPr="00771972" w:rsidRDefault="0052200D" w:rsidP="00486132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 obrana, vzdělávání, zdravotní a sociální péče.</w:t>
      </w:r>
    </w:p>
  </w:footnote>
  <w:footnote w:id="7">
    <w:p w14:paraId="74E594D0" w14:textId="77777777" w:rsidR="0052200D" w:rsidRPr="0021552C" w:rsidRDefault="0052200D" w:rsidP="00486132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8">
    <w:p w14:paraId="268AD40B" w14:textId="77777777" w:rsidR="0052200D" w:rsidRPr="00167B30" w:rsidRDefault="0052200D" w:rsidP="00486132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2200D" w:rsidRDefault="0052200D" w:rsidP="00937AE2">
    <w:pPr>
      <w:pStyle w:val="Zhlav"/>
    </w:pPr>
    <w:r>
      <w:t>Vývoj ekonomiky České republiky</w:t>
    </w:r>
  </w:p>
  <w:p w14:paraId="675E4C41" w14:textId="77777777" w:rsidR="0052200D" w:rsidRPr="006F5416" w:rsidRDefault="0052200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2200D" w:rsidRDefault="0052200D" w:rsidP="00937AE2">
    <w:pPr>
      <w:pStyle w:val="Zhlav"/>
    </w:pPr>
    <w:r>
      <w:t>Vývoj ekonomiky České republiky</w:t>
    </w:r>
  </w:p>
  <w:p w14:paraId="0CDCFD48" w14:textId="77777777" w:rsidR="0052200D" w:rsidRPr="006F5416" w:rsidRDefault="0052200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B5533"/>
    <w:rsid w:val="000C0EA8"/>
    <w:rsid w:val="000C13A2"/>
    <w:rsid w:val="000C30C3"/>
    <w:rsid w:val="000C3408"/>
    <w:rsid w:val="000C35AB"/>
    <w:rsid w:val="000C4769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5316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3EF4"/>
    <w:rsid w:val="002B4845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1DE4"/>
    <w:rsid w:val="002F333D"/>
    <w:rsid w:val="002F351A"/>
    <w:rsid w:val="002F46D6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0B07"/>
    <w:rsid w:val="003C2CE7"/>
    <w:rsid w:val="003C3490"/>
    <w:rsid w:val="003C3608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480F"/>
    <w:rsid w:val="005F5469"/>
    <w:rsid w:val="005F63F3"/>
    <w:rsid w:val="005F6D7F"/>
    <w:rsid w:val="005F7174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131B"/>
    <w:rsid w:val="0062263A"/>
    <w:rsid w:val="006227DF"/>
    <w:rsid w:val="006236C8"/>
    <w:rsid w:val="00624093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50BF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E7"/>
    <w:rsid w:val="0087368D"/>
    <w:rsid w:val="00874FE8"/>
    <w:rsid w:val="00875A32"/>
    <w:rsid w:val="00876086"/>
    <w:rsid w:val="00876E83"/>
    <w:rsid w:val="008772BC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A66B7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4114"/>
    <w:rsid w:val="00A16413"/>
    <w:rsid w:val="00A16545"/>
    <w:rsid w:val="00A16AED"/>
    <w:rsid w:val="00A16E1D"/>
    <w:rsid w:val="00A171D5"/>
    <w:rsid w:val="00A17A15"/>
    <w:rsid w:val="00A17D5B"/>
    <w:rsid w:val="00A201E1"/>
    <w:rsid w:val="00A20FE1"/>
    <w:rsid w:val="00A23E43"/>
    <w:rsid w:val="00A24ED9"/>
    <w:rsid w:val="00A25216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2"/>
    <w:rsid w:val="00BB5ABF"/>
    <w:rsid w:val="00BB6EA2"/>
    <w:rsid w:val="00BB7B5B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908"/>
    <w:rsid w:val="00CF51EC"/>
    <w:rsid w:val="00CF545D"/>
    <w:rsid w:val="00CF5873"/>
    <w:rsid w:val="00CF73AE"/>
    <w:rsid w:val="00D0242D"/>
    <w:rsid w:val="00D02716"/>
    <w:rsid w:val="00D03A72"/>
    <w:rsid w:val="00D040DD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29B5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0043"/>
    <w:rsid w:val="00E61740"/>
    <w:rsid w:val="00E61EB5"/>
    <w:rsid w:val="00E6324D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240163796014245E-2"/>
          <c:y val="2.3046636085626952E-2"/>
          <c:w val="0.93617042384329663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1'!$A$13:$B$33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1'!$C$13:$C$33</c:f>
              <c:numCache>
                <c:formatCode>#\ ##0.0</c:formatCode>
                <c:ptCount val="21"/>
                <c:pt idx="0">
                  <c:v>1.5996926444218076</c:v>
                </c:pt>
                <c:pt idx="1">
                  <c:v>2.4019552100365473</c:v>
                </c:pt>
                <c:pt idx="2">
                  <c:v>3.4030564515715724</c:v>
                </c:pt>
                <c:pt idx="3">
                  <c:v>3.4380052076485867</c:v>
                </c:pt>
                <c:pt idx="4">
                  <c:v>5.2550726107844667</c:v>
                </c:pt>
                <c:pt idx="5">
                  <c:v>5.7987847820089087</c:v>
                </c:pt>
                <c:pt idx="6">
                  <c:v>5.5707669225332381</c:v>
                </c:pt>
                <c:pt idx="7">
                  <c:v>4.9148252973919995</c:v>
                </c:pt>
                <c:pt idx="8">
                  <c:v>3.562390609972212</c:v>
                </c:pt>
                <c:pt idx="9">
                  <c:v>2.4146777549828045</c:v>
                </c:pt>
                <c:pt idx="10">
                  <c:v>1.6940486553423995</c:v>
                </c:pt>
                <c:pt idx="11">
                  <c:v>1.8037525372218255</c:v>
                </c:pt>
                <c:pt idx="12">
                  <c:v>3</c:v>
                </c:pt>
                <c:pt idx="13">
                  <c:v>5</c:v>
                </c:pt>
                <c:pt idx="14">
                  <c:v>5.2</c:v>
                </c:pt>
                <c:pt idx="15">
                  <c:v>4.9881960614611103</c:v>
                </c:pt>
                <c:pt idx="16">
                  <c:v>4.2</c:v>
                </c:pt>
                <c:pt idx="17" formatCode="General">
                  <c:v>2.2999999999999998</c:v>
                </c:pt>
                <c:pt idx="18" formatCode="General">
                  <c:v>2.4</c:v>
                </c:pt>
                <c:pt idx="19">
                  <c:v>2.6</c:v>
                </c:pt>
                <c:pt idx="20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F-43CE-8B27-E8C011BEF0BB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1'!$A$13:$B$33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1'!$D$13:$D$33</c:f>
              <c:numCache>
                <c:formatCode>#\ ##0.0</c:formatCode>
                <c:ptCount val="21"/>
                <c:pt idx="0">
                  <c:v>1.8</c:v>
                </c:pt>
                <c:pt idx="1">
                  <c:v>1.6</c:v>
                </c:pt>
                <c:pt idx="2">
                  <c:v>1.7</c:v>
                </c:pt>
                <c:pt idx="3">
                  <c:v>1.9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2</c:v>
                </c:pt>
                <c:pt idx="9">
                  <c:v>1.9</c:v>
                </c:pt>
                <c:pt idx="10">
                  <c:v>1.8</c:v>
                </c:pt>
                <c:pt idx="11">
                  <c:v>2.1</c:v>
                </c:pt>
                <c:pt idx="12">
                  <c:v>2.2000000000000002</c:v>
                </c:pt>
                <c:pt idx="13">
                  <c:v>2.5</c:v>
                </c:pt>
                <c:pt idx="14">
                  <c:v>2.8</c:v>
                </c:pt>
                <c:pt idx="15">
                  <c:v>2.7</c:v>
                </c:pt>
                <c:pt idx="16">
                  <c:v>2.4</c:v>
                </c:pt>
                <c:pt idx="17">
                  <c:v>2.2000000000000002</c:v>
                </c:pt>
                <c:pt idx="18">
                  <c:v>1.8</c:v>
                </c:pt>
                <c:pt idx="19">
                  <c:v>1.5</c:v>
                </c:pt>
                <c:pt idx="20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F-43CE-8B27-E8C011BEF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1'!$A$13:$B$33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1'!$E$13:$E$33</c:f>
              <c:numCache>
                <c:formatCode>#\ ##0.0</c:formatCode>
                <c:ptCount val="21"/>
                <c:pt idx="0">
                  <c:v>-0.15199361076162177</c:v>
                </c:pt>
                <c:pt idx="1">
                  <c:v>0.94354943170505123</c:v>
                </c:pt>
                <c:pt idx="2">
                  <c:v>1.300826710614885</c:v>
                </c:pt>
                <c:pt idx="3">
                  <c:v>1.3092680104703618</c:v>
                </c:pt>
                <c:pt idx="4">
                  <c:v>1.6020092561128081</c:v>
                </c:pt>
                <c:pt idx="5">
                  <c:v>1.4649897297471739</c:v>
                </c:pt>
                <c:pt idx="6">
                  <c:v>1.0825028639160621</c:v>
                </c:pt>
                <c:pt idx="7">
                  <c:v>0.67980430723308416</c:v>
                </c:pt>
                <c:pt idx="8">
                  <c:v>0.29227937532607484</c:v>
                </c:pt>
                <c:pt idx="9">
                  <c:v>0.34052096885528726</c:v>
                </c:pt>
                <c:pt idx="10">
                  <c:v>0.37124745966146122</c:v>
                </c:pt>
                <c:pt idx="11">
                  <c:v>0.78841405879090587</c:v>
                </c:pt>
                <c:pt idx="12">
                  <c:v>1.4</c:v>
                </c:pt>
                <c:pt idx="13">
                  <c:v>2.2999999999999998</c:v>
                </c:pt>
                <c:pt idx="14">
                  <c:v>0.6</c:v>
                </c:pt>
                <c:pt idx="15">
                  <c:v>0.6</c:v>
                </c:pt>
                <c:pt idx="16">
                  <c:v>0.6</c:v>
                </c:pt>
                <c:pt idx="17">
                  <c:v>0.5</c:v>
                </c:pt>
                <c:pt idx="18">
                  <c:v>0.7</c:v>
                </c:pt>
                <c:pt idx="19">
                  <c:v>0.8</c:v>
                </c:pt>
                <c:pt idx="2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9F-43CE-8B27-E8C011BEF0BB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1'!$A$13:$B$33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1'!$F$13:$F$33</c:f>
              <c:numCache>
                <c:formatCode>#\ ##0.0</c:formatCode>
                <c:ptCount val="21"/>
                <c:pt idx="0">
                  <c:v>0.5</c:v>
                </c:pt>
                <c:pt idx="1">
                  <c:v>0.3</c:v>
                </c:pt>
                <c:pt idx="2">
                  <c:v>0.5</c:v>
                </c:pt>
                <c:pt idx="3">
                  <c:v>0.5</c:v>
                </c:pt>
                <c:pt idx="4">
                  <c:v>0.8</c:v>
                </c:pt>
                <c:pt idx="5">
                  <c:v>0.4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0.3</c:v>
                </c:pt>
                <c:pt idx="10">
                  <c:v>0.4</c:v>
                </c:pt>
                <c:pt idx="11">
                  <c:v>0.8</c:v>
                </c:pt>
                <c:pt idx="12">
                  <c:v>0.7</c:v>
                </c:pt>
                <c:pt idx="13">
                  <c:v>0.6</c:v>
                </c:pt>
                <c:pt idx="14">
                  <c:v>0.6</c:v>
                </c:pt>
                <c:pt idx="15">
                  <c:v>0.7</c:v>
                </c:pt>
                <c:pt idx="16">
                  <c:v>0.4</c:v>
                </c:pt>
                <c:pt idx="17">
                  <c:v>0.5</c:v>
                </c:pt>
                <c:pt idx="18">
                  <c:v>0.3</c:v>
                </c:pt>
                <c:pt idx="19">
                  <c:v>0.3</c:v>
                </c:pt>
                <c:pt idx="20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89F-43CE-8B27-E8C011BEF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88E-2"/>
          <c:y val="0.89437255125717996"/>
          <c:w val="0.93714918946301962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724701079031984E-2"/>
          <c:y val="2.6970778117567627E-2"/>
          <c:w val="0.87770649039241322"/>
          <c:h val="0.76009512552065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val>
            <c:numRef>
              <c:f>'souhrnná výkonnost 2'!$C$30:$C$92</c:f>
              <c:numCache>
                <c:formatCode>0.0</c:formatCode>
                <c:ptCount val="63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2.4</c:v>
                </c:pt>
                <c:pt idx="4">
                  <c:v>2.4</c:v>
                </c:pt>
                <c:pt idx="5">
                  <c:v>2.4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</c:v>
                </c:pt>
                <c:pt idx="12">
                  <c:v>5.3</c:v>
                </c:pt>
                <c:pt idx="13">
                  <c:v>5.3</c:v>
                </c:pt>
                <c:pt idx="14">
                  <c:v>5.3</c:v>
                </c:pt>
                <c:pt idx="15">
                  <c:v>5.8</c:v>
                </c:pt>
                <c:pt idx="16">
                  <c:v>5.8</c:v>
                </c:pt>
                <c:pt idx="17">
                  <c:v>5.8</c:v>
                </c:pt>
                <c:pt idx="18">
                  <c:v>5.6</c:v>
                </c:pt>
                <c:pt idx="19">
                  <c:v>5.6</c:v>
                </c:pt>
                <c:pt idx="20">
                  <c:v>5.6</c:v>
                </c:pt>
                <c:pt idx="21">
                  <c:v>4.9000000000000004</c:v>
                </c:pt>
                <c:pt idx="22">
                  <c:v>4.9000000000000004</c:v>
                </c:pt>
                <c:pt idx="23">
                  <c:v>4.9000000000000004</c:v>
                </c:pt>
                <c:pt idx="24">
                  <c:v>3.6</c:v>
                </c:pt>
                <c:pt idx="25">
                  <c:v>3.6</c:v>
                </c:pt>
                <c:pt idx="26">
                  <c:v>3.6</c:v>
                </c:pt>
                <c:pt idx="27">
                  <c:v>2.4</c:v>
                </c:pt>
                <c:pt idx="28">
                  <c:v>2.4</c:v>
                </c:pt>
                <c:pt idx="29" formatCode="General">
                  <c:v>2.4</c:v>
                </c:pt>
                <c:pt idx="30" formatCode="General">
                  <c:v>1.7</c:v>
                </c:pt>
                <c:pt idx="31" formatCode="General">
                  <c:v>1.7</c:v>
                </c:pt>
                <c:pt idx="32" formatCode="General">
                  <c:v>1.7</c:v>
                </c:pt>
                <c:pt idx="33" formatCode="General">
                  <c:v>1.8</c:v>
                </c:pt>
                <c:pt idx="34" formatCode="General">
                  <c:v>1.8</c:v>
                </c:pt>
                <c:pt idx="35" formatCode="General">
                  <c:v>1.8</c:v>
                </c:pt>
                <c:pt idx="36" formatCode="General">
                  <c:v>3</c:v>
                </c:pt>
                <c:pt idx="37" formatCode="General">
                  <c:v>3</c:v>
                </c:pt>
                <c:pt idx="38" formatCode="General">
                  <c:v>3</c:v>
                </c:pt>
                <c:pt idx="39" formatCode="General">
                  <c:v>5</c:v>
                </c:pt>
                <c:pt idx="40" formatCode="General">
                  <c:v>5</c:v>
                </c:pt>
                <c:pt idx="41" formatCode="General">
                  <c:v>5</c:v>
                </c:pt>
                <c:pt idx="42" formatCode="General">
                  <c:v>5.2</c:v>
                </c:pt>
                <c:pt idx="43" formatCode="General">
                  <c:v>5.2</c:v>
                </c:pt>
                <c:pt idx="44" formatCode="General">
                  <c:v>5.2</c:v>
                </c:pt>
                <c:pt idx="45" formatCode="General">
                  <c:v>5</c:v>
                </c:pt>
                <c:pt idx="46" formatCode="General">
                  <c:v>5</c:v>
                </c:pt>
                <c:pt idx="47" formatCode="General">
                  <c:v>5</c:v>
                </c:pt>
                <c:pt idx="48" formatCode="General">
                  <c:v>4.2</c:v>
                </c:pt>
                <c:pt idx="49" formatCode="General">
                  <c:v>4.2</c:v>
                </c:pt>
                <c:pt idx="50" formatCode="General">
                  <c:v>4.2</c:v>
                </c:pt>
                <c:pt idx="51" formatCode="General">
                  <c:v>2.2999999999999998</c:v>
                </c:pt>
                <c:pt idx="52" formatCode="General">
                  <c:v>2.2999999999999998</c:v>
                </c:pt>
                <c:pt idx="53" formatCode="General">
                  <c:v>2.2999999999999998</c:v>
                </c:pt>
                <c:pt idx="54" formatCode="General">
                  <c:v>2.4</c:v>
                </c:pt>
                <c:pt idx="55" formatCode="General">
                  <c:v>2.4</c:v>
                </c:pt>
                <c:pt idx="56" formatCode="General">
                  <c:v>2.4</c:v>
                </c:pt>
                <c:pt idx="57" formatCode="General">
                  <c:v>2.6</c:v>
                </c:pt>
                <c:pt idx="58" formatCode="General">
                  <c:v>2.6</c:v>
                </c:pt>
                <c:pt idx="59" formatCode="General">
                  <c:v>2.6</c:v>
                </c:pt>
                <c:pt idx="60" formatCode="General">
                  <c:v>2.6</c:v>
                </c:pt>
                <c:pt idx="61" formatCode="General">
                  <c:v>2.6</c:v>
                </c:pt>
                <c:pt idx="62" formatCode="General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3-489C-BFEF-01D54DD4E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68536064"/>
        <c:axId val="268534528"/>
      </c:barChart>
      <c:lineChart>
        <c:grouping val="standard"/>
        <c:varyColors val="0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2'!$D$30:$D$92</c:f>
              <c:numCache>
                <c:formatCode>###\ ###\ ##0.0</c:formatCode>
                <c:ptCount val="63"/>
                <c:pt idx="0">
                  <c:v>90.1</c:v>
                </c:pt>
                <c:pt idx="1">
                  <c:v>90.9</c:v>
                </c:pt>
                <c:pt idx="2">
                  <c:v>91.6</c:v>
                </c:pt>
                <c:pt idx="3">
                  <c:v>91.5</c:v>
                </c:pt>
                <c:pt idx="4">
                  <c:v>91.5</c:v>
                </c:pt>
                <c:pt idx="5">
                  <c:v>92.5</c:v>
                </c:pt>
                <c:pt idx="6">
                  <c:v>91.6</c:v>
                </c:pt>
                <c:pt idx="7">
                  <c:v>92.5</c:v>
                </c:pt>
                <c:pt idx="8">
                  <c:v>93.2</c:v>
                </c:pt>
                <c:pt idx="9">
                  <c:v>92.8</c:v>
                </c:pt>
                <c:pt idx="10">
                  <c:v>93.5</c:v>
                </c:pt>
                <c:pt idx="11">
                  <c:v>94.8</c:v>
                </c:pt>
                <c:pt idx="12">
                  <c:v>94.3</c:v>
                </c:pt>
                <c:pt idx="13">
                  <c:v>93.4</c:v>
                </c:pt>
                <c:pt idx="14">
                  <c:v>92.9</c:v>
                </c:pt>
                <c:pt idx="15">
                  <c:v>93.2</c:v>
                </c:pt>
                <c:pt idx="16">
                  <c:v>93.8</c:v>
                </c:pt>
                <c:pt idx="17">
                  <c:v>95.5</c:v>
                </c:pt>
                <c:pt idx="18">
                  <c:v>94.6</c:v>
                </c:pt>
                <c:pt idx="19">
                  <c:v>94.2</c:v>
                </c:pt>
                <c:pt idx="20">
                  <c:v>94.4</c:v>
                </c:pt>
                <c:pt idx="21">
                  <c:v>93.2</c:v>
                </c:pt>
                <c:pt idx="22">
                  <c:v>94.2</c:v>
                </c:pt>
                <c:pt idx="23">
                  <c:v>94.3</c:v>
                </c:pt>
                <c:pt idx="24" formatCode="0.0">
                  <c:v>96</c:v>
                </c:pt>
                <c:pt idx="25" formatCode="0.0">
                  <c:v>95.3</c:v>
                </c:pt>
                <c:pt idx="26" formatCode="0.0">
                  <c:v>95.1</c:v>
                </c:pt>
                <c:pt idx="27" formatCode="0.0">
                  <c:v>93.8</c:v>
                </c:pt>
                <c:pt idx="28" formatCode="0.0">
                  <c:v>94.3</c:v>
                </c:pt>
                <c:pt idx="29" formatCode="0.0">
                  <c:v>93.5</c:v>
                </c:pt>
                <c:pt idx="30" formatCode="0.0">
                  <c:v>94</c:v>
                </c:pt>
                <c:pt idx="31" formatCode="0.0">
                  <c:v>95.3</c:v>
                </c:pt>
                <c:pt idx="32" formatCode="0.0">
                  <c:v>95.2</c:v>
                </c:pt>
                <c:pt idx="33" formatCode="0.0">
                  <c:v>95.2</c:v>
                </c:pt>
                <c:pt idx="34" formatCode="0.0">
                  <c:v>97.5</c:v>
                </c:pt>
                <c:pt idx="35" formatCode="0.0">
                  <c:v>97.1</c:v>
                </c:pt>
                <c:pt idx="36" formatCode="0.0">
                  <c:v>97</c:v>
                </c:pt>
                <c:pt idx="37" formatCode="0.0">
                  <c:v>95.9</c:v>
                </c:pt>
                <c:pt idx="38" formatCode="0.0">
                  <c:v>94.1</c:v>
                </c:pt>
                <c:pt idx="39" formatCode="0.0">
                  <c:v>95.1</c:v>
                </c:pt>
                <c:pt idx="40" formatCode="0.0">
                  <c:v>94.9</c:v>
                </c:pt>
                <c:pt idx="41" formatCode="0.0">
                  <c:v>95.2</c:v>
                </c:pt>
                <c:pt idx="42" formatCode="0.0">
                  <c:v>96.1</c:v>
                </c:pt>
                <c:pt idx="43" formatCode="0.0">
                  <c:v>96.8</c:v>
                </c:pt>
                <c:pt idx="44" formatCode="0.0">
                  <c:v>97</c:v>
                </c:pt>
                <c:pt idx="45" formatCode="0.0">
                  <c:v>97.4</c:v>
                </c:pt>
                <c:pt idx="46" formatCode="0.0">
                  <c:v>96.7</c:v>
                </c:pt>
                <c:pt idx="47" formatCode="0.0">
                  <c:v>97.5</c:v>
                </c:pt>
                <c:pt idx="48" formatCode="0.0">
                  <c:v>96.9</c:v>
                </c:pt>
                <c:pt idx="49" formatCode="0.0">
                  <c:v>97.5</c:v>
                </c:pt>
                <c:pt idx="50" formatCode="0.0">
                  <c:v>97</c:v>
                </c:pt>
                <c:pt idx="51" formatCode="0.0">
                  <c:v>97.6</c:v>
                </c:pt>
                <c:pt idx="52" formatCode="0.0">
                  <c:v>96.2</c:v>
                </c:pt>
                <c:pt idx="53" formatCode="0.0">
                  <c:v>97.4</c:v>
                </c:pt>
                <c:pt idx="54" formatCode="0.0">
                  <c:v>96.1</c:v>
                </c:pt>
                <c:pt idx="55" formatCode="0.0">
                  <c:v>96.9</c:v>
                </c:pt>
                <c:pt idx="56" formatCode="0.0">
                  <c:v>97.3</c:v>
                </c:pt>
                <c:pt idx="57" formatCode="0.0">
                  <c:v>97.3</c:v>
                </c:pt>
                <c:pt idx="58" formatCode="0.0">
                  <c:v>97.8</c:v>
                </c:pt>
                <c:pt idx="59" formatCode="0.0">
                  <c:v>96.4</c:v>
                </c:pt>
                <c:pt idx="60" formatCode="0.0">
                  <c:v>95.7</c:v>
                </c:pt>
                <c:pt idx="61" formatCode="0.0">
                  <c:v>96.5</c:v>
                </c:pt>
                <c:pt idx="62" formatCode="0.0">
                  <c:v>95.5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B3-489C-BFEF-01D54DD4E9E8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2'!$E$30:$E$92</c:f>
              <c:numCache>
                <c:formatCode>###\ ###\ ##0.0</c:formatCode>
                <c:ptCount val="63"/>
                <c:pt idx="0">
                  <c:v>96.9</c:v>
                </c:pt>
                <c:pt idx="1">
                  <c:v>93.1</c:v>
                </c:pt>
                <c:pt idx="2">
                  <c:v>96.7</c:v>
                </c:pt>
                <c:pt idx="3">
                  <c:v>98.4</c:v>
                </c:pt>
                <c:pt idx="4">
                  <c:v>98.2</c:v>
                </c:pt>
                <c:pt idx="5">
                  <c:v>99.4</c:v>
                </c:pt>
                <c:pt idx="6">
                  <c:v>99.9</c:v>
                </c:pt>
                <c:pt idx="7">
                  <c:v>97.9</c:v>
                </c:pt>
                <c:pt idx="8">
                  <c:v>96.3</c:v>
                </c:pt>
                <c:pt idx="9">
                  <c:v>100.2</c:v>
                </c:pt>
                <c:pt idx="10">
                  <c:v>103.6</c:v>
                </c:pt>
                <c:pt idx="11">
                  <c:v>105.1</c:v>
                </c:pt>
                <c:pt idx="12">
                  <c:v>106.7</c:v>
                </c:pt>
                <c:pt idx="13">
                  <c:v>105.7</c:v>
                </c:pt>
                <c:pt idx="14">
                  <c:v>105.7</c:v>
                </c:pt>
                <c:pt idx="15">
                  <c:v>104.3</c:v>
                </c:pt>
                <c:pt idx="16">
                  <c:v>103.6</c:v>
                </c:pt>
                <c:pt idx="17">
                  <c:v>104.3</c:v>
                </c:pt>
                <c:pt idx="18">
                  <c:v>103.6</c:v>
                </c:pt>
                <c:pt idx="19">
                  <c:v>103.6</c:v>
                </c:pt>
                <c:pt idx="20">
                  <c:v>103.3</c:v>
                </c:pt>
                <c:pt idx="21">
                  <c:v>104.8</c:v>
                </c:pt>
                <c:pt idx="22">
                  <c:v>105.3</c:v>
                </c:pt>
                <c:pt idx="23">
                  <c:v>107.4</c:v>
                </c:pt>
                <c:pt idx="24" formatCode="0.0">
                  <c:v>110</c:v>
                </c:pt>
                <c:pt idx="25" formatCode="0.0">
                  <c:v>106.2</c:v>
                </c:pt>
                <c:pt idx="26" formatCode="0.0">
                  <c:v>104.8</c:v>
                </c:pt>
                <c:pt idx="27" formatCode="0.0">
                  <c:v>104.3</c:v>
                </c:pt>
                <c:pt idx="28" formatCode="0.0">
                  <c:v>104.3</c:v>
                </c:pt>
                <c:pt idx="29" formatCode="0.0">
                  <c:v>103.8</c:v>
                </c:pt>
                <c:pt idx="30" formatCode="0.0">
                  <c:v>102.3</c:v>
                </c:pt>
                <c:pt idx="31" formatCode="0.0">
                  <c:v>104.3</c:v>
                </c:pt>
                <c:pt idx="32" formatCode="0.0">
                  <c:v>106.4</c:v>
                </c:pt>
                <c:pt idx="33" formatCode="0.0">
                  <c:v>108.9</c:v>
                </c:pt>
                <c:pt idx="34" formatCode="0.0">
                  <c:v>107.9</c:v>
                </c:pt>
                <c:pt idx="35" formatCode="0.0">
                  <c:v>108.7</c:v>
                </c:pt>
                <c:pt idx="36" formatCode="0.0">
                  <c:v>110</c:v>
                </c:pt>
                <c:pt idx="37" formatCode="0.0">
                  <c:v>108.2</c:v>
                </c:pt>
                <c:pt idx="38" formatCode="0.0">
                  <c:v>108.7</c:v>
                </c:pt>
                <c:pt idx="39" formatCode="0.0">
                  <c:v>108.4</c:v>
                </c:pt>
                <c:pt idx="40" formatCode="0.0">
                  <c:v>108.4</c:v>
                </c:pt>
                <c:pt idx="41" formatCode="0.0">
                  <c:v>106.2</c:v>
                </c:pt>
                <c:pt idx="42" formatCode="0.0">
                  <c:v>105.7</c:v>
                </c:pt>
                <c:pt idx="43" formatCode="0.0">
                  <c:v>107.9</c:v>
                </c:pt>
                <c:pt idx="44" formatCode="0.0">
                  <c:v>109.2</c:v>
                </c:pt>
                <c:pt idx="45" formatCode="0.0">
                  <c:v>108.7</c:v>
                </c:pt>
                <c:pt idx="46" formatCode="0.0">
                  <c:v>110.3</c:v>
                </c:pt>
                <c:pt idx="47" formatCode="0.0">
                  <c:v>110</c:v>
                </c:pt>
                <c:pt idx="48" formatCode="0.0">
                  <c:v>112.3</c:v>
                </c:pt>
                <c:pt idx="49" formatCode="0.0">
                  <c:v>112</c:v>
                </c:pt>
                <c:pt idx="50" formatCode="0.0">
                  <c:v>112.8</c:v>
                </c:pt>
                <c:pt idx="51" formatCode="0.0">
                  <c:v>112.5</c:v>
                </c:pt>
                <c:pt idx="52" formatCode="0.0">
                  <c:v>113.8</c:v>
                </c:pt>
                <c:pt idx="53" formatCode="0.0">
                  <c:v>113</c:v>
                </c:pt>
                <c:pt idx="54" formatCode="0.0">
                  <c:v>111.8</c:v>
                </c:pt>
                <c:pt idx="55" formatCode="0.0">
                  <c:v>110.3</c:v>
                </c:pt>
                <c:pt idx="56" formatCode="0.0">
                  <c:v>111</c:v>
                </c:pt>
                <c:pt idx="57" formatCode="0.0">
                  <c:v>112</c:v>
                </c:pt>
                <c:pt idx="58" formatCode="0.0">
                  <c:v>106.9</c:v>
                </c:pt>
                <c:pt idx="59" formatCode="0.0">
                  <c:v>109.2</c:v>
                </c:pt>
                <c:pt idx="60" formatCode="0.0">
                  <c:v>109.2</c:v>
                </c:pt>
                <c:pt idx="61" formatCode="0.0">
                  <c:v>106.4</c:v>
                </c:pt>
                <c:pt idx="62" formatCode="0.0">
                  <c:v>104.6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B3-489C-BFEF-01D54DD4E9E8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2'!$A$30:$B$92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'souhrnná výkonnost 2'!$F$30:$F$92</c:f>
              <c:numCache>
                <c:formatCode>###\ ###\ ##0.0</c:formatCode>
                <c:ptCount val="63"/>
                <c:pt idx="0">
                  <c:v>91.3</c:v>
                </c:pt>
                <c:pt idx="1">
                  <c:v>91.2</c:v>
                </c:pt>
                <c:pt idx="2">
                  <c:v>92.4</c:v>
                </c:pt>
                <c:pt idx="3">
                  <c:v>92.6</c:v>
                </c:pt>
                <c:pt idx="4">
                  <c:v>92.6</c:v>
                </c:pt>
                <c:pt idx="5">
                  <c:v>93.6</c:v>
                </c:pt>
                <c:pt idx="6" formatCode="###\ ###\ ##0">
                  <c:v>93</c:v>
                </c:pt>
                <c:pt idx="7">
                  <c:v>93.4</c:v>
                </c:pt>
                <c:pt idx="8">
                  <c:v>93.7</c:v>
                </c:pt>
                <c:pt idx="9">
                  <c:v>94.1</c:v>
                </c:pt>
                <c:pt idx="10">
                  <c:v>95.2</c:v>
                </c:pt>
                <c:pt idx="11">
                  <c:v>96.5</c:v>
                </c:pt>
                <c:pt idx="12">
                  <c:v>96.4</c:v>
                </c:pt>
                <c:pt idx="13">
                  <c:v>95.5</c:v>
                </c:pt>
                <c:pt idx="14">
                  <c:v>95.1</c:v>
                </c:pt>
                <c:pt idx="15">
                  <c:v>95.1</c:v>
                </c:pt>
                <c:pt idx="16">
                  <c:v>95.5</c:v>
                </c:pt>
                <c:pt idx="17" formatCode="###\ ###\ ##0">
                  <c:v>97</c:v>
                </c:pt>
                <c:pt idx="18">
                  <c:v>96.1</c:v>
                </c:pt>
                <c:pt idx="19">
                  <c:v>95.7</c:v>
                </c:pt>
                <c:pt idx="20">
                  <c:v>95.9</c:v>
                </c:pt>
                <c:pt idx="21">
                  <c:v>95.1</c:v>
                </c:pt>
                <c:pt idx="22" formatCode="###\ ###\ ##0">
                  <c:v>96</c:v>
                </c:pt>
                <c:pt idx="23">
                  <c:v>96.5</c:v>
                </c:pt>
                <c:pt idx="24" formatCode="0.0">
                  <c:v>98.4</c:v>
                </c:pt>
                <c:pt idx="25" formatCode="0.0">
                  <c:v>97.1</c:v>
                </c:pt>
                <c:pt idx="26" formatCode="0.0">
                  <c:v>96.7</c:v>
                </c:pt>
                <c:pt idx="27" formatCode="0.0">
                  <c:v>95.6</c:v>
                </c:pt>
                <c:pt idx="28" formatCode="0.0">
                  <c:v>96</c:v>
                </c:pt>
                <c:pt idx="29" formatCode="0.0">
                  <c:v>95.3</c:v>
                </c:pt>
                <c:pt idx="30" formatCode="0.0">
                  <c:v>95.4</c:v>
                </c:pt>
                <c:pt idx="31" formatCode="0.0">
                  <c:v>96.8</c:v>
                </c:pt>
                <c:pt idx="32" formatCode="0.0">
                  <c:v>97.1</c:v>
                </c:pt>
                <c:pt idx="33" formatCode="0.0">
                  <c:v>97.5</c:v>
                </c:pt>
                <c:pt idx="34" formatCode="0.0">
                  <c:v>99.3</c:v>
                </c:pt>
                <c:pt idx="35" formatCode="0.0">
                  <c:v>99.1</c:v>
                </c:pt>
                <c:pt idx="36" formatCode="0.0">
                  <c:v>99.2</c:v>
                </c:pt>
                <c:pt idx="37" formatCode="0.0">
                  <c:v>98</c:v>
                </c:pt>
                <c:pt idx="38" formatCode="0.0">
                  <c:v>96.6</c:v>
                </c:pt>
                <c:pt idx="39" formatCode="0.0">
                  <c:v>97.4</c:v>
                </c:pt>
                <c:pt idx="40" formatCode="0.0">
                  <c:v>97.2</c:v>
                </c:pt>
                <c:pt idx="41" formatCode="0.0">
                  <c:v>97.1</c:v>
                </c:pt>
                <c:pt idx="42" formatCode="0.0">
                  <c:v>97.7</c:v>
                </c:pt>
                <c:pt idx="43" formatCode="0.0">
                  <c:v>98.7</c:v>
                </c:pt>
                <c:pt idx="44" formatCode="0.0">
                  <c:v>99.1</c:v>
                </c:pt>
                <c:pt idx="45" formatCode="0.0">
                  <c:v>99.3</c:v>
                </c:pt>
                <c:pt idx="46" formatCode="0.0">
                  <c:v>99</c:v>
                </c:pt>
                <c:pt idx="47" formatCode="0.0">
                  <c:v>99.6</c:v>
                </c:pt>
                <c:pt idx="48" formatCode="0.0">
                  <c:v>99.5</c:v>
                </c:pt>
                <c:pt idx="49" formatCode="0.0">
                  <c:v>99.9</c:v>
                </c:pt>
                <c:pt idx="50" formatCode="0.0">
                  <c:v>99.7</c:v>
                </c:pt>
                <c:pt idx="51" formatCode="0.0">
                  <c:v>100.1</c:v>
                </c:pt>
                <c:pt idx="52" formatCode="0.0">
                  <c:v>99.2</c:v>
                </c:pt>
                <c:pt idx="53" formatCode="0.0">
                  <c:v>100</c:v>
                </c:pt>
                <c:pt idx="54" formatCode="0.0">
                  <c:v>98.7</c:v>
                </c:pt>
                <c:pt idx="55" formatCode="0.0">
                  <c:v>99.1</c:v>
                </c:pt>
                <c:pt idx="56" formatCode="0.0">
                  <c:v>99.6</c:v>
                </c:pt>
                <c:pt idx="57" formatCode="0.0">
                  <c:v>99.8</c:v>
                </c:pt>
                <c:pt idx="58" formatCode="0.0">
                  <c:v>99.3</c:v>
                </c:pt>
                <c:pt idx="59" formatCode="0.0">
                  <c:v>98.6</c:v>
                </c:pt>
                <c:pt idx="60" formatCode="0.0">
                  <c:v>98</c:v>
                </c:pt>
                <c:pt idx="61" formatCode="0.0">
                  <c:v>98.2</c:v>
                </c:pt>
                <c:pt idx="62" formatCode="0.0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B3-489C-BFEF-01D54DD4E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518912"/>
        <c:axId val="268520448"/>
      </c:lineChart>
      <c:catAx>
        <c:axId val="2685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68520448"/>
        <c:crossesAt val="100"/>
        <c:auto val="1"/>
        <c:lblAlgn val="ctr"/>
        <c:lblOffset val="100"/>
        <c:noMultiLvlLbl val="0"/>
      </c:catAx>
      <c:valAx>
        <c:axId val="268520448"/>
        <c:scaling>
          <c:orientation val="minMax"/>
          <c:min val="7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8518912"/>
        <c:crosses val="autoZero"/>
        <c:crossBetween val="between"/>
        <c:majorUnit val="5"/>
      </c:valAx>
      <c:valAx>
        <c:axId val="26853452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8536064"/>
        <c:crosses val="max"/>
        <c:crossBetween val="between"/>
        <c:majorUnit val="1"/>
      </c:valAx>
      <c:catAx>
        <c:axId val="268536064"/>
        <c:scaling>
          <c:orientation val="minMax"/>
        </c:scaling>
        <c:delete val="1"/>
        <c:axPos val="b"/>
        <c:majorTickMark val="out"/>
        <c:minorTickMark val="none"/>
        <c:tickLblPos val="none"/>
        <c:crossAx val="268534528"/>
        <c:crossesAt val="0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5142"/>
          <c:w val="0.88075331324325201"/>
          <c:h val="8.264578408195417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3'!$D$14:$D$34</c:f>
              <c:numCache>
                <c:formatCode>#\ ##0.0</c:formatCode>
                <c:ptCount val="21"/>
                <c:pt idx="0">
                  <c:v>-0.34634066091739607</c:v>
                </c:pt>
                <c:pt idx="1">
                  <c:v>1.9385986465040451E-2</c:v>
                </c:pt>
                <c:pt idx="2">
                  <c:v>0.6409759581575154</c:v>
                </c:pt>
                <c:pt idx="3">
                  <c:v>1.1222751214521565</c:v>
                </c:pt>
                <c:pt idx="4">
                  <c:v>0.95324800193997639</c:v>
                </c:pt>
                <c:pt idx="5">
                  <c:v>0.87834008534043184</c:v>
                </c:pt>
                <c:pt idx="6">
                  <c:v>0.98282233736482061</c:v>
                </c:pt>
                <c:pt idx="7">
                  <c:v>1.2011732247886713</c:v>
                </c:pt>
                <c:pt idx="8">
                  <c:v>0.93830506590305751</c:v>
                </c:pt>
                <c:pt idx="9">
                  <c:v>1.0153624426824208</c:v>
                </c:pt>
                <c:pt idx="10">
                  <c:v>1.2128070502408641</c:v>
                </c:pt>
                <c:pt idx="11">
                  <c:v>1.1229514324692931</c:v>
                </c:pt>
                <c:pt idx="12">
                  <c:v>1.9458738005336886</c:v>
                </c:pt>
                <c:pt idx="13">
                  <c:v>2.2652735745102026</c:v>
                </c:pt>
                <c:pt idx="14">
                  <c:v>2.0895125347925299</c:v>
                </c:pt>
                <c:pt idx="15">
                  <c:v>1.9257383607728384</c:v>
                </c:pt>
                <c:pt idx="16">
                  <c:v>1.4881260977680475</c:v>
                </c:pt>
                <c:pt idx="17">
                  <c:v>1.0675441122268532</c:v>
                </c:pt>
                <c:pt idx="18">
                  <c:v>0.81890767828324396</c:v>
                </c:pt>
                <c:pt idx="19">
                  <c:v>0.55650371954350941</c:v>
                </c:pt>
                <c:pt idx="20">
                  <c:v>1.1114491676995903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5-4DE9-AB9F-3C284B19BBA1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3'!$E$14:$E$34</c:f>
              <c:numCache>
                <c:formatCode>#\ ##0.0</c:formatCode>
                <c:ptCount val="21"/>
                <c:pt idx="0">
                  <c:v>0.1647650452266268</c:v>
                </c:pt>
                <c:pt idx="1">
                  <c:v>0.35920558983442286</c:v>
                </c:pt>
                <c:pt idx="2">
                  <c:v>3.375533070618371E-3</c:v>
                </c:pt>
                <c:pt idx="3">
                  <c:v>0.43296248055129644</c:v>
                </c:pt>
                <c:pt idx="4">
                  <c:v>0.38860653049012461</c:v>
                </c:pt>
                <c:pt idx="5">
                  <c:v>0.42050971602096776</c:v>
                </c:pt>
                <c:pt idx="6">
                  <c:v>0.6826406447636606</c:v>
                </c:pt>
                <c:pt idx="7">
                  <c:v>0.4517370628889108</c:v>
                </c:pt>
                <c:pt idx="8">
                  <c:v>0.43519225643702975</c:v>
                </c:pt>
                <c:pt idx="9">
                  <c:v>0.57425071934076943</c:v>
                </c:pt>
                <c:pt idx="10">
                  <c:v>0.47033661242885427</c:v>
                </c:pt>
                <c:pt idx="11">
                  <c:v>0.44566852961049669</c:v>
                </c:pt>
                <c:pt idx="12">
                  <c:v>0.39517296657767198</c:v>
                </c:pt>
                <c:pt idx="13">
                  <c:v>0.24462460795774524</c:v>
                </c:pt>
                <c:pt idx="14">
                  <c:v>0.15366770388227927</c:v>
                </c:pt>
                <c:pt idx="15">
                  <c:v>0.18391952152497579</c:v>
                </c:pt>
                <c:pt idx="16">
                  <c:v>0.54550447043147099</c:v>
                </c:pt>
                <c:pt idx="17">
                  <c:v>0.51370778971567932</c:v>
                </c:pt>
                <c:pt idx="18">
                  <c:v>0.94751377139279147</c:v>
                </c:pt>
                <c:pt idx="19">
                  <c:v>0.65511131399105382</c:v>
                </c:pt>
                <c:pt idx="20">
                  <c:v>0.64858388214134044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C5-4DE9-AB9F-3C284B19BBA1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3'!$G$14:$G$34</c:f>
              <c:numCache>
                <c:formatCode>#\ ##0.0</c:formatCode>
                <c:ptCount val="21"/>
                <c:pt idx="0">
                  <c:v>3.1093775840910038E-3</c:v>
                </c:pt>
                <c:pt idx="1">
                  <c:v>1.7228402322588214</c:v>
                </c:pt>
                <c:pt idx="2">
                  <c:v>1.2740748429655091</c:v>
                </c:pt>
                <c:pt idx="3">
                  <c:v>0.34209608794035873</c:v>
                </c:pt>
                <c:pt idx="4">
                  <c:v>3.0940088082175081</c:v>
                </c:pt>
                <c:pt idx="5">
                  <c:v>3.9603163536228365</c:v>
                </c:pt>
                <c:pt idx="6">
                  <c:v>2.4230101905838697</c:v>
                </c:pt>
                <c:pt idx="7">
                  <c:v>1.1383788063935325</c:v>
                </c:pt>
                <c:pt idx="8">
                  <c:v>0.69863508777302097</c:v>
                </c:pt>
                <c:pt idx="9">
                  <c:v>-1.3723494139423089</c:v>
                </c:pt>
                <c:pt idx="10">
                  <c:v>-0.97881672565525746</c:v>
                </c:pt>
                <c:pt idx="11">
                  <c:v>-0.61772712880566016</c:v>
                </c:pt>
                <c:pt idx="12">
                  <c:v>-0.91202695306872372</c:v>
                </c:pt>
                <c:pt idx="13">
                  <c:v>0.39448109649743185</c:v>
                </c:pt>
                <c:pt idx="14">
                  <c:v>1.7505503340288129</c:v>
                </c:pt>
                <c:pt idx="15">
                  <c:v>2.1128152209543964</c:v>
                </c:pt>
                <c:pt idx="16">
                  <c:v>1.6984263061874072</c:v>
                </c:pt>
                <c:pt idx="17">
                  <c:v>0.45203283554029289</c:v>
                </c:pt>
                <c:pt idx="18">
                  <c:v>0.58344926381093754</c:v>
                </c:pt>
                <c:pt idx="19">
                  <c:v>0.45092159032701057</c:v>
                </c:pt>
                <c:pt idx="20">
                  <c:v>0.22747416208169488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C5-4DE9-AB9F-3C284B19BBA1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3'!$F$14:$F$34</c:f>
              <c:numCache>
                <c:formatCode>#\ ##0.0</c:formatCode>
                <c:ptCount val="21"/>
                <c:pt idx="0">
                  <c:v>1.7889130945120968</c:v>
                </c:pt>
                <c:pt idx="1">
                  <c:v>0.28187217433750344</c:v>
                </c:pt>
                <c:pt idx="2">
                  <c:v>1.4439285779814037</c:v>
                </c:pt>
                <c:pt idx="3">
                  <c:v>1.4927511797532684</c:v>
                </c:pt>
                <c:pt idx="4">
                  <c:v>0.84168612845165525</c:v>
                </c:pt>
                <c:pt idx="5">
                  <c:v>0.57781958996686633</c:v>
                </c:pt>
                <c:pt idx="6">
                  <c:v>1.5186993594783789</c:v>
                </c:pt>
                <c:pt idx="7">
                  <c:v>2.1434487917698908</c:v>
                </c:pt>
                <c:pt idx="8">
                  <c:v>1.4573635285701187</c:v>
                </c:pt>
                <c:pt idx="9">
                  <c:v>2.1300532057503894</c:v>
                </c:pt>
                <c:pt idx="10">
                  <c:v>0.94178716932770379</c:v>
                </c:pt>
                <c:pt idx="11">
                  <c:v>0.8164685092271653</c:v>
                </c:pt>
                <c:pt idx="12">
                  <c:v>1.4723667997214176</c:v>
                </c:pt>
                <c:pt idx="13">
                  <c:v>2.0147147493291326</c:v>
                </c:pt>
                <c:pt idx="14">
                  <c:v>1.1771214609805769</c:v>
                </c:pt>
                <c:pt idx="15">
                  <c:v>0.82510354577362399</c:v>
                </c:pt>
                <c:pt idx="16">
                  <c:v>0.42306699851593299</c:v>
                </c:pt>
                <c:pt idx="17">
                  <c:v>0.27839160380563577</c:v>
                </c:pt>
                <c:pt idx="18">
                  <c:v>2.2037511208119476E-2</c:v>
                </c:pt>
                <c:pt idx="19">
                  <c:v>0.91623432653373937</c:v>
                </c:pt>
                <c:pt idx="20">
                  <c:v>0.5781786021030908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C5-4DE9-AB9F-3C284B19B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3'!$C$14:$C$34</c:f>
              <c:numCache>
                <c:formatCode>#\ ##0.0</c:formatCode>
                <c:ptCount val="21"/>
                <c:pt idx="0">
                  <c:v>1.5996926444217838</c:v>
                </c:pt>
                <c:pt idx="1">
                  <c:v>2.4019552100365242</c:v>
                </c:pt>
                <c:pt idx="2">
                  <c:v>3.4030564515715609</c:v>
                </c:pt>
                <c:pt idx="3">
                  <c:v>3.4380052076485548</c:v>
                </c:pt>
                <c:pt idx="4">
                  <c:v>5.2550726107844561</c:v>
                </c:pt>
                <c:pt idx="5">
                  <c:v>5.7987847820088794</c:v>
                </c:pt>
                <c:pt idx="6">
                  <c:v>5.570766922533239</c:v>
                </c:pt>
                <c:pt idx="7">
                  <c:v>4.9148252973920021</c:v>
                </c:pt>
                <c:pt idx="8">
                  <c:v>3.5623906099722102</c:v>
                </c:pt>
                <c:pt idx="9">
                  <c:v>2.4146777549828156</c:v>
                </c:pt>
                <c:pt idx="10">
                  <c:v>1.6940486553423915</c:v>
                </c:pt>
                <c:pt idx="11">
                  <c:v>1.8037525372218224</c:v>
                </c:pt>
                <c:pt idx="12">
                  <c:v>2.951494542529185</c:v>
                </c:pt>
                <c:pt idx="13">
                  <c:v>4.9632301254937214</c:v>
                </c:pt>
                <c:pt idx="14">
                  <c:v>5.1967259795663656</c:v>
                </c:pt>
                <c:pt idx="15">
                  <c:v>5.0477771937091704</c:v>
                </c:pt>
                <c:pt idx="16">
                  <c:v>4.173093702844624</c:v>
                </c:pt>
                <c:pt idx="17">
                  <c:v>2.3330884450051057</c:v>
                </c:pt>
                <c:pt idx="18">
                  <c:v>2.4206665898534574</c:v>
                </c:pt>
                <c:pt idx="19">
                  <c:v>2.6092635188831483</c:v>
                </c:pt>
                <c:pt idx="20">
                  <c:v>2.582408769149541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C5-4DE9-AB9F-3C284B19B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4'!$C$14:$C$34</c:f>
              <c:numCache>
                <c:formatCode>#\ ##0.0</c:formatCode>
                <c:ptCount val="21"/>
                <c:pt idx="0">
                  <c:v>0.10484022899366492</c:v>
                </c:pt>
                <c:pt idx="1">
                  <c:v>0.23303189360207813</c:v>
                </c:pt>
                <c:pt idx="2">
                  <c:v>0.28109723711472029</c:v>
                </c:pt>
                <c:pt idx="3">
                  <c:v>0.24717682951386641</c:v>
                </c:pt>
                <c:pt idx="4">
                  <c:v>0.26823173927838584</c:v>
                </c:pt>
                <c:pt idx="5">
                  <c:v>0.14948544343377107</c:v>
                </c:pt>
                <c:pt idx="6">
                  <c:v>9.4306850455799285E-2</c:v>
                </c:pt>
                <c:pt idx="7">
                  <c:v>9.406314403563476E-2</c:v>
                </c:pt>
                <c:pt idx="8">
                  <c:v>1.5298427987703245E-2</c:v>
                </c:pt>
                <c:pt idx="9">
                  <c:v>0.12019796922604381</c:v>
                </c:pt>
                <c:pt idx="10">
                  <c:v>0.11238136571352417</c:v>
                </c:pt>
                <c:pt idx="11">
                  <c:v>8.4281943656207142E-2</c:v>
                </c:pt>
                <c:pt idx="12">
                  <c:v>1.5223476963877533E-2</c:v>
                </c:pt>
                <c:pt idx="13">
                  <c:v>-7.4308208257119993E-2</c:v>
                </c:pt>
                <c:pt idx="14">
                  <c:v>-0.1100961441944634</c:v>
                </c:pt>
                <c:pt idx="15">
                  <c:v>-0.10583189318283943</c:v>
                </c:pt>
                <c:pt idx="16">
                  <c:v>-9.6175516921183909E-2</c:v>
                </c:pt>
                <c:pt idx="17">
                  <c:v>-8.2697567528778285E-2</c:v>
                </c:pt>
                <c:pt idx="18">
                  <c:v>-5.2133372629545101E-2</c:v>
                </c:pt>
                <c:pt idx="19">
                  <c:v>-3.0840123914441336E-2</c:v>
                </c:pt>
                <c:pt idx="20">
                  <c:v>-0.13744472183559148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9-4CFB-A8E1-231A89FF699F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4'!$D$14:$D$34</c:f>
              <c:numCache>
                <c:formatCode>#\ ##0.0</c:formatCode>
                <c:ptCount val="21"/>
                <c:pt idx="0">
                  <c:v>0.42074322312377188</c:v>
                </c:pt>
                <c:pt idx="1">
                  <c:v>1.1868852285094129</c:v>
                </c:pt>
                <c:pt idx="2">
                  <c:v>1.9567554935777904</c:v>
                </c:pt>
                <c:pt idx="3">
                  <c:v>2.5583690194642501</c:v>
                </c:pt>
                <c:pt idx="4">
                  <c:v>2.0456114828451173</c:v>
                </c:pt>
                <c:pt idx="5">
                  <c:v>1.6702996907805565</c:v>
                </c:pt>
                <c:pt idx="6">
                  <c:v>1.3766545744913377</c:v>
                </c:pt>
                <c:pt idx="7">
                  <c:v>0.74581262523505754</c:v>
                </c:pt>
                <c:pt idx="8">
                  <c:v>1.0172208499984978</c:v>
                </c:pt>
                <c:pt idx="9">
                  <c:v>0.54073292742156021</c:v>
                </c:pt>
                <c:pt idx="10">
                  <c:v>0.74515782437277844</c:v>
                </c:pt>
                <c:pt idx="11">
                  <c:v>1.1608262664011106</c:v>
                </c:pt>
                <c:pt idx="12">
                  <c:v>1.9829195456844466</c:v>
                </c:pt>
                <c:pt idx="13">
                  <c:v>3.383770141372497</c:v>
                </c:pt>
                <c:pt idx="14">
                  <c:v>3.5515728725029971</c:v>
                </c:pt>
                <c:pt idx="15">
                  <c:v>3.0210161964588012</c:v>
                </c:pt>
                <c:pt idx="16">
                  <c:v>2.0137679207503414</c:v>
                </c:pt>
                <c:pt idx="17">
                  <c:v>0.66622462938564431</c:v>
                </c:pt>
                <c:pt idx="18">
                  <c:v>0.3291777621029372</c:v>
                </c:pt>
                <c:pt idx="19">
                  <c:v>0.70264809520849181</c:v>
                </c:pt>
                <c:pt idx="20">
                  <c:v>0.66255947063512111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79-4CFB-A8E1-231A89FF699F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4'!$E$14:$E$34</c:f>
              <c:numCache>
                <c:formatCode>#\ ##0.0</c:formatCode>
                <c:ptCount val="21"/>
                <c:pt idx="0">
                  <c:v>0.37424666108654747</c:v>
                </c:pt>
                <c:pt idx="1">
                  <c:v>0.10237488857645771</c:v>
                </c:pt>
                <c:pt idx="2">
                  <c:v>-0.10556119406722497</c:v>
                </c:pt>
                <c:pt idx="3">
                  <c:v>-0.159619194225185</c:v>
                </c:pt>
                <c:pt idx="4">
                  <c:v>-0.12486694839002821</c:v>
                </c:pt>
                <c:pt idx="5">
                  <c:v>9.7685740381325825E-3</c:v>
                </c:pt>
                <c:pt idx="6">
                  <c:v>1.8886282982711888E-2</c:v>
                </c:pt>
                <c:pt idx="7">
                  <c:v>-0.11860623658777791</c:v>
                </c:pt>
                <c:pt idx="8">
                  <c:v>-0.46095331826814501</c:v>
                </c:pt>
                <c:pt idx="9">
                  <c:v>-0.29612577965425507</c:v>
                </c:pt>
                <c:pt idx="10">
                  <c:v>-0.38011145584839146</c:v>
                </c:pt>
                <c:pt idx="11">
                  <c:v>-0.15646644139843158</c:v>
                </c:pt>
                <c:pt idx="12">
                  <c:v>7.4826037810895807E-2</c:v>
                </c:pt>
                <c:pt idx="13">
                  <c:v>-4.1125865248032412E-2</c:v>
                </c:pt>
                <c:pt idx="14">
                  <c:v>0.12800220372520066</c:v>
                </c:pt>
                <c:pt idx="15">
                  <c:v>-2.0745047871292055E-2</c:v>
                </c:pt>
                <c:pt idx="16">
                  <c:v>-0.15357188510659681</c:v>
                </c:pt>
                <c:pt idx="17">
                  <c:v>-6.128742347202365E-2</c:v>
                </c:pt>
                <c:pt idx="18" formatCode="General">
                  <c:v>0.19908837402785978</c:v>
                </c:pt>
                <c:pt idx="19" formatCode="General">
                  <c:v>4.8852459356656386E-2</c:v>
                </c:pt>
                <c:pt idx="20" formatCode="General">
                  <c:v>0.11058319722484089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79-4CFB-A8E1-231A89FF699F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4'!$F$14:$F$34</c:f>
              <c:numCache>
                <c:formatCode>#\ ##0.0</c:formatCode>
                <c:ptCount val="21"/>
                <c:pt idx="0">
                  <c:v>0.20523242964120858</c:v>
                </c:pt>
                <c:pt idx="1">
                  <c:v>8.0476659503907658E-2</c:v>
                </c:pt>
                <c:pt idx="2">
                  <c:v>3.4966330205502577E-2</c:v>
                </c:pt>
                <c:pt idx="3">
                  <c:v>0.13500830058584118</c:v>
                </c:pt>
                <c:pt idx="4">
                  <c:v>0.12988031583912305</c:v>
                </c:pt>
                <c:pt idx="5">
                  <c:v>0.27364277251097802</c:v>
                </c:pt>
                <c:pt idx="6">
                  <c:v>0.34260174976950719</c:v>
                </c:pt>
                <c:pt idx="7">
                  <c:v>0.14326265942419522</c:v>
                </c:pt>
                <c:pt idx="8">
                  <c:v>-2.8321751396452415E-2</c:v>
                </c:pt>
                <c:pt idx="9">
                  <c:v>-0.2266549076208873</c:v>
                </c:pt>
                <c:pt idx="10">
                  <c:v>-0.33919566041548832</c:v>
                </c:pt>
                <c:pt idx="11">
                  <c:v>-0.26185884641425</c:v>
                </c:pt>
                <c:pt idx="12">
                  <c:v>-0.2919792752497829</c:v>
                </c:pt>
                <c:pt idx="13">
                  <c:v>-0.12429976252850211</c:v>
                </c:pt>
                <c:pt idx="14">
                  <c:v>-5.2539251264632304E-2</c:v>
                </c:pt>
                <c:pt idx="15">
                  <c:v>-4.7966155185397485E-2</c:v>
                </c:pt>
                <c:pt idx="16">
                  <c:v>0.3114102439175494</c:v>
                </c:pt>
                <c:pt idx="17">
                  <c:v>0.32113458224110519</c:v>
                </c:pt>
                <c:pt idx="18">
                  <c:v>0.37100033890891621</c:v>
                </c:pt>
                <c:pt idx="19">
                  <c:v>0.41593413132016765</c:v>
                </c:pt>
                <c:pt idx="20">
                  <c:v>0.17336007771232934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79-4CFB-A8E1-231A89FF699F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4'!$G$14:$G$34</c:f>
              <c:numCache>
                <c:formatCode>#\ ##0.0</c:formatCode>
                <c:ptCount val="21"/>
                <c:pt idx="0">
                  <c:v>1.2015462411733087</c:v>
                </c:pt>
                <c:pt idx="1">
                  <c:v>1.3618962066899474</c:v>
                </c:pt>
                <c:pt idx="2">
                  <c:v>1.6305753628128847</c:v>
                </c:pt>
                <c:pt idx="3">
                  <c:v>1.7371534802280579</c:v>
                </c:pt>
                <c:pt idx="4">
                  <c:v>2.3293944432592837</c:v>
                </c:pt>
                <c:pt idx="5">
                  <c:v>2.9607261994462402</c:v>
                </c:pt>
                <c:pt idx="6">
                  <c:v>3.3104809685977723</c:v>
                </c:pt>
                <c:pt idx="7">
                  <c:v>3.5102997095503525</c:v>
                </c:pt>
                <c:pt idx="8">
                  <c:v>2.8263627195651684</c:v>
                </c:pt>
                <c:pt idx="9">
                  <c:v>2.1630843086592866</c:v>
                </c:pt>
                <c:pt idx="10">
                  <c:v>1.4107617066750833</c:v>
                </c:pt>
                <c:pt idx="11">
                  <c:v>1.1370846005544948</c:v>
                </c:pt>
                <c:pt idx="12">
                  <c:v>1.1261629003567881</c:v>
                </c:pt>
                <c:pt idx="13">
                  <c:v>1.7690458157205164</c:v>
                </c:pt>
                <c:pt idx="14">
                  <c:v>1.6362557113068485</c:v>
                </c:pt>
                <c:pt idx="15">
                  <c:v>1.9697866170629317</c:v>
                </c:pt>
                <c:pt idx="16">
                  <c:v>2.1403017798223356</c:v>
                </c:pt>
                <c:pt idx="17">
                  <c:v>1.5298196817016738</c:v>
                </c:pt>
                <c:pt idx="18" formatCode="General">
                  <c:v>1.7264141079794193</c:v>
                </c:pt>
                <c:pt idx="19" formatCode="General">
                  <c:v>1.782381230194525</c:v>
                </c:pt>
                <c:pt idx="20" formatCode="General">
                  <c:v>1.8364514559836973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79-4CFB-A8E1-231A89FF6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'souhrnná výkonnost 4'!$H$14:$H$34</c:f>
              <c:numCache>
                <c:formatCode>#\ ##0.0</c:formatCode>
                <c:ptCount val="21"/>
                <c:pt idx="0">
                  <c:v>2.3247275605985616</c:v>
                </c:pt>
                <c:pt idx="1">
                  <c:v>2.9677793446742413</c:v>
                </c:pt>
                <c:pt idx="2">
                  <c:v>3.7862627849497223</c:v>
                </c:pt>
                <c:pt idx="3">
                  <c:v>4.5085738953991772</c:v>
                </c:pt>
                <c:pt idx="4">
                  <c:v>4.6449632769544067</c:v>
                </c:pt>
                <c:pt idx="5">
                  <c:v>5.0617095222013688</c:v>
                </c:pt>
                <c:pt idx="6">
                  <c:v>5.1392793226927225</c:v>
                </c:pt>
                <c:pt idx="7">
                  <c:v>4.3837812230315532</c:v>
                </c:pt>
                <c:pt idx="8">
                  <c:v>3.3693001484089824</c:v>
                </c:pt>
                <c:pt idx="9">
                  <c:v>2.3056178950667725</c:v>
                </c:pt>
                <c:pt idx="10">
                  <c:v>1.5499257674343776</c:v>
                </c:pt>
                <c:pt idx="11">
                  <c:v>1.9589295741354551</c:v>
                </c:pt>
                <c:pt idx="12">
                  <c:v>2.9235011230373464</c:v>
                </c:pt>
                <c:pt idx="13">
                  <c:v>4.9159154362708826</c:v>
                </c:pt>
                <c:pt idx="14">
                  <c:v>5.1480576847178785</c:v>
                </c:pt>
                <c:pt idx="15">
                  <c:v>4.8024567059751302</c:v>
                </c:pt>
                <c:pt idx="16">
                  <c:v>4.2700649176535395</c:v>
                </c:pt>
                <c:pt idx="17">
                  <c:v>2.3810057022628865</c:v>
                </c:pt>
                <c:pt idx="18">
                  <c:v>2.5428073912595521</c:v>
                </c:pt>
                <c:pt idx="19">
                  <c:v>2.8892648851342244</c:v>
                </c:pt>
                <c:pt idx="20">
                  <c:v>2.6437636402698956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879-4CFB-A8E1-231A89FF6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1DD3-4109-461F-8499-2B9390219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A6976-3405-4C30-9B69-3C9C061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4</Pages>
  <Words>1165</Words>
  <Characters>6880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8029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2019-06-13T09:58:00Z</dcterms:created>
  <dcterms:modified xsi:type="dcterms:W3CDTF">2019-06-13T10:18:00Z</dcterms:modified>
</cp:coreProperties>
</file>