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90406" w14:textId="77777777" w:rsidR="0067514E" w:rsidRDefault="0067514E" w:rsidP="0067514E">
      <w:pPr>
        <w:pStyle w:val="Nadpis11"/>
      </w:pPr>
      <w:bookmarkStart w:id="0" w:name="_Toc37403647"/>
      <w:bookmarkStart w:id="1" w:name="_Toc26865023"/>
      <w:r w:rsidRPr="009110F7">
        <w:t>8</w:t>
      </w:r>
      <w:r>
        <w:t>. </w:t>
      </w:r>
      <w:r w:rsidRPr="009110F7">
        <w:t>Státní rozpočet</w:t>
      </w:r>
      <w:bookmarkEnd w:id="0"/>
    </w:p>
    <w:tbl>
      <w:tblPr>
        <w:tblW w:w="9669" w:type="dxa"/>
        <w:tblInd w:w="-20" w:type="dxa"/>
        <w:tblCellMar>
          <w:left w:w="0" w:type="dxa"/>
          <w:right w:w="0" w:type="dxa"/>
        </w:tblCellMar>
        <w:tblLook w:val="00A0" w:firstRow="1" w:lastRow="0" w:firstColumn="1" w:lastColumn="0" w:noHBand="0" w:noVBand="0"/>
      </w:tblPr>
      <w:tblGrid>
        <w:gridCol w:w="1732"/>
        <w:gridCol w:w="217"/>
        <w:gridCol w:w="7720"/>
      </w:tblGrid>
      <w:tr w:rsidR="0067514E" w:rsidRPr="003C07E6" w14:paraId="294B2488" w14:textId="77777777" w:rsidTr="008D1E0A">
        <w:trPr>
          <w:trHeight w:val="145"/>
        </w:trPr>
        <w:tc>
          <w:tcPr>
            <w:tcW w:w="1732" w:type="dxa"/>
            <w:shd w:val="clear" w:color="auto" w:fill="auto"/>
            <w:tcMar>
              <w:left w:w="0" w:type="dxa"/>
            </w:tcMar>
          </w:tcPr>
          <w:p w14:paraId="5CFC4A7F" w14:textId="77777777" w:rsidR="0067514E" w:rsidRDefault="0067514E" w:rsidP="008D1E0A">
            <w:pPr>
              <w:pStyle w:val="Marginlie"/>
            </w:pPr>
            <w:r>
              <w:t>Hospodaření státního rozpočtu se loni vrátilo k deficitu. Jeho saldo bylo nejhorší za poslední čtyři roky, ale lepší než za konjunktury minulé dekády.</w:t>
            </w:r>
          </w:p>
        </w:tc>
        <w:tc>
          <w:tcPr>
            <w:tcW w:w="217" w:type="dxa"/>
            <w:shd w:val="clear" w:color="auto" w:fill="auto"/>
            <w:tcMar>
              <w:left w:w="0" w:type="dxa"/>
            </w:tcMar>
          </w:tcPr>
          <w:p w14:paraId="55C2CEB1" w14:textId="77777777" w:rsidR="0067514E" w:rsidRDefault="0067514E" w:rsidP="008D1E0A">
            <w:pPr>
              <w:pStyle w:val="Textpoznpodarou"/>
              <w:jc w:val="both"/>
              <w:rPr>
                <w:spacing w:val="-4"/>
              </w:rPr>
            </w:pPr>
          </w:p>
        </w:tc>
        <w:tc>
          <w:tcPr>
            <w:tcW w:w="7720" w:type="dxa"/>
            <w:shd w:val="clear" w:color="auto" w:fill="auto"/>
            <w:tcMar>
              <w:left w:w="0" w:type="dxa"/>
            </w:tcMar>
          </w:tcPr>
          <w:p w14:paraId="2D802D00" w14:textId="77777777" w:rsidR="0067514E" w:rsidRPr="0067514E" w:rsidRDefault="0067514E" w:rsidP="008D1E0A">
            <w:pPr>
              <w:spacing w:after="220"/>
              <w:rPr>
                <w:spacing w:val="-6"/>
              </w:rPr>
            </w:pPr>
            <w:r w:rsidRPr="0067514E">
              <w:rPr>
                <w:spacing w:val="-6"/>
              </w:rPr>
              <w:t>V roce 2019 zaznamenal státní rozpočet (SR)</w:t>
            </w:r>
            <w:r w:rsidRPr="0067514E">
              <w:rPr>
                <w:rStyle w:val="Znakapoznpodarou"/>
                <w:spacing w:val="-6"/>
              </w:rPr>
              <w:footnoteReference w:id="1"/>
            </w:r>
            <w:r w:rsidRPr="0067514E">
              <w:rPr>
                <w:spacing w:val="-6"/>
              </w:rPr>
              <w:t xml:space="preserve"> schodek 28,5 mld. korun a docílil tak nejslabšího výsledku za poslední čtyři roky. Hloubka deficitu byla ale současně ve srovnání s průměrem za konjunkturní období minulé dekády (2003 až 2007) výrazně nižší (o 56 mld.). Za poklesem salda oproti roku 2018 (o 31,5 mld.) stály loni především svižný růst běžných i investičních výdajů a dále i mírné zpomalení dynamiky výběru některých váhově významných daní vlivem zvolnění hospodářského růstu. V menší míře působila také bilance toků ve vztahu k rozpočtu EU</w:t>
            </w:r>
            <w:r w:rsidRPr="0067514E">
              <w:rPr>
                <w:rStyle w:val="Znakapoznpodarou"/>
                <w:spacing w:val="-6"/>
              </w:rPr>
              <w:footnoteReference w:id="2"/>
            </w:r>
            <w:r w:rsidRPr="0067514E">
              <w:rPr>
                <w:spacing w:val="-6"/>
              </w:rPr>
              <w:t>.</w:t>
            </w:r>
          </w:p>
        </w:tc>
      </w:tr>
      <w:tr w:rsidR="0067514E" w:rsidRPr="003C07E6" w14:paraId="148CA1C0" w14:textId="77777777" w:rsidTr="008D1E0A">
        <w:trPr>
          <w:trHeight w:val="145"/>
        </w:trPr>
        <w:tc>
          <w:tcPr>
            <w:tcW w:w="1732" w:type="dxa"/>
            <w:shd w:val="clear" w:color="auto" w:fill="auto"/>
            <w:tcMar>
              <w:left w:w="0" w:type="dxa"/>
            </w:tcMar>
          </w:tcPr>
          <w:p w14:paraId="42C52C7B" w14:textId="77777777" w:rsidR="0067514E" w:rsidRDefault="0067514E" w:rsidP="008D1E0A">
            <w:pPr>
              <w:pStyle w:val="Marginlie"/>
            </w:pPr>
            <w:r>
              <w:t>Růst celkových příjmů SR táhly hlavně nedaňové a kapitálové příjmy. V souhrnném daňovém inkasu včetně pojistného se postupně projevoval vliv zpomalování růstu ekonomiky.</w:t>
            </w:r>
          </w:p>
        </w:tc>
        <w:tc>
          <w:tcPr>
            <w:tcW w:w="217" w:type="dxa"/>
            <w:shd w:val="clear" w:color="auto" w:fill="auto"/>
            <w:tcMar>
              <w:left w:w="0" w:type="dxa"/>
            </w:tcMar>
          </w:tcPr>
          <w:p w14:paraId="21483191" w14:textId="77777777" w:rsidR="0067514E" w:rsidRDefault="0067514E" w:rsidP="008D1E0A">
            <w:pPr>
              <w:pStyle w:val="Textpoznpodarou"/>
              <w:jc w:val="both"/>
              <w:rPr>
                <w:spacing w:val="-4"/>
              </w:rPr>
            </w:pPr>
          </w:p>
        </w:tc>
        <w:tc>
          <w:tcPr>
            <w:tcW w:w="7720" w:type="dxa"/>
            <w:shd w:val="clear" w:color="auto" w:fill="auto"/>
            <w:tcMar>
              <w:left w:w="0" w:type="dxa"/>
            </w:tcMar>
          </w:tcPr>
          <w:p w14:paraId="69A25B12" w14:textId="1C529D87" w:rsidR="0067514E" w:rsidRPr="0067514E" w:rsidRDefault="0067514E" w:rsidP="008D1E0A">
            <w:pPr>
              <w:spacing w:after="220"/>
              <w:rPr>
                <w:spacing w:val="-6"/>
              </w:rPr>
            </w:pPr>
            <w:r w:rsidRPr="0067514E">
              <w:rPr>
                <w:spacing w:val="-6"/>
              </w:rPr>
              <w:t>Meziroční růst příjmů SR (o 8,5 %, resp. 119,3 mld. korun) byl loni z více než třetiny saturován vyššími nedaňovými a kapitálovými příjmy a transfery, u nichž se projevil silnější příliv prostředků z rozpočtu EU (+6,7 mld. korun), plánovaný jednorázový převod z privatizačního účtu (18,0 mld.) i vyšší příjmy z prodeje emisních povolenek. Třetinou přispěl k vyšším celkovým rozpočtovým příjmům i výběr pojistného na sociální zabezpečení (+7,5 %), jen nepatrně menší roli měly daňové příjmy (+4,9 %). Výběr obou těchto položek ale mírně zaostal za rozpočtovým očekáváním, neboť zejména ve druhé polovině roku se projevil vliv zpomalení růstu ekonomiky. Na úrovni všech veřejných rozpočtů vzrostlo loni daňové inkaso (bez pojistného) nejslabším tempem za poslední čtyři roky (meziročně o 5,4 %, v samotném 2. pololetí o 5,0 %).</w:t>
            </w:r>
          </w:p>
        </w:tc>
      </w:tr>
      <w:tr w:rsidR="0067514E" w:rsidRPr="003C07E6" w14:paraId="61B071FE" w14:textId="77777777" w:rsidTr="008D1E0A">
        <w:trPr>
          <w:trHeight w:val="145"/>
        </w:trPr>
        <w:tc>
          <w:tcPr>
            <w:tcW w:w="1732" w:type="dxa"/>
            <w:shd w:val="clear" w:color="auto" w:fill="auto"/>
            <w:tcMar>
              <w:left w:w="0" w:type="dxa"/>
            </w:tcMar>
          </w:tcPr>
          <w:p w14:paraId="7225FEEA" w14:textId="77777777" w:rsidR="0067514E" w:rsidRDefault="0067514E" w:rsidP="008D1E0A">
            <w:pPr>
              <w:pStyle w:val="Marginlie"/>
            </w:pPr>
            <w:r>
              <w:t>Tempo růstu celostátního inkasa DPH loni oproti rokům 2017 i 2018 citelně zvolnilo a zůstalo i za rozpočtovým očekáváním.</w:t>
            </w:r>
          </w:p>
        </w:tc>
        <w:tc>
          <w:tcPr>
            <w:tcW w:w="217" w:type="dxa"/>
            <w:shd w:val="clear" w:color="auto" w:fill="auto"/>
            <w:tcMar>
              <w:left w:w="0" w:type="dxa"/>
            </w:tcMar>
          </w:tcPr>
          <w:p w14:paraId="36B151BE" w14:textId="77777777" w:rsidR="0067514E" w:rsidRDefault="0067514E" w:rsidP="008D1E0A">
            <w:pPr>
              <w:pStyle w:val="Textpoznpodarou"/>
              <w:jc w:val="both"/>
              <w:rPr>
                <w:spacing w:val="-4"/>
              </w:rPr>
            </w:pPr>
          </w:p>
        </w:tc>
        <w:tc>
          <w:tcPr>
            <w:tcW w:w="7720" w:type="dxa"/>
            <w:shd w:val="clear" w:color="auto" w:fill="auto"/>
            <w:tcMar>
              <w:left w:w="0" w:type="dxa"/>
            </w:tcMar>
          </w:tcPr>
          <w:p w14:paraId="4B99ADE1" w14:textId="77777777" w:rsidR="0067514E" w:rsidRPr="0067514E" w:rsidRDefault="0067514E" w:rsidP="008D1E0A">
            <w:pPr>
              <w:spacing w:after="220"/>
              <w:rPr>
                <w:spacing w:val="-6"/>
              </w:rPr>
            </w:pPr>
            <w:r w:rsidRPr="0067514E">
              <w:rPr>
                <w:spacing w:val="-6"/>
              </w:rPr>
              <w:t>Příjem SR z váhově nejvýznamnější daně – DPH – vzrostl loni o 4,4 % a podobně jako v roce 2018 nebylo rozpočtové očekávání naplněno. Z celostátního inkasa, ve kterém je eliminován vliv změn v rozpočtovém určení daně, plyne, že růstové tempo výběru DPH loni klesalo již druhým rokem v řadě a rovněž zaostávalo za dynamikou růstu nominálních výdajů na konečnou spotřebu domácností i vládních institucí.</w:t>
            </w:r>
          </w:p>
        </w:tc>
      </w:tr>
      <w:tr w:rsidR="0067514E" w:rsidRPr="003C07E6" w14:paraId="68F0270E" w14:textId="77777777" w:rsidTr="008D1E0A">
        <w:trPr>
          <w:trHeight w:val="145"/>
        </w:trPr>
        <w:tc>
          <w:tcPr>
            <w:tcW w:w="1732" w:type="dxa"/>
            <w:shd w:val="clear" w:color="auto" w:fill="auto"/>
            <w:tcMar>
              <w:left w:w="0" w:type="dxa"/>
            </w:tcMar>
          </w:tcPr>
          <w:p w14:paraId="491214A2" w14:textId="77777777" w:rsidR="0067514E" w:rsidRDefault="0067514E" w:rsidP="008D1E0A">
            <w:pPr>
              <w:pStyle w:val="Marginlie"/>
            </w:pPr>
            <w:r>
              <w:t>Nižší inkaso spotřební daně z tabákových výrobků bylo z velké části kompenzováno vyšším výběrem daně z minerálních olejů.</w:t>
            </w:r>
          </w:p>
        </w:tc>
        <w:tc>
          <w:tcPr>
            <w:tcW w:w="217" w:type="dxa"/>
            <w:shd w:val="clear" w:color="auto" w:fill="auto"/>
            <w:tcMar>
              <w:left w:w="0" w:type="dxa"/>
            </w:tcMar>
          </w:tcPr>
          <w:p w14:paraId="55AE7240" w14:textId="77777777" w:rsidR="0067514E" w:rsidRDefault="0067514E" w:rsidP="008D1E0A">
            <w:pPr>
              <w:pStyle w:val="Textpoznpodarou"/>
              <w:jc w:val="both"/>
              <w:rPr>
                <w:spacing w:val="-4"/>
              </w:rPr>
            </w:pPr>
          </w:p>
        </w:tc>
        <w:tc>
          <w:tcPr>
            <w:tcW w:w="7720" w:type="dxa"/>
            <w:shd w:val="clear" w:color="auto" w:fill="auto"/>
            <w:tcMar>
              <w:left w:w="0" w:type="dxa"/>
            </w:tcMar>
          </w:tcPr>
          <w:p w14:paraId="2061F491" w14:textId="77777777" w:rsidR="0067514E" w:rsidRPr="0067514E" w:rsidRDefault="0067514E" w:rsidP="008D1E0A">
            <w:pPr>
              <w:spacing w:after="220"/>
              <w:rPr>
                <w:spacing w:val="-6"/>
              </w:rPr>
            </w:pPr>
            <w:r w:rsidRPr="0067514E">
              <w:rPr>
                <w:spacing w:val="-6"/>
              </w:rPr>
              <w:t>Výběr všech spotřebních daní se v souladu s rozpočtovým očekáváním v roce 2019 meziročně velmi mírně snížil (o 0,2 %). Tento pokles byl téměř výhradně ovlivněn slabším inkasem daně z tabákových výrobků (–4,9 %), jejíž výběr kromě výkyvů vlivem předzásobení ovlivnil negativně zejména fakt, že</w:t>
            </w:r>
            <w:r w:rsidRPr="0067514E">
              <w:rPr>
                <w:iCs/>
                <w:spacing w:val="-6"/>
              </w:rPr>
              <w:t xml:space="preserve"> loni poprvé od roku 2011 nedošlo ke </w:t>
            </w:r>
            <w:r w:rsidRPr="0067514E">
              <w:rPr>
                <w:spacing w:val="-6"/>
              </w:rPr>
              <w:t>zvyšování sazby této daně. Výběr objemově nejvýznamnější spotřební daně – z minerálních olejů – vzrostl o 2,7 %. Projevily se vyšší přepravní výkony hlavně v osobní dopravě, což vyústilo ve vyšší spotřebu motorové nafty, benzínu a zejména leteckého petroleje</w:t>
            </w:r>
            <w:r w:rsidRPr="0067514E">
              <w:rPr>
                <w:rStyle w:val="Znakapoznpodarou"/>
                <w:spacing w:val="-6"/>
              </w:rPr>
              <w:footnoteReference w:id="3"/>
            </w:r>
            <w:r w:rsidRPr="0067514E">
              <w:rPr>
                <w:spacing w:val="-6"/>
              </w:rPr>
              <w:t>.</w:t>
            </w:r>
          </w:p>
        </w:tc>
      </w:tr>
      <w:tr w:rsidR="0067514E" w:rsidRPr="003C07E6" w14:paraId="5543DF28" w14:textId="77777777" w:rsidTr="008D1E0A">
        <w:trPr>
          <w:trHeight w:val="145"/>
        </w:trPr>
        <w:tc>
          <w:tcPr>
            <w:tcW w:w="1732" w:type="dxa"/>
            <w:shd w:val="clear" w:color="auto" w:fill="auto"/>
            <w:tcMar>
              <w:left w:w="0" w:type="dxa"/>
            </w:tcMar>
          </w:tcPr>
          <w:p w14:paraId="60172FC2" w14:textId="77777777" w:rsidR="0067514E" w:rsidRDefault="0067514E" w:rsidP="008D1E0A">
            <w:pPr>
              <w:pStyle w:val="Marginlie"/>
            </w:pPr>
            <w:r>
              <w:t>Dynamika výběru daně z příjmů fyzických osob ze závislé činnosti i přes mírné zvolnění dále rostla dvojciferným tempem.</w:t>
            </w:r>
          </w:p>
          <w:p w14:paraId="748FFFFD" w14:textId="77777777" w:rsidR="0067514E" w:rsidRDefault="0067514E" w:rsidP="008D1E0A">
            <w:pPr>
              <w:pStyle w:val="Marginlie"/>
            </w:pPr>
          </w:p>
          <w:p w14:paraId="535C76EF" w14:textId="77777777" w:rsidR="0067514E" w:rsidRDefault="0067514E" w:rsidP="008D1E0A">
            <w:pPr>
              <w:pStyle w:val="Marginlie"/>
            </w:pPr>
          </w:p>
          <w:p w14:paraId="1D4B8991" w14:textId="77777777" w:rsidR="0067514E" w:rsidRDefault="0067514E" w:rsidP="008D1E0A">
            <w:pPr>
              <w:pStyle w:val="Marginlie"/>
            </w:pPr>
          </w:p>
          <w:p w14:paraId="75E931E0" w14:textId="77777777" w:rsidR="0067514E" w:rsidRDefault="0067514E" w:rsidP="008D1E0A">
            <w:pPr>
              <w:pStyle w:val="Marginlie"/>
            </w:pPr>
            <w:r>
              <w:t>Objem inkasa korporátní daně poprvé překonal úroveň z vrcholu konjunktury minulé dekády.</w:t>
            </w:r>
          </w:p>
          <w:p w14:paraId="0E2B530B" w14:textId="77777777" w:rsidR="0067514E" w:rsidRDefault="0067514E" w:rsidP="008D1E0A">
            <w:pPr>
              <w:pStyle w:val="Marginlie"/>
            </w:pPr>
          </w:p>
        </w:tc>
        <w:tc>
          <w:tcPr>
            <w:tcW w:w="217" w:type="dxa"/>
            <w:shd w:val="clear" w:color="auto" w:fill="auto"/>
            <w:tcMar>
              <w:left w:w="0" w:type="dxa"/>
            </w:tcMar>
          </w:tcPr>
          <w:p w14:paraId="2F1D796E" w14:textId="77777777" w:rsidR="0067514E" w:rsidRDefault="0067514E" w:rsidP="008D1E0A">
            <w:pPr>
              <w:pStyle w:val="Textpoznpodarou"/>
              <w:jc w:val="both"/>
              <w:rPr>
                <w:spacing w:val="-4"/>
              </w:rPr>
            </w:pPr>
          </w:p>
        </w:tc>
        <w:tc>
          <w:tcPr>
            <w:tcW w:w="7720" w:type="dxa"/>
            <w:shd w:val="clear" w:color="auto" w:fill="auto"/>
            <w:tcMar>
              <w:left w:w="0" w:type="dxa"/>
            </w:tcMar>
          </w:tcPr>
          <w:p w14:paraId="18C83FCA" w14:textId="77777777" w:rsidR="0067514E" w:rsidRPr="0067514E" w:rsidRDefault="0067514E" w:rsidP="008D1E0A">
            <w:pPr>
              <w:spacing w:after="0"/>
              <w:rPr>
                <w:rFonts w:cs="Arial"/>
                <w:color w:val="000000" w:themeColor="text1"/>
                <w:spacing w:val="-6"/>
              </w:rPr>
            </w:pPr>
            <w:r w:rsidRPr="0067514E">
              <w:rPr>
                <w:spacing w:val="-6"/>
              </w:rPr>
              <w:t xml:space="preserve">Růst inkasa přímých daní byl již třetím rokem v řadě nejvíce tažen </w:t>
            </w:r>
            <w:r w:rsidRPr="0067514E">
              <w:rPr>
                <w:rFonts w:cs="Arial"/>
                <w:color w:val="000000" w:themeColor="text1"/>
                <w:spacing w:val="-6"/>
              </w:rPr>
              <w:t xml:space="preserve">daní z příjmů fyzických osob ze závislé činnosti. Její výběr na úrovni všech veřejných rozpočtů vzrostl loni meziročně o 11,7 % (v letech 2017 i 2018 se ale tempa pohybovala mezi 13 a 15 %). Toto zpomalení souvisí se slabší dynamikou zaměstnanosti i mírným zvolněním růstu průměrných mezd, které byly patrné především ve druhé polovině loňského roku. Svižný dvojciferný růst vykázaly v roce 2019 i další přímé daně – u fyzických osob z přiznání či z kapitálových výnosů. Projevovala se zde nadále silná domácí poptávka související především s vyšší kupní silou domácností. </w:t>
            </w:r>
            <w:r w:rsidRPr="0067514E">
              <w:rPr>
                <w:rFonts w:cs="Arial"/>
                <w:spacing w:val="-6"/>
              </w:rPr>
              <w:t>Celostátní inkaso korporátní daně po slabší dynamice v letech 2017 i 2018, ovlivněné hlavně sílícími mzdovými náklady, loni vzrostlo meziročně o 5,1 %. Objem inkasa v absolutní výši poprvé překonal předkrizovou úroveň (rok 2008)</w:t>
            </w:r>
            <w:r w:rsidRPr="0067514E">
              <w:rPr>
                <w:rStyle w:val="Znakapoznpodarou"/>
                <w:spacing w:val="-6"/>
              </w:rPr>
              <w:footnoteReference w:id="4"/>
            </w:r>
            <w:r w:rsidRPr="0067514E">
              <w:rPr>
                <w:rFonts w:cs="Arial"/>
                <w:spacing w:val="-6"/>
              </w:rPr>
              <w:t>. I přesto zůstalo loňské inkaso mírně za rozpočtovým očekáváním, obdobně jako u celkové daně z příjmů fyzických osob.</w:t>
            </w:r>
          </w:p>
        </w:tc>
      </w:tr>
      <w:tr w:rsidR="0067514E" w:rsidRPr="00F704D2" w14:paraId="3755558B" w14:textId="77777777" w:rsidTr="008D1E0A">
        <w:trPr>
          <w:trHeight w:val="170"/>
        </w:trPr>
        <w:tc>
          <w:tcPr>
            <w:tcW w:w="1732" w:type="dxa"/>
            <w:vMerge w:val="restart"/>
            <w:shd w:val="clear" w:color="auto" w:fill="auto"/>
            <w:tcMar>
              <w:left w:w="0" w:type="dxa"/>
            </w:tcMar>
          </w:tcPr>
          <w:p w14:paraId="27D4D2E8" w14:textId="77777777" w:rsidR="0067514E" w:rsidRDefault="0067514E" w:rsidP="008D1E0A">
            <w:pPr>
              <w:pStyle w:val="Marginlie"/>
            </w:pPr>
          </w:p>
        </w:tc>
        <w:tc>
          <w:tcPr>
            <w:tcW w:w="217" w:type="dxa"/>
            <w:vMerge w:val="restart"/>
            <w:shd w:val="clear" w:color="auto" w:fill="auto"/>
            <w:tcMar>
              <w:left w:w="0" w:type="dxa"/>
            </w:tcMar>
          </w:tcPr>
          <w:p w14:paraId="2AABCBCD" w14:textId="77777777" w:rsidR="0067514E" w:rsidRDefault="0067514E" w:rsidP="008D1E0A">
            <w:pPr>
              <w:pStyle w:val="Textpoznpodarou"/>
              <w:jc w:val="both"/>
              <w:rPr>
                <w:spacing w:val="-4"/>
              </w:rPr>
            </w:pPr>
          </w:p>
        </w:tc>
        <w:tc>
          <w:tcPr>
            <w:tcW w:w="7720" w:type="dxa"/>
            <w:shd w:val="clear" w:color="auto" w:fill="auto"/>
            <w:tcMar>
              <w:left w:w="0" w:type="dxa"/>
            </w:tcMar>
          </w:tcPr>
          <w:p w14:paraId="1BB62FD2" w14:textId="77777777" w:rsidR="0067514E" w:rsidRPr="0067514E" w:rsidRDefault="0067514E" w:rsidP="008D1E0A">
            <w:pPr>
              <w:spacing w:after="0" w:line="240" w:lineRule="auto"/>
              <w:rPr>
                <w:rFonts w:cs="Arial"/>
                <w:bCs/>
                <w:spacing w:val="-6"/>
              </w:rPr>
            </w:pPr>
            <w:r w:rsidRPr="003474B6">
              <w:rPr>
                <w:rFonts w:cs="Arial"/>
                <w:b/>
                <w:bCs/>
                <w:color w:val="000000"/>
                <w:spacing w:val="-2"/>
                <w:szCs w:val="20"/>
              </w:rPr>
              <w:t>Graf č. 16</w:t>
            </w:r>
            <w:r w:rsidRPr="003474B6">
              <w:rPr>
                <w:rFonts w:cs="Arial"/>
                <w:b/>
                <w:bCs/>
                <w:color w:val="000000"/>
                <w:spacing w:val="-2"/>
                <w:sz w:val="18"/>
                <w:szCs w:val="18"/>
              </w:rPr>
              <w:t xml:space="preserve">  </w:t>
            </w:r>
            <w:r w:rsidRPr="003474B6">
              <w:rPr>
                <w:rFonts w:cs="Arial"/>
                <w:b/>
                <w:bCs/>
                <w:spacing w:val="-2"/>
              </w:rPr>
              <w:t xml:space="preserve">Celostátní inkasa vybraných daňových příjmů </w:t>
            </w:r>
            <w:r w:rsidRPr="003474B6">
              <w:rPr>
                <w:rFonts w:cs="Arial"/>
                <w:bCs/>
                <w:spacing w:val="-2"/>
              </w:rPr>
              <w:t>(</w:t>
            </w:r>
            <w:r w:rsidRPr="003474B6">
              <w:rPr>
                <w:spacing w:val="-2"/>
              </w:rPr>
              <w:t>meziročně</w:t>
            </w:r>
            <w:r w:rsidRPr="003474B6">
              <w:rPr>
                <w:bCs/>
                <w:spacing w:val="-2"/>
              </w:rPr>
              <w:t xml:space="preserve"> v %)</w:t>
            </w:r>
            <w:r w:rsidRPr="003474B6">
              <w:rPr>
                <w:bCs/>
                <w:spacing w:val="-2"/>
              </w:rPr>
              <w:br/>
            </w:r>
            <w:r w:rsidRPr="003474B6">
              <w:rPr>
                <w:rFonts w:cs="Arial"/>
                <w:b/>
                <w:bCs/>
                <w:spacing w:val="-2"/>
              </w:rPr>
              <w:t>a saldo státního rozpočtu</w:t>
            </w:r>
            <w:r w:rsidRPr="0067514E">
              <w:rPr>
                <w:spacing w:val="-6"/>
              </w:rPr>
              <w:t xml:space="preserve"> </w:t>
            </w:r>
            <w:r w:rsidRPr="0067514E">
              <w:rPr>
                <w:rFonts w:cs="Arial"/>
                <w:bCs/>
                <w:spacing w:val="-6"/>
              </w:rPr>
              <w:t>(v mld. korun, roční kumulace)</w:t>
            </w:r>
          </w:p>
        </w:tc>
      </w:tr>
      <w:tr w:rsidR="0067514E" w14:paraId="12AD28E4" w14:textId="77777777" w:rsidTr="008D1E0A">
        <w:tblPrEx>
          <w:tblCellMar>
            <w:left w:w="70" w:type="dxa"/>
            <w:right w:w="70" w:type="dxa"/>
          </w:tblCellMar>
        </w:tblPrEx>
        <w:trPr>
          <w:trHeight w:val="170"/>
        </w:trPr>
        <w:tc>
          <w:tcPr>
            <w:tcW w:w="1732" w:type="dxa"/>
            <w:vMerge/>
            <w:shd w:val="clear" w:color="auto" w:fill="auto"/>
          </w:tcPr>
          <w:p w14:paraId="5FBF8F8F" w14:textId="77777777" w:rsidR="0067514E" w:rsidRDefault="0067514E" w:rsidP="008D1E0A">
            <w:pPr>
              <w:pStyle w:val="Marginlie"/>
            </w:pPr>
          </w:p>
        </w:tc>
        <w:tc>
          <w:tcPr>
            <w:tcW w:w="217" w:type="dxa"/>
            <w:vMerge/>
            <w:shd w:val="clear" w:color="auto" w:fill="auto"/>
          </w:tcPr>
          <w:p w14:paraId="52F34786" w14:textId="77777777" w:rsidR="0067514E" w:rsidRDefault="0067514E" w:rsidP="008D1E0A">
            <w:pPr>
              <w:pStyle w:val="Textpoznpodarou"/>
              <w:jc w:val="both"/>
              <w:rPr>
                <w:spacing w:val="-4"/>
              </w:rPr>
            </w:pPr>
          </w:p>
        </w:tc>
        <w:tc>
          <w:tcPr>
            <w:tcW w:w="7720" w:type="dxa"/>
            <w:shd w:val="clear" w:color="auto" w:fill="auto"/>
          </w:tcPr>
          <w:p w14:paraId="5A0BD311" w14:textId="77777777" w:rsidR="0067514E" w:rsidRPr="0067514E" w:rsidRDefault="0067514E" w:rsidP="008D1E0A">
            <w:pPr>
              <w:spacing w:after="0"/>
              <w:rPr>
                <w:spacing w:val="-6"/>
              </w:rPr>
            </w:pPr>
            <w:r w:rsidRPr="0067514E">
              <w:rPr>
                <w:noProof/>
                <w:spacing w:val="-6"/>
              </w:rPr>
              <w:drawing>
                <wp:inline distT="0" distB="0" distL="0" distR="0" wp14:anchorId="1F436E1F" wp14:editId="78E460B8">
                  <wp:extent cx="4773930" cy="3323230"/>
                  <wp:effectExtent l="0" t="0" r="762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67514E" w:rsidRPr="007B3A78" w14:paraId="2411803B" w14:textId="77777777" w:rsidTr="008D1E0A">
        <w:trPr>
          <w:trHeight w:val="170"/>
        </w:trPr>
        <w:tc>
          <w:tcPr>
            <w:tcW w:w="1732" w:type="dxa"/>
            <w:vMerge/>
            <w:shd w:val="clear" w:color="auto" w:fill="auto"/>
            <w:tcMar>
              <w:left w:w="0" w:type="dxa"/>
            </w:tcMar>
          </w:tcPr>
          <w:p w14:paraId="18067405" w14:textId="77777777" w:rsidR="0067514E" w:rsidRDefault="0067514E" w:rsidP="008D1E0A">
            <w:pPr>
              <w:pStyle w:val="Marginlie"/>
            </w:pPr>
          </w:p>
        </w:tc>
        <w:tc>
          <w:tcPr>
            <w:tcW w:w="217" w:type="dxa"/>
            <w:vMerge/>
            <w:shd w:val="clear" w:color="auto" w:fill="auto"/>
            <w:tcMar>
              <w:left w:w="0" w:type="dxa"/>
            </w:tcMar>
          </w:tcPr>
          <w:p w14:paraId="4A9D9857" w14:textId="77777777" w:rsidR="0067514E" w:rsidRDefault="0067514E" w:rsidP="008D1E0A">
            <w:pPr>
              <w:pStyle w:val="Textpoznpodarou"/>
              <w:jc w:val="both"/>
              <w:rPr>
                <w:spacing w:val="-4"/>
              </w:rPr>
            </w:pPr>
          </w:p>
        </w:tc>
        <w:tc>
          <w:tcPr>
            <w:tcW w:w="7720" w:type="dxa"/>
            <w:shd w:val="clear" w:color="auto" w:fill="auto"/>
            <w:tcMar>
              <w:left w:w="0" w:type="dxa"/>
            </w:tcMar>
          </w:tcPr>
          <w:p w14:paraId="1AEA281C" w14:textId="77777777" w:rsidR="0067514E" w:rsidRPr="0067514E" w:rsidRDefault="0067514E" w:rsidP="008D1E0A">
            <w:pPr>
              <w:spacing w:after="200" w:line="240" w:lineRule="auto"/>
              <w:jc w:val="left"/>
              <w:rPr>
                <w:rFonts w:cs="Arial"/>
                <w:spacing w:val="-6"/>
                <w:sz w:val="14"/>
                <w:szCs w:val="14"/>
              </w:rPr>
            </w:pPr>
            <w:r w:rsidRPr="0067514E">
              <w:rPr>
                <w:spacing w:val="-6"/>
                <w:sz w:val="14"/>
                <w:szCs w:val="14"/>
              </w:rPr>
              <w:t>Zdroj: MF ČR</w:t>
            </w:r>
          </w:p>
        </w:tc>
      </w:tr>
      <w:tr w:rsidR="0067514E" w:rsidRPr="008266F0" w14:paraId="3DCFB2E2" w14:textId="77777777" w:rsidTr="008D1E0A">
        <w:trPr>
          <w:trHeight w:val="145"/>
        </w:trPr>
        <w:tc>
          <w:tcPr>
            <w:tcW w:w="1732" w:type="dxa"/>
            <w:shd w:val="clear" w:color="auto" w:fill="auto"/>
            <w:tcMar>
              <w:left w:w="0" w:type="dxa"/>
            </w:tcMar>
          </w:tcPr>
          <w:p w14:paraId="4E712AE7" w14:textId="77777777" w:rsidR="0067514E" w:rsidRDefault="0067514E" w:rsidP="008D1E0A">
            <w:pPr>
              <w:pStyle w:val="Marginlie"/>
            </w:pPr>
            <w:r>
              <w:t>Růstové tempo výdajů SR se dále zvyšovalo a vyšplhalo na 10,8 %.</w:t>
            </w:r>
          </w:p>
          <w:p w14:paraId="6687C718" w14:textId="77777777" w:rsidR="0067514E" w:rsidRDefault="0067514E" w:rsidP="008D1E0A">
            <w:pPr>
              <w:pStyle w:val="Marginlie"/>
            </w:pPr>
          </w:p>
          <w:p w14:paraId="01EDC222" w14:textId="77777777" w:rsidR="0067514E" w:rsidRDefault="0067514E" w:rsidP="008D1E0A">
            <w:pPr>
              <w:pStyle w:val="Marginlie"/>
            </w:pPr>
          </w:p>
          <w:p w14:paraId="193D40BC" w14:textId="77777777" w:rsidR="0067514E" w:rsidRDefault="0067514E" w:rsidP="008D1E0A">
            <w:pPr>
              <w:pStyle w:val="Marginlie"/>
            </w:pPr>
          </w:p>
          <w:p w14:paraId="5DE9307C" w14:textId="77777777" w:rsidR="0067514E" w:rsidRDefault="0067514E" w:rsidP="008D1E0A">
            <w:pPr>
              <w:pStyle w:val="Marginlie"/>
            </w:pPr>
          </w:p>
          <w:p w14:paraId="55F5DAC4" w14:textId="77777777" w:rsidR="0067514E" w:rsidRDefault="0067514E" w:rsidP="008D1E0A">
            <w:pPr>
              <w:pStyle w:val="Marginlie"/>
            </w:pPr>
            <w:r>
              <w:t>Objem kapitálových výdajů vzrostl o pětinu, především zásluhou investic na projekty bez účasti EU.</w:t>
            </w:r>
          </w:p>
        </w:tc>
        <w:tc>
          <w:tcPr>
            <w:tcW w:w="217" w:type="dxa"/>
            <w:shd w:val="clear" w:color="auto" w:fill="auto"/>
            <w:tcMar>
              <w:left w:w="0" w:type="dxa"/>
            </w:tcMar>
          </w:tcPr>
          <w:p w14:paraId="53D66340" w14:textId="77777777" w:rsidR="0067514E" w:rsidRDefault="0067514E" w:rsidP="008D1E0A">
            <w:pPr>
              <w:pStyle w:val="Textpoznpodarou"/>
              <w:jc w:val="both"/>
              <w:rPr>
                <w:spacing w:val="-4"/>
              </w:rPr>
            </w:pPr>
          </w:p>
        </w:tc>
        <w:tc>
          <w:tcPr>
            <w:tcW w:w="7720" w:type="dxa"/>
            <w:shd w:val="clear" w:color="auto" w:fill="auto"/>
            <w:tcMar>
              <w:left w:w="0" w:type="dxa"/>
            </w:tcMar>
          </w:tcPr>
          <w:p w14:paraId="62AA641E" w14:textId="77777777" w:rsidR="0067514E" w:rsidRPr="0067514E" w:rsidRDefault="0067514E" w:rsidP="008D1E0A">
            <w:pPr>
              <w:spacing w:after="220"/>
              <w:rPr>
                <w:spacing w:val="-6"/>
              </w:rPr>
            </w:pPr>
            <w:r w:rsidRPr="0067514E">
              <w:rPr>
                <w:spacing w:val="-6"/>
              </w:rPr>
              <w:t>Tempo růstu celkových výdajů SR se zvyšovalo již třetím rokem v řadě a v roce 2019 vystoupalo na 10,8 %</w:t>
            </w:r>
            <w:r w:rsidRPr="0067514E">
              <w:rPr>
                <w:rStyle w:val="Znakapoznpodarou"/>
                <w:spacing w:val="-6"/>
              </w:rPr>
              <w:footnoteReference w:id="5"/>
            </w:r>
            <w:r w:rsidRPr="0067514E">
              <w:rPr>
                <w:spacing w:val="-6"/>
              </w:rPr>
              <w:t>, což bylo maximum za poslední dvě dekády. Podobně jako v roce 2018 přispěly loni k růstu jak běžné (+128 mld. korun), tak kapitálové výdaje (+23 mld.). Posílení investic (o 19,6 %) z více než poloviny souviselo s vyššími transfery státnímu fondu dopravní infrastruktury. Polovina všech investic SR směřovala na společné projekty ČR a EU (68,5 mld. korun)</w:t>
            </w:r>
            <w:r w:rsidRPr="0067514E">
              <w:rPr>
                <w:rStyle w:val="Znakapoznpodarou"/>
                <w:spacing w:val="-6"/>
              </w:rPr>
              <w:footnoteReference w:id="6"/>
            </w:r>
            <w:r w:rsidRPr="0067514E">
              <w:rPr>
                <w:spacing w:val="-6"/>
              </w:rPr>
              <w:t>. Jejich meziroční růst byl relativně mírný (+8,5 %), neboť k citelnému zrychlení čerpání eurofondů došlo již během roku 2018. Naopak skoro o třetinu loni posílily investice realizované bez účasti prostředků EU a finančních mechanismů (na 70,8 mld. korun), i přesto za rozpočtovým očekáváním (na rozdíl od „evropských investic“) mírně zaostaly. Podíl investic na všech výdajích SR mírně vzrostl na 9,0 % a dosáhl čtyřletého maxima. Nicméně v letech 2006 až 2011 se jejich váha pohybovala mezi 10 a 12 %.</w:t>
            </w:r>
          </w:p>
        </w:tc>
      </w:tr>
      <w:tr w:rsidR="0067514E" w:rsidRPr="002102B2" w14:paraId="73055C41" w14:textId="77777777" w:rsidTr="008D1E0A">
        <w:trPr>
          <w:trHeight w:val="145"/>
        </w:trPr>
        <w:tc>
          <w:tcPr>
            <w:tcW w:w="1732" w:type="dxa"/>
            <w:shd w:val="clear" w:color="auto" w:fill="auto"/>
            <w:tcMar>
              <w:left w:w="0" w:type="dxa"/>
            </w:tcMar>
          </w:tcPr>
          <w:p w14:paraId="640E55BA" w14:textId="77777777" w:rsidR="0067514E" w:rsidRDefault="0067514E" w:rsidP="008D1E0A">
            <w:pPr>
              <w:pStyle w:val="Marginlie"/>
            </w:pPr>
            <w:r>
              <w:t>Běžné výdaje byly stimulovány vyššími výdaji na sociální dávky i platy zaměstnanců rozpočtové sféry. Opačně působily výdaje na neinvestiční nákupy a na státní dluh.</w:t>
            </w:r>
          </w:p>
        </w:tc>
        <w:tc>
          <w:tcPr>
            <w:tcW w:w="217" w:type="dxa"/>
            <w:shd w:val="clear" w:color="auto" w:fill="auto"/>
            <w:tcMar>
              <w:left w:w="0" w:type="dxa"/>
            </w:tcMar>
          </w:tcPr>
          <w:p w14:paraId="14FBA14E" w14:textId="77777777" w:rsidR="0067514E" w:rsidRDefault="0067514E" w:rsidP="008D1E0A">
            <w:pPr>
              <w:pStyle w:val="Textpoznpodarou"/>
              <w:jc w:val="both"/>
              <w:rPr>
                <w:spacing w:val="-4"/>
              </w:rPr>
            </w:pPr>
          </w:p>
        </w:tc>
        <w:tc>
          <w:tcPr>
            <w:tcW w:w="7720" w:type="dxa"/>
            <w:shd w:val="clear" w:color="auto" w:fill="auto"/>
            <w:tcMar>
              <w:left w:w="0" w:type="dxa"/>
            </w:tcMar>
          </w:tcPr>
          <w:p w14:paraId="1467F3EC" w14:textId="32918EA0" w:rsidR="0067514E" w:rsidRPr="0067514E" w:rsidRDefault="0067514E" w:rsidP="008D1E0A">
            <w:pPr>
              <w:spacing w:after="200"/>
              <w:rPr>
                <w:rFonts w:cs="Arial"/>
                <w:color w:val="0D0D0D" w:themeColor="text1" w:themeTint="F2"/>
                <w:spacing w:val="-6"/>
              </w:rPr>
            </w:pPr>
            <w:r w:rsidRPr="0067514E">
              <w:rPr>
                <w:color w:val="0D0D0D" w:themeColor="text1" w:themeTint="F2"/>
                <w:spacing w:val="-6"/>
              </w:rPr>
              <w:t>Běžné výdaje SR posílily loni meziročně o desetinu. Stály za tím tradičně hlavně vyšší výdaje na sociální dávky (+8,2 %, resp. +46 mld. korun). Koupěschopnost domácností stimulovalo i posílení výdajů na regionální školství (+20 mld.)</w:t>
            </w:r>
            <w:r w:rsidR="008B3690">
              <w:rPr>
                <w:color w:val="0D0D0D" w:themeColor="text1" w:themeTint="F2"/>
                <w:spacing w:val="-6"/>
              </w:rPr>
              <w:t>, zejména na platy pracovníků</w:t>
            </w:r>
            <w:r w:rsidRPr="0067514E">
              <w:rPr>
                <w:rStyle w:val="Znakapoznpodarou"/>
                <w:color w:val="0D0D0D" w:themeColor="text1" w:themeTint="F2"/>
                <w:spacing w:val="-6"/>
              </w:rPr>
              <w:footnoteReference w:id="7"/>
            </w:r>
            <w:r w:rsidR="008B3690" w:rsidRPr="003474B6">
              <w:rPr>
                <w:rStyle w:val="Znakapoznpodarou"/>
                <w:color w:val="0D0D0D" w:themeColor="text1" w:themeTint="F2"/>
                <w:spacing w:val="-6"/>
                <w:vertAlign w:val="baseline"/>
              </w:rPr>
              <w:t xml:space="preserve">. </w:t>
            </w:r>
            <w:r w:rsidR="008B3690">
              <w:rPr>
                <w:color w:val="0D0D0D" w:themeColor="text1" w:themeTint="F2"/>
                <w:spacing w:val="-6"/>
              </w:rPr>
              <w:t>Podobně působily</w:t>
            </w:r>
            <w:r w:rsidR="008B3690" w:rsidRPr="0067514E">
              <w:rPr>
                <w:color w:val="0D0D0D" w:themeColor="text1" w:themeTint="F2"/>
                <w:spacing w:val="-6"/>
              </w:rPr>
              <w:t xml:space="preserve"> </w:t>
            </w:r>
            <w:r w:rsidR="008B3690">
              <w:rPr>
                <w:color w:val="0D0D0D" w:themeColor="text1" w:themeTint="F2"/>
                <w:spacing w:val="-6"/>
              </w:rPr>
              <w:t>i vyšší</w:t>
            </w:r>
            <w:r w:rsidRPr="0067514E">
              <w:rPr>
                <w:color w:val="0D0D0D" w:themeColor="text1" w:themeTint="F2"/>
                <w:spacing w:val="-6"/>
              </w:rPr>
              <w:t xml:space="preserve"> výdaj</w:t>
            </w:r>
            <w:r w:rsidR="008B3690">
              <w:rPr>
                <w:color w:val="0D0D0D" w:themeColor="text1" w:themeTint="F2"/>
                <w:spacing w:val="-6"/>
              </w:rPr>
              <w:t>e</w:t>
            </w:r>
            <w:r w:rsidRPr="0067514E">
              <w:rPr>
                <w:color w:val="0D0D0D" w:themeColor="text1" w:themeTint="F2"/>
                <w:spacing w:val="-6"/>
              </w:rPr>
              <w:t xml:space="preserve"> na platy na úrovni organizačních složek státu</w:t>
            </w:r>
            <w:r w:rsidRPr="0067514E">
              <w:rPr>
                <w:rFonts w:cs="Arial"/>
                <w:color w:val="0D0D0D" w:themeColor="text1" w:themeTint="F2"/>
                <w:spacing w:val="-6"/>
              </w:rPr>
              <w:t xml:space="preserve"> (+7,1 %, resp. +10</w:t>
            </w:r>
            <w:r w:rsidRPr="0067514E">
              <w:rPr>
                <w:color w:val="0D0D0D" w:themeColor="text1" w:themeTint="F2"/>
                <w:spacing w:val="-6"/>
              </w:rPr>
              <w:t> </w:t>
            </w:r>
            <w:r w:rsidRPr="0067514E">
              <w:rPr>
                <w:rFonts w:cs="Arial"/>
                <w:color w:val="0D0D0D" w:themeColor="text1" w:themeTint="F2"/>
                <w:spacing w:val="-6"/>
              </w:rPr>
              <w:t>mld.). Dvojciferný růst vykázaly transfery státním fondům (zejména do oblasti zemědělství a dopravy), neziskovým a podobným organizacím. Naopak o 3 % se snížily prostředky na neinvestiční nákupy a související výdaje (nákup služeb, materiálu, vody, energií aj.), shodným tempem klesly i čisté výdaje na státní dluh (na 39,6 mld. korun)</w:t>
            </w:r>
            <w:r w:rsidRPr="0067514E">
              <w:rPr>
                <w:rStyle w:val="Znakapoznpodarou"/>
                <w:color w:val="0D0D0D" w:themeColor="text1" w:themeTint="F2"/>
                <w:spacing w:val="-6"/>
              </w:rPr>
              <w:footnoteReference w:id="8"/>
            </w:r>
            <w:r w:rsidRPr="0067514E">
              <w:rPr>
                <w:rFonts w:cs="Arial"/>
                <w:color w:val="0D0D0D" w:themeColor="text1" w:themeTint="F2"/>
                <w:spacing w:val="-6"/>
              </w:rPr>
              <w:t>.</w:t>
            </w:r>
          </w:p>
        </w:tc>
      </w:tr>
      <w:tr w:rsidR="0067514E" w:rsidRPr="008266F0" w14:paraId="11730DDD" w14:textId="77777777" w:rsidTr="008D1E0A">
        <w:trPr>
          <w:trHeight w:val="145"/>
        </w:trPr>
        <w:tc>
          <w:tcPr>
            <w:tcW w:w="1732" w:type="dxa"/>
            <w:shd w:val="clear" w:color="auto" w:fill="auto"/>
            <w:tcMar>
              <w:left w:w="0" w:type="dxa"/>
            </w:tcMar>
          </w:tcPr>
          <w:p w14:paraId="2FB11A4F" w14:textId="77777777" w:rsidR="0067514E" w:rsidRDefault="0067514E" w:rsidP="008D1E0A">
            <w:pPr>
              <w:pStyle w:val="Marginlie"/>
            </w:pPr>
            <w:r>
              <w:t xml:space="preserve">Tempo růstu výdajů na dávky důchodového pojištění vzrostlo nejvíce po roce 2009. I tak se váha všech sociálních </w:t>
            </w:r>
            <w:r>
              <w:lastRenderedPageBreak/>
              <w:t>dávek na výdajích SR snížila.</w:t>
            </w:r>
          </w:p>
          <w:p w14:paraId="384B035E" w14:textId="77777777" w:rsidR="0067514E" w:rsidRDefault="0067514E" w:rsidP="008D1E0A">
            <w:pPr>
              <w:pStyle w:val="Marginlie"/>
            </w:pPr>
          </w:p>
          <w:p w14:paraId="30CD0F9B" w14:textId="77777777" w:rsidR="0067514E" w:rsidRDefault="0067514E" w:rsidP="008D1E0A">
            <w:pPr>
              <w:pStyle w:val="Marginlie"/>
            </w:pPr>
            <w:r>
              <w:t>Tempo růstu výběru pojistného na důchody poprvé po roce 2013 meziročně kleslo. Saldo důchodového účtu setrvalo v mírném přebytku druhým rokem v řadě.</w:t>
            </w:r>
          </w:p>
        </w:tc>
        <w:tc>
          <w:tcPr>
            <w:tcW w:w="217" w:type="dxa"/>
            <w:shd w:val="clear" w:color="auto" w:fill="auto"/>
            <w:tcMar>
              <w:left w:w="0" w:type="dxa"/>
            </w:tcMar>
          </w:tcPr>
          <w:p w14:paraId="45DC7AB6" w14:textId="77777777" w:rsidR="0067514E" w:rsidRDefault="0067514E" w:rsidP="008D1E0A">
            <w:pPr>
              <w:pStyle w:val="Textpoznpodarou"/>
              <w:jc w:val="both"/>
              <w:rPr>
                <w:spacing w:val="-4"/>
              </w:rPr>
            </w:pPr>
          </w:p>
        </w:tc>
        <w:tc>
          <w:tcPr>
            <w:tcW w:w="7720" w:type="dxa"/>
            <w:shd w:val="clear" w:color="auto" w:fill="auto"/>
            <w:tcMar>
              <w:left w:w="0" w:type="dxa"/>
            </w:tcMar>
          </w:tcPr>
          <w:p w14:paraId="365C63F2" w14:textId="77777777" w:rsidR="0067514E" w:rsidRPr="0067514E" w:rsidRDefault="0067514E" w:rsidP="008D1E0A">
            <w:pPr>
              <w:spacing w:after="220"/>
              <w:rPr>
                <w:spacing w:val="-6"/>
              </w:rPr>
            </w:pPr>
            <w:r w:rsidRPr="0067514E">
              <w:rPr>
                <w:spacing w:val="-6"/>
              </w:rPr>
              <w:t xml:space="preserve">Podíl výdajů SR směřujících na všechny sociální dávky klesal třetím rokem v řadě. Loni činil 38,8 % (v roce 2016 42,1 %). Téměř čtyři pětiny těchto výdajů byly alokovány na důchody. </w:t>
            </w:r>
            <w:r w:rsidRPr="0067514E">
              <w:rPr>
                <w:rFonts w:cs="Arial"/>
                <w:color w:val="0D0D0D" w:themeColor="text1" w:themeTint="F2"/>
                <w:spacing w:val="-6"/>
              </w:rPr>
              <w:t xml:space="preserve">Jejich růstové tempo se loni oproti roku 2018 téměř zdvojnásobilo (na 8,7 %), vyšší bylo naposledy dosaženo v roce 2009. Při stagnaci celkového počtu osob pobírajících důchod </w:t>
            </w:r>
            <w:r w:rsidRPr="0067514E">
              <w:rPr>
                <w:rFonts w:cs="Arial"/>
                <w:color w:val="0D0D0D" w:themeColor="text1" w:themeTint="F2"/>
                <w:spacing w:val="-6"/>
              </w:rPr>
              <w:lastRenderedPageBreak/>
              <w:t>(včetně starobních důchodců) se plně projevil vliv zákonných úprav</w:t>
            </w:r>
            <w:r w:rsidRPr="0067514E">
              <w:rPr>
                <w:rStyle w:val="Znakapoznpodarou"/>
                <w:spacing w:val="-6"/>
              </w:rPr>
              <w:footnoteReference w:id="9"/>
            </w:r>
            <w:r w:rsidRPr="0067514E">
              <w:rPr>
                <w:rFonts w:cs="Arial"/>
                <w:color w:val="0D0D0D" w:themeColor="text1" w:themeTint="F2"/>
                <w:spacing w:val="-6"/>
              </w:rPr>
              <w:t>. Nadále velmi příznivá situace na pracovním trhu vedla mimo jiné k růstu ekonomické aktivity lidí na sklonku produktivního věku i seniorů. To se pozitivně projevilo také růstem příjmů plynoucích do systému důchodového pojištění či nižším využíváním předčasných odchodů do starobního důchodu</w:t>
            </w:r>
            <w:r w:rsidRPr="0067514E">
              <w:rPr>
                <w:rStyle w:val="Znakapoznpodarou"/>
                <w:color w:val="0D0D0D" w:themeColor="text1" w:themeTint="F2"/>
                <w:spacing w:val="-6"/>
              </w:rPr>
              <w:footnoteReference w:id="10"/>
            </w:r>
            <w:r w:rsidRPr="0067514E">
              <w:rPr>
                <w:rFonts w:cs="Arial"/>
                <w:color w:val="0D0D0D" w:themeColor="text1" w:themeTint="F2"/>
                <w:spacing w:val="-6"/>
              </w:rPr>
              <w:t>. Přesto tempo meziročního růstu vybraného pojistného na důchody loni poprvé po roce 2013 meziročně zvolnilo (na 7,8 %, z 10,1 % v roce 2018). To odpovídalo citelnějšímu zpomalení růstu zaměstnanosti v ekonomice i mírnému zvolnění dynamiky průměrných mezd. Saldo důchodového účtu</w:t>
            </w:r>
            <w:r w:rsidRPr="0067514E">
              <w:rPr>
                <w:rStyle w:val="Znakapoznpodarou"/>
                <w:color w:val="0D0D0D" w:themeColor="text1" w:themeTint="F2"/>
                <w:spacing w:val="-6"/>
              </w:rPr>
              <w:footnoteReference w:id="11"/>
            </w:r>
            <w:r w:rsidRPr="0067514E">
              <w:rPr>
                <w:rFonts w:cs="Arial"/>
                <w:color w:val="0D0D0D" w:themeColor="text1" w:themeTint="F2"/>
                <w:spacing w:val="-6"/>
              </w:rPr>
              <w:t xml:space="preserve"> v roce 2019 se tak meziročně velmi mírně zhoršilo a zůstalo již druhým rokem v řadě kladné (+16,4 mld. korun).</w:t>
            </w:r>
          </w:p>
        </w:tc>
      </w:tr>
      <w:tr w:rsidR="0067514E" w:rsidRPr="00F704D2" w14:paraId="5B748151" w14:textId="77777777" w:rsidTr="008D1E0A">
        <w:trPr>
          <w:trHeight w:val="170"/>
        </w:trPr>
        <w:tc>
          <w:tcPr>
            <w:tcW w:w="1732" w:type="dxa"/>
            <w:vMerge w:val="restart"/>
            <w:shd w:val="clear" w:color="auto" w:fill="auto"/>
            <w:tcMar>
              <w:left w:w="0" w:type="dxa"/>
            </w:tcMar>
          </w:tcPr>
          <w:p w14:paraId="05E78DB0" w14:textId="77777777" w:rsidR="0067514E" w:rsidRDefault="0067514E" w:rsidP="008D1E0A">
            <w:pPr>
              <w:pStyle w:val="Marginlie"/>
            </w:pPr>
          </w:p>
        </w:tc>
        <w:tc>
          <w:tcPr>
            <w:tcW w:w="217" w:type="dxa"/>
            <w:vMerge w:val="restart"/>
            <w:shd w:val="clear" w:color="auto" w:fill="auto"/>
            <w:tcMar>
              <w:left w:w="0" w:type="dxa"/>
            </w:tcMar>
          </w:tcPr>
          <w:p w14:paraId="1F334778" w14:textId="77777777" w:rsidR="0067514E" w:rsidRDefault="0067514E" w:rsidP="008D1E0A">
            <w:pPr>
              <w:pStyle w:val="Textpoznpodarou"/>
              <w:jc w:val="both"/>
              <w:rPr>
                <w:spacing w:val="-4"/>
              </w:rPr>
            </w:pPr>
          </w:p>
        </w:tc>
        <w:tc>
          <w:tcPr>
            <w:tcW w:w="7720" w:type="dxa"/>
            <w:shd w:val="clear" w:color="auto" w:fill="auto"/>
            <w:tcMar>
              <w:left w:w="0" w:type="dxa"/>
            </w:tcMar>
          </w:tcPr>
          <w:p w14:paraId="0D4998B8" w14:textId="77777777" w:rsidR="0067514E" w:rsidRPr="0067514E" w:rsidRDefault="0067514E" w:rsidP="008D1E0A">
            <w:pPr>
              <w:spacing w:after="40" w:line="240" w:lineRule="auto"/>
              <w:jc w:val="left"/>
              <w:rPr>
                <w:rFonts w:cs="Arial"/>
                <w:bCs/>
                <w:spacing w:val="-6"/>
              </w:rPr>
            </w:pPr>
            <w:r w:rsidRPr="0067514E">
              <w:rPr>
                <w:b/>
                <w:spacing w:val="-6"/>
              </w:rPr>
              <w:t xml:space="preserve">Graf č. 17  </w:t>
            </w:r>
            <w:r w:rsidRPr="0067514E">
              <w:rPr>
                <w:rFonts w:cs="Arial"/>
                <w:b/>
                <w:bCs/>
                <w:spacing w:val="-6"/>
              </w:rPr>
              <w:t>Vybrané výdaje státního rozpočtu</w:t>
            </w:r>
            <w:r w:rsidRPr="0067514E">
              <w:rPr>
                <w:rFonts w:cs="Arial"/>
                <w:bCs/>
                <w:spacing w:val="-6"/>
              </w:rPr>
              <w:t xml:space="preserve"> (v mld. korun, roční kumulace)</w:t>
            </w:r>
          </w:p>
        </w:tc>
      </w:tr>
      <w:tr w:rsidR="0067514E" w14:paraId="55A41467" w14:textId="77777777" w:rsidTr="008D1E0A">
        <w:tblPrEx>
          <w:tblCellMar>
            <w:left w:w="70" w:type="dxa"/>
            <w:right w:w="70" w:type="dxa"/>
          </w:tblCellMar>
        </w:tblPrEx>
        <w:trPr>
          <w:trHeight w:val="170"/>
        </w:trPr>
        <w:tc>
          <w:tcPr>
            <w:tcW w:w="1732" w:type="dxa"/>
            <w:vMerge/>
            <w:shd w:val="clear" w:color="auto" w:fill="auto"/>
          </w:tcPr>
          <w:p w14:paraId="1F91DC4A" w14:textId="77777777" w:rsidR="0067514E" w:rsidRDefault="0067514E" w:rsidP="008D1E0A">
            <w:pPr>
              <w:pStyle w:val="Marginlie"/>
            </w:pPr>
          </w:p>
        </w:tc>
        <w:tc>
          <w:tcPr>
            <w:tcW w:w="217" w:type="dxa"/>
            <w:vMerge/>
            <w:shd w:val="clear" w:color="auto" w:fill="auto"/>
          </w:tcPr>
          <w:p w14:paraId="39BCD0E2" w14:textId="77777777" w:rsidR="0067514E" w:rsidRDefault="0067514E" w:rsidP="008D1E0A">
            <w:pPr>
              <w:pStyle w:val="Textpoznpodarou"/>
              <w:jc w:val="both"/>
              <w:rPr>
                <w:spacing w:val="-4"/>
              </w:rPr>
            </w:pPr>
          </w:p>
        </w:tc>
        <w:tc>
          <w:tcPr>
            <w:tcW w:w="7720" w:type="dxa"/>
            <w:shd w:val="clear" w:color="auto" w:fill="auto"/>
          </w:tcPr>
          <w:p w14:paraId="1BA64B51" w14:textId="77777777" w:rsidR="0067514E" w:rsidRPr="0067514E" w:rsidRDefault="0067514E" w:rsidP="008D1E0A">
            <w:pPr>
              <w:spacing w:after="0"/>
              <w:rPr>
                <w:spacing w:val="-6"/>
              </w:rPr>
            </w:pPr>
            <w:r w:rsidRPr="0067514E">
              <w:rPr>
                <w:noProof/>
                <w:spacing w:val="-6"/>
              </w:rPr>
              <w:drawing>
                <wp:inline distT="0" distB="0" distL="0" distR="0" wp14:anchorId="6C5F5B4B" wp14:editId="213E2E2E">
                  <wp:extent cx="4751705" cy="3160166"/>
                  <wp:effectExtent l="0" t="0" r="0" b="254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67514E" w:rsidRPr="00343AC1" w14:paraId="3208D8B7" w14:textId="77777777" w:rsidTr="008D1E0A">
        <w:trPr>
          <w:trHeight w:val="170"/>
        </w:trPr>
        <w:tc>
          <w:tcPr>
            <w:tcW w:w="1732" w:type="dxa"/>
            <w:vMerge/>
            <w:shd w:val="clear" w:color="auto" w:fill="auto"/>
            <w:tcMar>
              <w:left w:w="0" w:type="dxa"/>
            </w:tcMar>
          </w:tcPr>
          <w:p w14:paraId="12AF932E" w14:textId="77777777" w:rsidR="0067514E" w:rsidRDefault="0067514E" w:rsidP="008D1E0A">
            <w:pPr>
              <w:pStyle w:val="Marginlie"/>
            </w:pPr>
          </w:p>
        </w:tc>
        <w:tc>
          <w:tcPr>
            <w:tcW w:w="217" w:type="dxa"/>
            <w:vMerge/>
            <w:shd w:val="clear" w:color="auto" w:fill="auto"/>
            <w:tcMar>
              <w:left w:w="0" w:type="dxa"/>
            </w:tcMar>
          </w:tcPr>
          <w:p w14:paraId="74AE046E" w14:textId="77777777" w:rsidR="0067514E" w:rsidRDefault="0067514E" w:rsidP="008D1E0A">
            <w:pPr>
              <w:pStyle w:val="Textpoznpodarou"/>
              <w:jc w:val="both"/>
              <w:rPr>
                <w:spacing w:val="-4"/>
              </w:rPr>
            </w:pPr>
          </w:p>
        </w:tc>
        <w:tc>
          <w:tcPr>
            <w:tcW w:w="7720" w:type="dxa"/>
            <w:shd w:val="clear" w:color="auto" w:fill="auto"/>
            <w:tcMar>
              <w:left w:w="0" w:type="dxa"/>
            </w:tcMar>
          </w:tcPr>
          <w:p w14:paraId="52ECDD0E" w14:textId="77777777" w:rsidR="0067514E" w:rsidRPr="0067514E" w:rsidRDefault="0067514E" w:rsidP="008D1E0A">
            <w:pPr>
              <w:pStyle w:val="Textpoznpodarou"/>
              <w:rPr>
                <w:spacing w:val="-6"/>
                <w:sz w:val="14"/>
                <w:szCs w:val="14"/>
              </w:rPr>
            </w:pPr>
            <w:r w:rsidRPr="0067514E">
              <w:rPr>
                <w:spacing w:val="-6"/>
                <w:sz w:val="14"/>
                <w:szCs w:val="14"/>
              </w:rPr>
              <w:t>*Pokrývá výdaje na platy v ústředních orgánech státní správy. Nezahrnuje např. mzdové výdaje na regionální školství.</w:t>
            </w:r>
          </w:p>
          <w:p w14:paraId="63E94DE8" w14:textId="77777777" w:rsidR="0067514E" w:rsidRPr="0067514E" w:rsidRDefault="0067514E" w:rsidP="008D1E0A">
            <w:pPr>
              <w:pStyle w:val="Textpoznpodarou"/>
              <w:rPr>
                <w:spacing w:val="-6"/>
                <w:sz w:val="14"/>
                <w:szCs w:val="14"/>
              </w:rPr>
            </w:pPr>
            <w:r w:rsidRPr="0067514E">
              <w:rPr>
                <w:spacing w:val="-6"/>
                <w:sz w:val="14"/>
                <w:szCs w:val="14"/>
              </w:rPr>
              <w:t>**Zahrnuje i dávky pěstounské péče.    ***Zahrnuje dávky pomoci v hmotné nouzi, dávky osobám se zdravotním postižením, příspěvek na péči dle zákona o sociálních službách.    ****Obsahuje zejména výdaje na nákup služeb, materiálu, energií či ostatních služeb (např. výdaje na opravy a udržování).    *****Odpovídá saldu rozpočtové kapitoly Státní dluh.</w:t>
            </w:r>
          </w:p>
          <w:p w14:paraId="085EA5BC" w14:textId="77777777" w:rsidR="0067514E" w:rsidRPr="0067514E" w:rsidRDefault="0067514E" w:rsidP="008D1E0A">
            <w:pPr>
              <w:spacing w:after="220" w:line="240" w:lineRule="auto"/>
              <w:rPr>
                <w:rFonts w:cs="Arial"/>
                <w:color w:val="0D0D0D" w:themeColor="text1" w:themeTint="F2"/>
                <w:spacing w:val="-6"/>
                <w:sz w:val="14"/>
                <w:szCs w:val="14"/>
              </w:rPr>
            </w:pPr>
            <w:r w:rsidRPr="0067514E">
              <w:rPr>
                <w:spacing w:val="-6"/>
                <w:sz w:val="14"/>
                <w:szCs w:val="14"/>
              </w:rPr>
              <w:t>Zdroj: MF ČR, MPSV</w:t>
            </w:r>
          </w:p>
        </w:tc>
      </w:tr>
      <w:tr w:rsidR="0067514E" w:rsidRPr="004F63A0" w14:paraId="4FDF979C" w14:textId="77777777" w:rsidTr="008D1E0A">
        <w:trPr>
          <w:trHeight w:val="145"/>
        </w:trPr>
        <w:tc>
          <w:tcPr>
            <w:tcW w:w="1732" w:type="dxa"/>
            <w:shd w:val="clear" w:color="auto" w:fill="auto"/>
            <w:tcMar>
              <w:left w:w="0" w:type="dxa"/>
            </w:tcMar>
          </w:tcPr>
          <w:p w14:paraId="186EBFE5" w14:textId="77777777" w:rsidR="0067514E" w:rsidRPr="007D6AF8" w:rsidRDefault="0067514E" w:rsidP="008D1E0A">
            <w:pPr>
              <w:pStyle w:val="Marginlie"/>
            </w:pPr>
            <w:r>
              <w:t>K růstu nedůchodových sociálních dávek přispělo hlavně vyšší čerpání dávek nemocenského pojištění a také posílení výdajů pro občany se zdravotním postižením.</w:t>
            </w:r>
          </w:p>
        </w:tc>
        <w:tc>
          <w:tcPr>
            <w:tcW w:w="217" w:type="dxa"/>
            <w:shd w:val="clear" w:color="auto" w:fill="auto"/>
            <w:tcMar>
              <w:left w:w="0" w:type="dxa"/>
            </w:tcMar>
          </w:tcPr>
          <w:p w14:paraId="6BC47EBE" w14:textId="77777777" w:rsidR="0067514E" w:rsidRDefault="0067514E" w:rsidP="008D1E0A">
            <w:pPr>
              <w:pStyle w:val="Textpoznpodarou"/>
              <w:jc w:val="both"/>
              <w:rPr>
                <w:spacing w:val="-4"/>
              </w:rPr>
            </w:pPr>
          </w:p>
        </w:tc>
        <w:tc>
          <w:tcPr>
            <w:tcW w:w="7720" w:type="dxa"/>
            <w:shd w:val="clear" w:color="auto" w:fill="auto"/>
            <w:tcMar>
              <w:left w:w="0" w:type="dxa"/>
            </w:tcMar>
          </w:tcPr>
          <w:p w14:paraId="6C3F34F5" w14:textId="15195729" w:rsidR="0067514E" w:rsidRPr="0067514E" w:rsidRDefault="0067514E" w:rsidP="0067514E">
            <w:pPr>
              <w:pStyle w:val="Textpoznpodarou"/>
              <w:spacing w:line="276" w:lineRule="auto"/>
              <w:jc w:val="both"/>
              <w:rPr>
                <w:spacing w:val="-6"/>
              </w:rPr>
            </w:pPr>
            <w:r w:rsidRPr="0067514E">
              <w:rPr>
                <w:spacing w:val="-6"/>
              </w:rPr>
              <w:t>Růst výdajů na ostatní sociální dávky (mimo důchody) loni zrychlil druhým rokem v řadě a docílil šestiletého maxima (+6,4 %). Vyšší výdaje státu souvisely z drtivé části s dávkami nemocenského pojištění (+14,5 %</w:t>
            </w:r>
            <w:r w:rsidRPr="0067514E">
              <w:rPr>
                <w:rStyle w:val="Znakapoznpodarou"/>
                <w:color w:val="0D0D0D" w:themeColor="text1" w:themeTint="F2"/>
                <w:spacing w:val="-6"/>
              </w:rPr>
              <w:footnoteReference w:id="12"/>
            </w:r>
            <w:r w:rsidRPr="0067514E">
              <w:rPr>
                <w:spacing w:val="-6"/>
              </w:rPr>
              <w:t xml:space="preserve">, za posledních osm let se čerpání zdvojnásobilo) a též s dávkami pro zdravotně postižené včetně příspěvků na péči (meziročně vyššími o osminu, za šest let o polovinu). O 3,3 % naopak klesly výdaje na státní sociální podporu, od konce poslední recese tyto výdaje dosud spíše stagnovaly. Z dílčích dávek státní sociální podpory loni posílila jen </w:t>
            </w:r>
            <w:r w:rsidR="008B3690">
              <w:rPr>
                <w:spacing w:val="-6"/>
              </w:rPr>
              <w:t>objem</w:t>
            </w:r>
            <w:r w:rsidRPr="0067514E">
              <w:rPr>
                <w:spacing w:val="-6"/>
              </w:rPr>
              <w:t>ově výrazně okrajová podpora pěstounské péče. Klesl jak objem veškerých příjmově testovaných dávek, např. přídavků na děti či příspěvků na bydlení (o 10 %, resp. 8 %), tak váhově dominantních rodičovských příspěvků (</w:t>
            </w:r>
            <w:r w:rsidRPr="0067514E">
              <w:rPr>
                <w:rFonts w:cs="Arial"/>
                <w:color w:val="0D0D0D" w:themeColor="text1" w:themeTint="F2"/>
                <w:spacing w:val="-6"/>
              </w:rPr>
              <w:t>o 2</w:t>
            </w:r>
            <w:r w:rsidRPr="0067514E">
              <w:rPr>
                <w:spacing w:val="-6"/>
              </w:rPr>
              <w:t> %). Vlivem zlepšené finanční situace domácností se snižoval i objem dávek v hmotné nouzi (meziročně o 18 %, za pět let o 61 %). Po pěti letech se loni zastavil pokles výdajů na podporu v nezaměstnanosti (+8,0 %). Projevil se efekt růstu průměrné výše podpory (díky nedávné mzdové akceleraci v ekonomice), počet nezaměstnaných s nárokem na podporu ale meziročně stagnoval.</w:t>
            </w:r>
          </w:p>
        </w:tc>
      </w:tr>
      <w:tr w:rsidR="0067514E" w:rsidRPr="004F63A0" w14:paraId="0B984676" w14:textId="77777777" w:rsidTr="008D1E0A">
        <w:trPr>
          <w:trHeight w:val="145"/>
        </w:trPr>
        <w:tc>
          <w:tcPr>
            <w:tcW w:w="1732" w:type="dxa"/>
            <w:shd w:val="clear" w:color="auto" w:fill="auto"/>
            <w:tcMar>
              <w:left w:w="0" w:type="dxa"/>
            </w:tcMar>
          </w:tcPr>
          <w:p w14:paraId="4FC81835" w14:textId="77777777" w:rsidR="0067514E" w:rsidRDefault="0067514E" w:rsidP="008D1E0A">
            <w:pPr>
              <w:pStyle w:val="Marginlie"/>
            </w:pPr>
            <w:r>
              <w:rPr>
                <w:spacing w:val="-3"/>
              </w:rPr>
              <w:lastRenderedPageBreak/>
              <w:t>Výše dluhu zůstává stabilizovaná již sedmým rokem. Dominantním dluhovým nástrojem zůstávají střednědobé a</w:t>
            </w:r>
            <w:r>
              <w:t> </w:t>
            </w:r>
            <w:r>
              <w:rPr>
                <w:spacing w:val="-3"/>
              </w:rPr>
              <w:t>dlouhodobé státní dluhopisy emitované na domácím trhu.</w:t>
            </w:r>
          </w:p>
        </w:tc>
        <w:tc>
          <w:tcPr>
            <w:tcW w:w="217" w:type="dxa"/>
            <w:shd w:val="clear" w:color="auto" w:fill="auto"/>
            <w:tcMar>
              <w:left w:w="0" w:type="dxa"/>
            </w:tcMar>
          </w:tcPr>
          <w:p w14:paraId="4A558F9B" w14:textId="77777777" w:rsidR="0067514E" w:rsidRDefault="0067514E" w:rsidP="008D1E0A">
            <w:pPr>
              <w:pStyle w:val="Textpoznpodarou"/>
              <w:jc w:val="both"/>
              <w:rPr>
                <w:spacing w:val="-4"/>
              </w:rPr>
            </w:pPr>
          </w:p>
        </w:tc>
        <w:tc>
          <w:tcPr>
            <w:tcW w:w="7720" w:type="dxa"/>
            <w:shd w:val="clear" w:color="auto" w:fill="auto"/>
            <w:tcMar>
              <w:left w:w="0" w:type="dxa"/>
            </w:tcMar>
          </w:tcPr>
          <w:p w14:paraId="4F730BCB" w14:textId="77777777" w:rsidR="0067514E" w:rsidRPr="0067514E" w:rsidRDefault="0067514E" w:rsidP="008D1E0A">
            <w:pPr>
              <w:pStyle w:val="Textpoznpodarou"/>
              <w:spacing w:after="200" w:line="276" w:lineRule="auto"/>
              <w:jc w:val="both"/>
              <w:rPr>
                <w:spacing w:val="-6"/>
              </w:rPr>
            </w:pPr>
            <w:r w:rsidRPr="0067514E">
              <w:rPr>
                <w:spacing w:val="-6"/>
              </w:rPr>
              <w:t>Na konci roku 2019 dosahoval státní dluh 1 640 mld. korun, meziročně se navýšil jen mírně (o 1,1 %). Výše dluhu zůstává stabilizovaná již sedmým rokem. V posledních čtyřech letech se opakuje určitý sezónní průběh – hodnota dluhu stoupá na počátku roku a v jeho druhé polovině dochází vlivem splátek k postupné redukci. Stát loni realizoval své výpůjční operace jen na domácím trhu</w:t>
            </w:r>
            <w:r w:rsidRPr="0067514E">
              <w:rPr>
                <w:rStyle w:val="Znakapoznpodarou"/>
                <w:color w:val="000000" w:themeColor="text1"/>
                <w:spacing w:val="-6"/>
              </w:rPr>
              <w:footnoteReference w:id="13"/>
            </w:r>
            <w:r w:rsidRPr="0067514E">
              <w:rPr>
                <w:spacing w:val="-6"/>
              </w:rPr>
              <w:t>, což se odrazilo v dalším poklesu korunové hodnoty zahraničního dluhu (o 13,9 %). Ten se na celkovém státním dluhu podílel 12,4 %, nejméně od konce roku 2004. Více než šest sedmin celkového dluhu tvořily střednědobé a dlouhodobé státní dluhopisy (vydané na domácím trhu). Klíčovým držitelem korunových státních dluhopisů zůstávají finanční instituce – s mírnou převahou pojišťovacích společností a penzijních fondů (29,5 %) nad ostatními subjekty tvořenými hlavně bankami a investičními fondy (25,2 %). Nerezidenti drželi 40,5 % dluhu, jejich váha na rozdíl od předchozích let zůstala během roku stabilní. Váha domácností díky nové nabídce produktu občanům (Dluhopis Republiky) posílila, ve srovnání se státy EU však byla stále podprůměrná (1,1 %).</w:t>
            </w:r>
          </w:p>
        </w:tc>
      </w:tr>
      <w:tr w:rsidR="0067514E" w:rsidRPr="004F63A0" w14:paraId="6A01443E" w14:textId="77777777" w:rsidTr="008D1E0A">
        <w:trPr>
          <w:trHeight w:val="145"/>
        </w:trPr>
        <w:tc>
          <w:tcPr>
            <w:tcW w:w="1732" w:type="dxa"/>
            <w:shd w:val="clear" w:color="auto" w:fill="auto"/>
            <w:tcMar>
              <w:left w:w="0" w:type="dxa"/>
            </w:tcMar>
          </w:tcPr>
          <w:p w14:paraId="6BD3DCEE" w14:textId="77777777" w:rsidR="0067514E" w:rsidRDefault="0067514E" w:rsidP="008D1E0A">
            <w:pPr>
              <w:pStyle w:val="Marginlie"/>
            </w:pPr>
            <w:r>
              <w:t>Míra zadlužení sektoru vládních institucí klesla na desetileté minimum.</w:t>
            </w:r>
          </w:p>
          <w:p w14:paraId="39CF7BEA" w14:textId="77777777" w:rsidR="0067514E" w:rsidRDefault="0067514E" w:rsidP="008D1E0A">
            <w:pPr>
              <w:pStyle w:val="Marginlie"/>
            </w:pPr>
          </w:p>
          <w:p w14:paraId="67D197BF" w14:textId="77777777" w:rsidR="0067514E" w:rsidRDefault="0067514E" w:rsidP="008D1E0A">
            <w:pPr>
              <w:pStyle w:val="Marginlie"/>
            </w:pPr>
          </w:p>
          <w:p w14:paraId="6EB76F1F" w14:textId="77777777" w:rsidR="0067514E" w:rsidRDefault="0067514E" w:rsidP="008D1E0A">
            <w:pPr>
              <w:pStyle w:val="Marginlie"/>
            </w:pPr>
          </w:p>
          <w:p w14:paraId="0E2EF851" w14:textId="77777777" w:rsidR="0067514E" w:rsidRDefault="0067514E" w:rsidP="008D1E0A">
            <w:pPr>
              <w:pStyle w:val="Marginlie"/>
            </w:pPr>
            <w:r w:rsidRPr="007D6AF8">
              <w:t>Saldo hospodaření zůstalo čtvrtým rokem v řadě klad</w:t>
            </w:r>
            <w:r>
              <w:t>né, výše přebytku se ale tenčila.</w:t>
            </w:r>
          </w:p>
          <w:p w14:paraId="3AF8FF3D" w14:textId="77777777" w:rsidR="0067514E" w:rsidRDefault="0067514E" w:rsidP="008D1E0A">
            <w:pPr>
              <w:pStyle w:val="Marginlie"/>
            </w:pPr>
          </w:p>
          <w:p w14:paraId="7D648965" w14:textId="77777777" w:rsidR="0067514E" w:rsidRDefault="0067514E" w:rsidP="008D1E0A">
            <w:pPr>
              <w:pStyle w:val="Marginlie"/>
            </w:pPr>
          </w:p>
          <w:p w14:paraId="14F7D76A" w14:textId="77777777" w:rsidR="0067514E" w:rsidRDefault="0067514E" w:rsidP="008D1E0A">
            <w:pPr>
              <w:pStyle w:val="Marginlie"/>
            </w:pPr>
          </w:p>
          <w:p w14:paraId="030FAA65" w14:textId="77777777" w:rsidR="0067514E" w:rsidRDefault="0067514E" w:rsidP="008D1E0A">
            <w:pPr>
              <w:pStyle w:val="Marginlie"/>
            </w:pPr>
            <w:r>
              <w:t>Zvolnění růstu ekonomiky během roku 2019 se promítlo i do dynamiky některých významných daňových příjmů.</w:t>
            </w:r>
          </w:p>
        </w:tc>
        <w:tc>
          <w:tcPr>
            <w:tcW w:w="217" w:type="dxa"/>
            <w:shd w:val="clear" w:color="auto" w:fill="auto"/>
            <w:tcMar>
              <w:left w:w="0" w:type="dxa"/>
            </w:tcMar>
          </w:tcPr>
          <w:p w14:paraId="0B08909A" w14:textId="77777777" w:rsidR="0067514E" w:rsidRDefault="0067514E" w:rsidP="008D1E0A">
            <w:pPr>
              <w:pStyle w:val="Textpoznpodarou"/>
              <w:jc w:val="both"/>
              <w:rPr>
                <w:spacing w:val="-4"/>
              </w:rPr>
            </w:pPr>
          </w:p>
        </w:tc>
        <w:tc>
          <w:tcPr>
            <w:tcW w:w="7720" w:type="dxa"/>
            <w:shd w:val="clear" w:color="auto" w:fill="auto"/>
            <w:tcMar>
              <w:left w:w="0" w:type="dxa"/>
            </w:tcMar>
          </w:tcPr>
          <w:p w14:paraId="62A0285B" w14:textId="6226DC2B" w:rsidR="0067514E" w:rsidRPr="0067514E" w:rsidRDefault="008B3690" w:rsidP="008D1E0A">
            <w:pPr>
              <w:pStyle w:val="Textpoznpodarou"/>
              <w:spacing w:line="276" w:lineRule="auto"/>
              <w:jc w:val="both"/>
              <w:rPr>
                <w:rFonts w:cs="Arial"/>
                <w:color w:val="0D0D0D" w:themeColor="text1" w:themeTint="F2"/>
                <w:spacing w:val="-6"/>
              </w:rPr>
            </w:pPr>
            <w:r>
              <w:rPr>
                <w:rFonts w:cs="Arial"/>
                <w:color w:val="0D0D0D" w:themeColor="text1" w:themeTint="F2"/>
                <w:spacing w:val="-6"/>
              </w:rPr>
              <w:t>D</w:t>
            </w:r>
            <w:r w:rsidRPr="0067514E">
              <w:rPr>
                <w:rFonts w:cs="Arial"/>
                <w:color w:val="0D0D0D" w:themeColor="text1" w:themeTint="F2"/>
                <w:spacing w:val="-6"/>
              </w:rPr>
              <w:t xml:space="preserve">luh </w:t>
            </w:r>
            <w:r>
              <w:rPr>
                <w:rFonts w:cs="Arial"/>
                <w:color w:val="0D0D0D" w:themeColor="text1" w:themeTint="F2"/>
                <w:spacing w:val="-6"/>
              </w:rPr>
              <w:t xml:space="preserve">celého </w:t>
            </w:r>
            <w:r w:rsidRPr="0067514E">
              <w:rPr>
                <w:rFonts w:cs="Arial"/>
                <w:color w:val="0D0D0D" w:themeColor="text1" w:themeTint="F2"/>
                <w:spacing w:val="-6"/>
              </w:rPr>
              <w:t xml:space="preserve">sektoru vládních institucí </w:t>
            </w:r>
            <w:r>
              <w:rPr>
                <w:rFonts w:cs="Arial"/>
                <w:color w:val="0D0D0D" w:themeColor="text1" w:themeTint="F2"/>
                <w:spacing w:val="-6"/>
              </w:rPr>
              <w:t xml:space="preserve">(zahrnujícího vedle ústředních </w:t>
            </w:r>
            <w:proofErr w:type="gramStart"/>
            <w:r>
              <w:rPr>
                <w:rFonts w:cs="Arial"/>
                <w:color w:val="0D0D0D" w:themeColor="text1" w:themeTint="F2"/>
                <w:spacing w:val="-6"/>
              </w:rPr>
              <w:t>i  místní</w:t>
            </w:r>
            <w:proofErr w:type="gramEnd"/>
            <w:r>
              <w:rPr>
                <w:rFonts w:cs="Arial"/>
                <w:color w:val="0D0D0D" w:themeColor="text1" w:themeTint="F2"/>
                <w:spacing w:val="-6"/>
              </w:rPr>
              <w:t xml:space="preserve"> vládní instituce či zdravotní pojišťovny) čítal dle údajů ČSÚ na</w:t>
            </w:r>
            <w:r w:rsidR="0067514E" w:rsidRPr="0067514E">
              <w:rPr>
                <w:rFonts w:cs="Arial"/>
                <w:color w:val="0D0D0D" w:themeColor="text1" w:themeTint="F2"/>
                <w:spacing w:val="-6"/>
              </w:rPr>
              <w:t xml:space="preserve"> konci roku </w:t>
            </w:r>
            <w:r>
              <w:rPr>
                <w:rFonts w:cs="Arial"/>
                <w:color w:val="0D0D0D" w:themeColor="text1" w:themeTint="F2"/>
                <w:spacing w:val="-6"/>
              </w:rPr>
              <w:t>2019</w:t>
            </w:r>
            <w:r w:rsidR="0067514E" w:rsidRPr="0067514E">
              <w:rPr>
                <w:rFonts w:cs="Arial"/>
                <w:color w:val="0D0D0D" w:themeColor="text1" w:themeTint="F2"/>
                <w:spacing w:val="-6"/>
              </w:rPr>
              <w:t xml:space="preserve"> </w:t>
            </w:r>
            <w:r>
              <w:rPr>
                <w:rFonts w:cs="Arial"/>
                <w:color w:val="0D0D0D" w:themeColor="text1" w:themeTint="F2"/>
                <w:spacing w:val="-6"/>
              </w:rPr>
              <w:t xml:space="preserve">výše </w:t>
            </w:r>
            <w:r w:rsidR="0067514E" w:rsidRPr="0067514E">
              <w:rPr>
                <w:rFonts w:cs="Arial"/>
                <w:color w:val="0D0D0D" w:themeColor="text1" w:themeTint="F2"/>
                <w:spacing w:val="-6"/>
              </w:rPr>
              <w:t xml:space="preserve">1 740 mld. korun a míra zadlužení </w:t>
            </w:r>
            <w:r>
              <w:rPr>
                <w:rFonts w:cs="Arial"/>
                <w:color w:val="0D0D0D" w:themeColor="text1" w:themeTint="F2"/>
                <w:spacing w:val="-6"/>
              </w:rPr>
              <w:t>činila</w:t>
            </w:r>
            <w:r w:rsidR="0067514E" w:rsidRPr="0067514E">
              <w:rPr>
                <w:rFonts w:cs="Arial"/>
                <w:color w:val="0D0D0D" w:themeColor="text1" w:themeTint="F2"/>
                <w:spacing w:val="-6"/>
              </w:rPr>
              <w:t xml:space="preserve"> 30,8 % HDP (desetileté minimum). Ta se za posledních šest let snížila o 14,1 p. b., v samotném roce 2019 pak o 1,8 p. b. (výhradně vlivem rostoucího nominálního HDP, neboť absolutní výše dluhu vzrostla o 5,8 mld. korun). Saldo hospodaření sektoru vládních institucí činilo loni 15,4 mld. korun, resp. +0,3 % HDP. Přebytku bylo dosaženo již počtvrté v řadě, ve srovnání s rokem 2018 byla ale loni jeho výše jen třetinová. Projevilo se primárně zhoršení u ústředních vládních institucí, kde saldo kleslo o 40,7 mld. korun (na </w:t>
            </w:r>
            <w:r w:rsidR="0067514E" w:rsidRPr="0067514E">
              <w:rPr>
                <w:spacing w:val="-6"/>
              </w:rPr>
              <w:t>–</w:t>
            </w:r>
            <w:r w:rsidR="0067514E" w:rsidRPr="0067514E">
              <w:rPr>
                <w:rFonts w:cs="Arial"/>
                <w:color w:val="0D0D0D" w:themeColor="text1" w:themeTint="F2"/>
                <w:spacing w:val="-6"/>
              </w:rPr>
              <w:t>31,7 mld., čtyřleté minimum). Zdravotní pojišťovny snížily přebytek hospodaření meziročně o třetinu, naopak místní vládní instituce (tvořené především kraji a obcemi) svůj kladný výsledek o polovinu vylepšily (na 36,0 mld.). Pozitivní bylo, že přebytku na místní úrovni bylo dosaženo při souběžném růstu investic</w:t>
            </w:r>
            <w:r w:rsidR="0067514E" w:rsidRPr="0067514E">
              <w:rPr>
                <w:rStyle w:val="Znakapoznpodarou"/>
                <w:color w:val="000000" w:themeColor="text1"/>
                <w:spacing w:val="-6"/>
              </w:rPr>
              <w:footnoteReference w:id="14"/>
            </w:r>
            <w:r w:rsidR="0067514E" w:rsidRPr="0067514E">
              <w:rPr>
                <w:rFonts w:cs="Arial"/>
                <w:color w:val="0D0D0D" w:themeColor="text1" w:themeTint="F2"/>
                <w:spacing w:val="-6"/>
              </w:rPr>
              <w:t xml:space="preserve">. Zpomalení ekonomického růstu během roku 2019 se na fiskální úrovni projevilo oslabením dynamiky daňových příjmů (zejména běžných daní z důchodů a sociálních příspěvků). To vyústilo ve zhoršující se saldo hospodaření celého sektoru vládních institucí – zatímco v 1. čtvrtletí dosáhlo po sezónním očištění +1,0 % HDP, na konci roku kleslo na </w:t>
            </w:r>
            <w:r w:rsidR="0067514E" w:rsidRPr="0067514E">
              <w:rPr>
                <w:spacing w:val="-6"/>
              </w:rPr>
              <w:t>–0,3 % a zaznamenalo první schodek za posledních pět let.</w:t>
            </w:r>
          </w:p>
          <w:p w14:paraId="353915AC" w14:textId="77777777" w:rsidR="0067514E" w:rsidRPr="0067514E" w:rsidRDefault="0067514E" w:rsidP="008D1E0A">
            <w:pPr>
              <w:pStyle w:val="Textpoznpodarou"/>
              <w:spacing w:line="276" w:lineRule="auto"/>
              <w:jc w:val="both"/>
              <w:rPr>
                <w:rFonts w:cs="Arial"/>
                <w:color w:val="0D0D0D" w:themeColor="text1" w:themeTint="F2"/>
                <w:spacing w:val="-6"/>
              </w:rPr>
            </w:pPr>
          </w:p>
        </w:tc>
      </w:tr>
      <w:tr w:rsidR="0067514E" w:rsidRPr="004F63A0" w14:paraId="6DD1A8BE" w14:textId="77777777" w:rsidTr="008D1E0A">
        <w:trPr>
          <w:trHeight w:val="145"/>
        </w:trPr>
        <w:tc>
          <w:tcPr>
            <w:tcW w:w="1732" w:type="dxa"/>
            <w:shd w:val="clear" w:color="auto" w:fill="auto"/>
            <w:tcMar>
              <w:left w:w="0" w:type="dxa"/>
            </w:tcMar>
          </w:tcPr>
          <w:p w14:paraId="4DA3F9C8" w14:textId="77777777" w:rsidR="0067514E" w:rsidRDefault="0067514E" w:rsidP="008D1E0A">
            <w:pPr>
              <w:pStyle w:val="Marginlie"/>
            </w:pPr>
            <w:r>
              <w:t>Česko drželo pozici čtvrté relativně nejméně zadlužené ekonomiky EU.</w:t>
            </w:r>
          </w:p>
          <w:p w14:paraId="26B23FC8" w14:textId="77777777" w:rsidR="0067514E" w:rsidRDefault="0067514E" w:rsidP="008D1E0A">
            <w:pPr>
              <w:pStyle w:val="Marginlie"/>
            </w:pPr>
          </w:p>
          <w:p w14:paraId="1F459222" w14:textId="77777777" w:rsidR="0067514E" w:rsidRDefault="0067514E" w:rsidP="008D1E0A">
            <w:pPr>
              <w:pStyle w:val="Marginlie"/>
            </w:pPr>
          </w:p>
          <w:p w14:paraId="4B03D7DA" w14:textId="77777777" w:rsidR="0067514E" w:rsidRDefault="0067514E" w:rsidP="008D1E0A">
            <w:pPr>
              <w:pStyle w:val="Marginlie"/>
            </w:pPr>
          </w:p>
          <w:p w14:paraId="6D7C9431" w14:textId="77777777" w:rsidR="0067514E" w:rsidRDefault="0067514E" w:rsidP="008D1E0A">
            <w:pPr>
              <w:pStyle w:val="Marginlie"/>
            </w:pPr>
          </w:p>
          <w:p w14:paraId="5F4E1F60" w14:textId="77777777" w:rsidR="0067514E" w:rsidRDefault="0067514E" w:rsidP="008D1E0A">
            <w:pPr>
              <w:pStyle w:val="Marginlie"/>
            </w:pPr>
            <w:r>
              <w:t>Po roce 2014 je v EU patrný pozvolný trend snižování míry zadlužení. Stav v nejpostiženějších ekonomikách se ale příliš nezlepšoval.</w:t>
            </w:r>
          </w:p>
        </w:tc>
        <w:tc>
          <w:tcPr>
            <w:tcW w:w="217" w:type="dxa"/>
            <w:shd w:val="clear" w:color="auto" w:fill="auto"/>
            <w:tcMar>
              <w:left w:w="0" w:type="dxa"/>
            </w:tcMar>
          </w:tcPr>
          <w:p w14:paraId="53167E37" w14:textId="77777777" w:rsidR="0067514E" w:rsidRDefault="0067514E" w:rsidP="008D1E0A">
            <w:pPr>
              <w:pStyle w:val="Textpoznpodarou"/>
              <w:jc w:val="both"/>
              <w:rPr>
                <w:spacing w:val="-4"/>
              </w:rPr>
            </w:pPr>
          </w:p>
        </w:tc>
        <w:tc>
          <w:tcPr>
            <w:tcW w:w="7720" w:type="dxa"/>
            <w:shd w:val="clear" w:color="auto" w:fill="auto"/>
            <w:tcMar>
              <w:left w:w="0" w:type="dxa"/>
            </w:tcMar>
          </w:tcPr>
          <w:p w14:paraId="20F4E3BE" w14:textId="33DD2E38" w:rsidR="0067514E" w:rsidRPr="0067514E" w:rsidRDefault="0067514E">
            <w:pPr>
              <w:pStyle w:val="Textpoznpodarou"/>
              <w:spacing w:line="276" w:lineRule="auto"/>
              <w:jc w:val="both"/>
              <w:rPr>
                <w:spacing w:val="-6"/>
              </w:rPr>
            </w:pPr>
            <w:r w:rsidRPr="0067514E">
              <w:rPr>
                <w:spacing w:val="-6"/>
              </w:rPr>
              <w:t xml:space="preserve">Dluh celého sektoru vládních institucí činil </w:t>
            </w:r>
            <w:r w:rsidRPr="0067514E">
              <w:rPr>
                <w:color w:val="000000" w:themeColor="text1"/>
                <w:spacing w:val="-6"/>
              </w:rPr>
              <w:t xml:space="preserve">dle aktuálních dat </w:t>
            </w:r>
            <w:r w:rsidRPr="0067514E">
              <w:rPr>
                <w:spacing w:val="-6"/>
              </w:rPr>
              <w:t xml:space="preserve">na konci </w:t>
            </w:r>
            <w:r w:rsidRPr="0067514E">
              <w:rPr>
                <w:color w:val="000000" w:themeColor="text1"/>
                <w:spacing w:val="-6"/>
              </w:rPr>
              <w:t>3. čtvrtletí 2019</w:t>
            </w:r>
            <w:r w:rsidR="007A7033" w:rsidRPr="0067514E">
              <w:rPr>
                <w:rStyle w:val="Znakapoznpodarou"/>
                <w:color w:val="000000" w:themeColor="text1"/>
                <w:spacing w:val="-6"/>
              </w:rPr>
              <w:footnoteReference w:id="15"/>
            </w:r>
            <w:r w:rsidRPr="0067514E">
              <w:rPr>
                <w:color w:val="000000" w:themeColor="text1"/>
                <w:spacing w:val="-6"/>
              </w:rPr>
              <w:t xml:space="preserve"> v ČR 32,0 % HDP. Česko tak zaujímalo pozici </w:t>
            </w:r>
            <w:r w:rsidRPr="0067514E">
              <w:rPr>
                <w:rFonts w:cs="Arial"/>
                <w:color w:val="0D0D0D" w:themeColor="text1" w:themeTint="F2"/>
                <w:spacing w:val="-6"/>
              </w:rPr>
              <w:t>čtvrté relativně nejméně zadlužené země EU </w:t>
            </w:r>
            <w:r w:rsidRPr="0067514E">
              <w:rPr>
                <w:spacing w:val="-6"/>
              </w:rPr>
              <w:t>–</w:t>
            </w:r>
            <w:r w:rsidRPr="0067514E">
              <w:rPr>
                <w:rFonts w:cs="Arial"/>
                <w:color w:val="0D0D0D" w:themeColor="text1" w:themeTint="F2"/>
                <w:spacing w:val="-6"/>
              </w:rPr>
              <w:t xml:space="preserve"> s</w:t>
            </w:r>
            <w:r w:rsidRPr="0067514E">
              <w:rPr>
                <w:color w:val="000000" w:themeColor="text1"/>
                <w:spacing w:val="-6"/>
              </w:rPr>
              <w:t xml:space="preserve"> větším </w:t>
            </w:r>
            <w:r w:rsidRPr="0067514E">
              <w:rPr>
                <w:rFonts w:cs="Arial"/>
                <w:color w:val="0D0D0D" w:themeColor="text1" w:themeTint="F2"/>
                <w:spacing w:val="-6"/>
              </w:rPr>
              <w:t>odstupem za Estonskem (9,2 %), Lucemburskem (20,2 %) a</w:t>
            </w:r>
            <w:r w:rsidRPr="0067514E">
              <w:rPr>
                <w:color w:val="000000" w:themeColor="text1"/>
                <w:spacing w:val="-6"/>
              </w:rPr>
              <w:t> </w:t>
            </w:r>
            <w:r w:rsidRPr="0067514E">
              <w:rPr>
                <w:rFonts w:cs="Arial"/>
                <w:color w:val="0D0D0D" w:themeColor="text1" w:themeTint="F2"/>
                <w:spacing w:val="-6"/>
              </w:rPr>
              <w:t>Bulharskem (20,6 %) a současně s minimálním předstihem před dalšími pěti státy (Dánskem, Švédskem, Rumunskem, Litvou a Lotyšskem). Výhradně vlivem růstu nominálníh</w:t>
            </w:r>
            <w:r w:rsidR="00A24DEB">
              <w:rPr>
                <w:rFonts w:cs="Arial"/>
                <w:color w:val="0D0D0D" w:themeColor="text1" w:themeTint="F2"/>
                <w:spacing w:val="-6"/>
              </w:rPr>
              <w:t>o HDP klesla míra zadlužení v Česku</w:t>
            </w:r>
            <w:r w:rsidRPr="0067514E">
              <w:rPr>
                <w:rFonts w:cs="Arial"/>
                <w:color w:val="0D0D0D" w:themeColor="text1" w:themeTint="F2"/>
                <w:spacing w:val="-6"/>
              </w:rPr>
              <w:t xml:space="preserve"> meziročně o 1,9 p. b., více než v eurozóně (</w:t>
            </w:r>
            <w:r w:rsidRPr="0067514E">
              <w:rPr>
                <w:spacing w:val="-6"/>
              </w:rPr>
              <w:t>–</w:t>
            </w:r>
            <w:r w:rsidR="00A24DEB">
              <w:rPr>
                <w:rFonts w:cs="Arial"/>
                <w:color w:val="0D0D0D" w:themeColor="text1" w:themeTint="F2"/>
                <w:spacing w:val="-6"/>
              </w:rPr>
              <w:t xml:space="preserve">1,0) jakož i v </w:t>
            </w:r>
            <w:r w:rsidRPr="0067514E">
              <w:rPr>
                <w:rFonts w:cs="Arial"/>
                <w:color w:val="0D0D0D" w:themeColor="text1" w:themeTint="F2"/>
                <w:spacing w:val="-6"/>
              </w:rPr>
              <w:t>EU (</w:t>
            </w:r>
            <w:r w:rsidRPr="0067514E">
              <w:rPr>
                <w:spacing w:val="-6"/>
              </w:rPr>
              <w:t>–</w:t>
            </w:r>
            <w:r w:rsidR="00A24DEB">
              <w:rPr>
                <w:rFonts w:cs="Arial"/>
                <w:color w:val="0D0D0D" w:themeColor="text1" w:themeTint="F2"/>
                <w:spacing w:val="-6"/>
              </w:rPr>
              <w:t>1,3</w:t>
            </w:r>
            <w:r w:rsidRPr="0067514E">
              <w:rPr>
                <w:rFonts w:cs="Arial"/>
                <w:color w:val="0D0D0D" w:themeColor="text1" w:themeTint="F2"/>
                <w:spacing w:val="-6"/>
              </w:rPr>
              <w:t>).</w:t>
            </w:r>
            <w:r w:rsidRPr="0067514E">
              <w:rPr>
                <w:spacing w:val="-6"/>
              </w:rPr>
              <w:t xml:space="preserve"> </w:t>
            </w:r>
            <w:r w:rsidRPr="0067514E">
              <w:rPr>
                <w:rFonts w:cs="Arial"/>
                <w:color w:val="0D0D0D" w:themeColor="text1" w:themeTint="F2"/>
                <w:spacing w:val="-6"/>
              </w:rPr>
              <w:t>Míra zadluženosti klesala v EU i v eurozóně již pátým rokem v řadě, tempo redukce se ale navzdory dlouhodobějšímu hospodářskému růstu nedařilo zrychlovat. To souvisí hlavně s tím, že sektor vládních institucí v zemích EU vykazoval stále negativní saldo hospodaření, jež se v posledních čtvrtletích již nesnižovalo</w:t>
            </w:r>
            <w:r w:rsidRPr="0067514E">
              <w:rPr>
                <w:rStyle w:val="Znakapoznpodarou"/>
                <w:color w:val="000000" w:themeColor="text1"/>
                <w:spacing w:val="-6"/>
              </w:rPr>
              <w:footnoteReference w:id="16"/>
            </w:r>
            <w:r w:rsidRPr="0067514E">
              <w:rPr>
                <w:rFonts w:cs="Arial"/>
                <w:color w:val="0D0D0D" w:themeColor="text1" w:themeTint="F2"/>
                <w:spacing w:val="-6"/>
              </w:rPr>
              <w:t xml:space="preserve">. Míra zadluženosti se ve </w:t>
            </w:r>
            <w:r w:rsidR="008B3690">
              <w:rPr>
                <w:rFonts w:cs="Arial"/>
                <w:color w:val="0D0D0D" w:themeColor="text1" w:themeTint="F2"/>
                <w:spacing w:val="-6"/>
              </w:rPr>
              <w:t>3</w:t>
            </w:r>
            <w:r w:rsidRPr="0067514E">
              <w:rPr>
                <w:rFonts w:cs="Arial"/>
                <w:color w:val="0D0D0D" w:themeColor="text1" w:themeTint="F2"/>
                <w:spacing w:val="-6"/>
              </w:rPr>
              <w:t xml:space="preserve">. čtvrtletí </w:t>
            </w:r>
            <w:r w:rsidR="008B3690">
              <w:rPr>
                <w:rFonts w:cs="Arial"/>
                <w:color w:val="0D0D0D" w:themeColor="text1" w:themeTint="F2"/>
                <w:spacing w:val="-6"/>
              </w:rPr>
              <w:t xml:space="preserve">2019 </w:t>
            </w:r>
            <w:r w:rsidRPr="0067514E">
              <w:rPr>
                <w:rFonts w:cs="Arial"/>
                <w:color w:val="0D0D0D" w:themeColor="text1" w:themeTint="F2"/>
                <w:spacing w:val="-6"/>
              </w:rPr>
              <w:t>meziročně sníži</w:t>
            </w:r>
            <w:r w:rsidR="0044279E">
              <w:rPr>
                <w:rFonts w:cs="Arial"/>
                <w:color w:val="0D0D0D" w:themeColor="text1" w:themeTint="F2"/>
                <w:spacing w:val="-6"/>
              </w:rPr>
              <w:t>la ve třech čtvrtinách států</w:t>
            </w:r>
            <w:r w:rsidRPr="0067514E">
              <w:rPr>
                <w:rFonts w:cs="Arial"/>
                <w:color w:val="0D0D0D" w:themeColor="text1" w:themeTint="F2"/>
                <w:spacing w:val="-6"/>
              </w:rPr>
              <w:t xml:space="preserve"> Unie, k mírnému nárůstu ale došlo mj. i v některých vysoce zadlužených ekonomikách (v Itálii na 137,3 % HDP a ve Francii na 100,5 %). Zadlužení pod 60 % HDP vykázala necelá polovina členů eurozóny, z toho z jádrových zemí (EU15) jen Lucembursko, Nizozemsko a Finsko. </w:t>
            </w:r>
            <w:r w:rsidRPr="0067514E">
              <w:rPr>
                <w:rFonts w:cs="Arial"/>
                <w:bCs/>
                <w:iCs/>
                <w:color w:val="0D0D0D" w:themeColor="text1" w:themeTint="F2"/>
                <w:spacing w:val="-6"/>
              </w:rPr>
              <w:t>Snížit svou míru zadluženosti pod úroveň minima z</w:t>
            </w:r>
            <w:r w:rsidRPr="0067514E">
              <w:rPr>
                <w:rFonts w:cs="Arial"/>
                <w:color w:val="0D0D0D" w:themeColor="text1" w:themeTint="F2"/>
                <w:spacing w:val="-6"/>
              </w:rPr>
              <w:t> </w:t>
            </w:r>
            <w:r w:rsidRPr="0067514E">
              <w:rPr>
                <w:rFonts w:cs="Arial"/>
                <w:bCs/>
                <w:iCs/>
                <w:color w:val="0D0D0D" w:themeColor="text1" w:themeTint="F2"/>
                <w:spacing w:val="-6"/>
              </w:rPr>
              <w:t>konjunkturního období 2006 až 2008 se dosud podařilo jen Německu a Maltě. Této úrovni se dále těsně blížilo již jen Švédsko, ČR ji stále překonávala o více než 5 p. b.</w:t>
            </w:r>
          </w:p>
        </w:tc>
      </w:tr>
      <w:bookmarkEnd w:id="1"/>
    </w:tbl>
    <w:p w14:paraId="400EECF4" w14:textId="1D3BCF3A" w:rsidR="00965797" w:rsidRPr="00485E82" w:rsidRDefault="00965797" w:rsidP="0067514E">
      <w:pPr>
        <w:pStyle w:val="Nadpis11"/>
        <w:rPr>
          <w:b w:val="0"/>
          <w:sz w:val="2"/>
          <w:szCs w:val="2"/>
          <w:highlight w:val="yellow"/>
        </w:rPr>
      </w:pPr>
    </w:p>
    <w:sectPr w:rsidR="00965797" w:rsidRPr="00485E82" w:rsidSect="002C27DA">
      <w:headerReference w:type="even" r:id="rId11"/>
      <w:headerReference w:type="default" r:id="rId12"/>
      <w:footerReference w:type="even" r:id="rId13"/>
      <w:footerReference w:type="default" r:id="rId14"/>
      <w:pgSz w:w="11906" w:h="16838" w:code="9"/>
      <w:pgMar w:top="1134" w:right="1134" w:bottom="1418" w:left="1134" w:header="680" w:footer="737"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D2585" w14:textId="77777777" w:rsidR="00C831E7" w:rsidRDefault="00C831E7" w:rsidP="00E71A58">
      <w:r>
        <w:separator/>
      </w:r>
    </w:p>
  </w:endnote>
  <w:endnote w:type="continuationSeparator" w:id="0">
    <w:p w14:paraId="62146C34" w14:textId="77777777" w:rsidR="00C831E7" w:rsidRDefault="00C831E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1A0D" w14:textId="68C31C39" w:rsidR="003474B6" w:rsidRPr="00932443" w:rsidRDefault="003474B6"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4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Pr>
        <w:szCs w:val="16"/>
      </w:rPr>
      <w:t>22</w:t>
    </w:r>
    <w:r w:rsidRPr="00932443">
      <w:rPr>
        <w:szCs w:val="16"/>
      </w:rPr>
      <w:fldChar w:fldCharType="end"/>
    </w:r>
    <w:r w:rsidRPr="00932443">
      <w:rPr>
        <w:szCs w:val="16"/>
      </w:rPr>
      <w:tab/>
    </w:r>
    <w:r>
      <w:rPr>
        <w:szCs w:val="16"/>
      </w:rPr>
      <w:t>Rok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7E4B" w14:textId="540E6951" w:rsidR="003474B6" w:rsidRPr="00932443" w:rsidRDefault="003474B6" w:rsidP="00FA6CB6">
    <w:pPr>
      <w:pStyle w:val="Zpat"/>
      <w:rPr>
        <w:szCs w:val="16"/>
      </w:rPr>
    </w:pPr>
    <w:r w:rsidRPr="00FA6CB6">
      <w:rPr>
        <w:szCs w:val="16"/>
      </w:rPr>
      <w:tab/>
    </w:r>
    <w:r>
      <w:rPr>
        <w:szCs w:val="16"/>
      </w:rPr>
      <w:t xml:space="preserve">Rok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45"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Pr>
        <w:rStyle w:val="ZpatChar"/>
        <w:szCs w:val="16"/>
      </w:rPr>
      <w:t>23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9B6B6" w14:textId="77777777" w:rsidR="00C831E7" w:rsidRDefault="00C831E7" w:rsidP="00A21B4D">
      <w:pPr>
        <w:spacing w:after="0"/>
      </w:pPr>
      <w:r>
        <w:separator/>
      </w:r>
    </w:p>
  </w:footnote>
  <w:footnote w:type="continuationSeparator" w:id="0">
    <w:p w14:paraId="0072FE5B" w14:textId="77777777" w:rsidR="00C831E7" w:rsidRDefault="00C831E7" w:rsidP="00E71A58">
      <w:r>
        <w:continuationSeparator/>
      </w:r>
    </w:p>
  </w:footnote>
  <w:footnote w:id="1">
    <w:p w14:paraId="697E5DC5" w14:textId="77777777" w:rsidR="003474B6" w:rsidRPr="007F5302" w:rsidRDefault="003474B6" w:rsidP="0067514E">
      <w:pPr>
        <w:pStyle w:val="Textpoznpodarou"/>
        <w:jc w:val="both"/>
        <w:rPr>
          <w:sz w:val="16"/>
          <w:szCs w:val="16"/>
        </w:rPr>
      </w:pPr>
      <w:r w:rsidRPr="007F5302">
        <w:rPr>
          <w:rStyle w:val="Znakapoznpodarou"/>
          <w:sz w:val="16"/>
          <w:szCs w:val="16"/>
        </w:rPr>
        <w:footnoteRef/>
      </w:r>
      <w:r w:rsidRPr="007F5302">
        <w:rPr>
          <w:sz w:val="16"/>
          <w:szCs w:val="16"/>
        </w:rPr>
        <w:t xml:space="preserve"> </w:t>
      </w:r>
      <w:r w:rsidRPr="007F5302">
        <w:rPr>
          <w:color w:val="0D0D0D" w:themeColor="text1" w:themeTint="F2"/>
          <w:sz w:val="16"/>
          <w:szCs w:val="16"/>
        </w:rPr>
        <w:t xml:space="preserve">Pokud není uvedeno jinak, vycházejí všechny údaje týkající se státního rozpočtu </w:t>
      </w:r>
      <w:r w:rsidRPr="007F5302">
        <w:rPr>
          <w:rFonts w:cs="Arial"/>
          <w:color w:val="0D0D0D" w:themeColor="text1" w:themeTint="F2"/>
          <w:sz w:val="16"/>
          <w:szCs w:val="16"/>
        </w:rPr>
        <w:t>z</w:t>
      </w:r>
      <w:r>
        <w:rPr>
          <w:rFonts w:cs="Arial"/>
          <w:color w:val="0D0D0D" w:themeColor="text1" w:themeTint="F2"/>
          <w:sz w:val="16"/>
          <w:szCs w:val="16"/>
        </w:rPr>
        <w:t> </w:t>
      </w:r>
      <w:r w:rsidRPr="007F5302">
        <w:rPr>
          <w:rFonts w:cs="Arial"/>
          <w:color w:val="0D0D0D" w:themeColor="text1" w:themeTint="F2"/>
          <w:sz w:val="16"/>
          <w:szCs w:val="16"/>
        </w:rPr>
        <w:t>dat Ministerstva financí o pokladním plnění.</w:t>
      </w:r>
    </w:p>
  </w:footnote>
  <w:footnote w:id="2">
    <w:p w14:paraId="2FE03E36" w14:textId="77777777" w:rsidR="003474B6" w:rsidRPr="007F5302" w:rsidRDefault="003474B6" w:rsidP="0067514E">
      <w:pPr>
        <w:pStyle w:val="Textpoznpodarou"/>
        <w:jc w:val="both"/>
        <w:rPr>
          <w:sz w:val="16"/>
          <w:szCs w:val="16"/>
        </w:rPr>
      </w:pPr>
      <w:r w:rsidRPr="003F67A6">
        <w:rPr>
          <w:rStyle w:val="Znakapoznpodarou"/>
          <w:sz w:val="16"/>
          <w:szCs w:val="16"/>
        </w:rPr>
        <w:footnoteRef/>
      </w:r>
      <w:r w:rsidRPr="003F67A6">
        <w:rPr>
          <w:sz w:val="16"/>
          <w:szCs w:val="16"/>
        </w:rPr>
        <w:t xml:space="preserve"> </w:t>
      </w:r>
      <w:r w:rsidRPr="003F67A6">
        <w:rPr>
          <w:color w:val="0D0D0D" w:themeColor="text1" w:themeTint="F2"/>
          <w:sz w:val="16"/>
          <w:szCs w:val="16"/>
        </w:rPr>
        <w:t>Dle propočtů</w:t>
      </w:r>
      <w:r>
        <w:rPr>
          <w:color w:val="0D0D0D" w:themeColor="text1" w:themeTint="F2"/>
          <w:sz w:val="16"/>
          <w:szCs w:val="16"/>
        </w:rPr>
        <w:t> </w:t>
      </w:r>
      <w:r w:rsidRPr="003F67A6">
        <w:rPr>
          <w:color w:val="0D0D0D" w:themeColor="text1" w:themeTint="F2"/>
          <w:sz w:val="16"/>
          <w:szCs w:val="16"/>
        </w:rPr>
        <w:t xml:space="preserve">MF skončilo </w:t>
      </w:r>
      <w:r w:rsidRPr="003F67A6">
        <w:rPr>
          <w:sz w:val="16"/>
          <w:szCs w:val="16"/>
        </w:rPr>
        <w:t>hospodaření</w:t>
      </w:r>
      <w:r>
        <w:rPr>
          <w:sz w:val="16"/>
          <w:szCs w:val="16"/>
        </w:rPr>
        <w:t> </w:t>
      </w:r>
      <w:r w:rsidRPr="003F67A6">
        <w:rPr>
          <w:sz w:val="16"/>
          <w:szCs w:val="16"/>
        </w:rPr>
        <w:t>SR</w:t>
      </w:r>
      <w:r w:rsidRPr="003F67A6">
        <w:rPr>
          <w:rStyle w:val="Zdraznn"/>
        </w:rPr>
        <w:t xml:space="preserve"> </w:t>
      </w:r>
      <w:r w:rsidRPr="003F67A6">
        <w:rPr>
          <w:iCs/>
          <w:sz w:val="16"/>
          <w:szCs w:val="16"/>
        </w:rPr>
        <w:t>očištěné o</w:t>
      </w:r>
      <w:r>
        <w:rPr>
          <w:iCs/>
          <w:sz w:val="16"/>
          <w:szCs w:val="16"/>
        </w:rPr>
        <w:t> </w:t>
      </w:r>
      <w:r w:rsidRPr="003F67A6">
        <w:rPr>
          <w:iCs/>
          <w:sz w:val="16"/>
          <w:szCs w:val="16"/>
        </w:rPr>
        <w:t>prostředky na programy a</w:t>
      </w:r>
      <w:r>
        <w:rPr>
          <w:iCs/>
          <w:sz w:val="16"/>
          <w:szCs w:val="16"/>
        </w:rPr>
        <w:t> </w:t>
      </w:r>
      <w:r w:rsidRPr="003F67A6">
        <w:rPr>
          <w:iCs/>
          <w:sz w:val="16"/>
          <w:szCs w:val="16"/>
        </w:rPr>
        <w:t>projekty z</w:t>
      </w:r>
      <w:r>
        <w:rPr>
          <w:iCs/>
          <w:sz w:val="16"/>
          <w:szCs w:val="16"/>
        </w:rPr>
        <w:t> </w:t>
      </w:r>
      <w:r w:rsidRPr="003F67A6">
        <w:rPr>
          <w:iCs/>
          <w:sz w:val="16"/>
          <w:szCs w:val="16"/>
        </w:rPr>
        <w:t>rozpo</w:t>
      </w:r>
      <w:r>
        <w:rPr>
          <w:iCs/>
          <w:sz w:val="16"/>
          <w:szCs w:val="16"/>
        </w:rPr>
        <w:t xml:space="preserve">čtu EU a finančních mechanismů </w:t>
      </w:r>
      <w:r w:rsidRPr="00A1332F">
        <w:rPr>
          <w:rStyle w:val="Zdraznn"/>
          <w:i w:val="0"/>
          <w:color w:val="0D0D0D" w:themeColor="text1" w:themeTint="F2"/>
          <w:sz w:val="16"/>
          <w:szCs w:val="16"/>
        </w:rPr>
        <w:t>(EHP a</w:t>
      </w:r>
      <w:r>
        <w:rPr>
          <w:rStyle w:val="Zdraznn"/>
          <w:i w:val="0"/>
          <w:color w:val="0D0D0D" w:themeColor="text1" w:themeTint="F2"/>
          <w:sz w:val="16"/>
          <w:szCs w:val="16"/>
        </w:rPr>
        <w:t> </w:t>
      </w:r>
      <w:r w:rsidRPr="00A1332F">
        <w:rPr>
          <w:rStyle w:val="Zdraznn"/>
          <w:i w:val="0"/>
          <w:color w:val="0D0D0D" w:themeColor="text1" w:themeTint="F2"/>
          <w:sz w:val="16"/>
          <w:szCs w:val="16"/>
        </w:rPr>
        <w:t>Norské fondy, Program švýcarsko</w:t>
      </w:r>
      <w:r>
        <w:rPr>
          <w:rStyle w:val="Zdraznn"/>
          <w:i w:val="0"/>
          <w:color w:val="0D0D0D" w:themeColor="text1" w:themeTint="F2"/>
          <w:sz w:val="16"/>
          <w:szCs w:val="16"/>
        </w:rPr>
        <w:noBreakHyphen/>
      </w:r>
      <w:r w:rsidRPr="00A1332F">
        <w:rPr>
          <w:rStyle w:val="Zdraznn"/>
          <w:i w:val="0"/>
          <w:color w:val="0D0D0D" w:themeColor="text1" w:themeTint="F2"/>
          <w:sz w:val="16"/>
          <w:szCs w:val="16"/>
        </w:rPr>
        <w:t>české spolupráce)</w:t>
      </w:r>
      <w:r>
        <w:rPr>
          <w:iCs/>
          <w:sz w:val="16"/>
          <w:szCs w:val="16"/>
        </w:rPr>
        <w:t xml:space="preserve">, </w:t>
      </w:r>
      <w:r w:rsidRPr="003F67A6">
        <w:rPr>
          <w:iCs/>
          <w:sz w:val="16"/>
          <w:szCs w:val="16"/>
        </w:rPr>
        <w:t>které byly předfinancovány ze</w:t>
      </w:r>
      <w:r>
        <w:rPr>
          <w:iCs/>
          <w:sz w:val="16"/>
          <w:szCs w:val="16"/>
        </w:rPr>
        <w:t> </w:t>
      </w:r>
      <w:r w:rsidRPr="003F67A6">
        <w:rPr>
          <w:iCs/>
          <w:sz w:val="16"/>
          <w:szCs w:val="16"/>
        </w:rPr>
        <w:t>SR a</w:t>
      </w:r>
      <w:r>
        <w:rPr>
          <w:iCs/>
          <w:sz w:val="16"/>
          <w:szCs w:val="16"/>
        </w:rPr>
        <w:t> </w:t>
      </w:r>
      <w:r w:rsidRPr="003F67A6">
        <w:rPr>
          <w:iCs/>
          <w:sz w:val="16"/>
          <w:szCs w:val="16"/>
        </w:rPr>
        <w:t>následně</w:t>
      </w:r>
      <w:r>
        <w:rPr>
          <w:iCs/>
          <w:sz w:val="16"/>
          <w:szCs w:val="16"/>
        </w:rPr>
        <w:t xml:space="preserve"> propláceny z rozpočtu EU a finančních mechanismů, v roce 2019 schodkem 27,7 mld. korun, meziročně o 24,2 mld. hlubším.</w:t>
      </w:r>
    </w:p>
  </w:footnote>
  <w:footnote w:id="3">
    <w:p w14:paraId="48BF69D2" w14:textId="77777777" w:rsidR="003474B6" w:rsidRPr="00A70614" w:rsidRDefault="003474B6" w:rsidP="0067514E">
      <w:pPr>
        <w:pStyle w:val="Textpoznpodarou"/>
        <w:jc w:val="both"/>
        <w:rPr>
          <w:color w:val="0D0D0D" w:themeColor="text1" w:themeTint="F2"/>
          <w:sz w:val="16"/>
          <w:szCs w:val="16"/>
        </w:rPr>
      </w:pPr>
      <w:r w:rsidRPr="003F67A6">
        <w:rPr>
          <w:rStyle w:val="Znakapoznpodarou"/>
          <w:sz w:val="16"/>
          <w:szCs w:val="16"/>
        </w:rPr>
        <w:footnoteRef/>
      </w:r>
      <w:r w:rsidRPr="003F67A6">
        <w:rPr>
          <w:sz w:val="16"/>
          <w:szCs w:val="16"/>
        </w:rPr>
        <w:t xml:space="preserve"> </w:t>
      </w:r>
      <w:r w:rsidRPr="003F67A6">
        <w:rPr>
          <w:color w:val="0D0D0D" w:themeColor="text1" w:themeTint="F2"/>
          <w:sz w:val="16"/>
          <w:szCs w:val="16"/>
        </w:rPr>
        <w:t xml:space="preserve">Dle </w:t>
      </w:r>
      <w:r>
        <w:rPr>
          <w:color w:val="0D0D0D" w:themeColor="text1" w:themeTint="F2"/>
          <w:sz w:val="16"/>
          <w:szCs w:val="16"/>
        </w:rPr>
        <w:t>údajů ČSÚ vzrostla v roce 2019 spotřeba motorového benzínu (včetně biosložek) meziročně o 0,7 %, motorové nafty o 1,5 % a leteckého petroleje o 3,9 %. V samotném 4. čtvrtletí bylo tempo spotřeby slabší, v případě motorové nafty i benzínu byl zaznamenán velmi mírný meziroční pokles (o 0,2 %, resp. 0,5 %).</w:t>
      </w:r>
    </w:p>
  </w:footnote>
  <w:footnote w:id="4">
    <w:p w14:paraId="724B6CB6" w14:textId="77777777" w:rsidR="003474B6" w:rsidRPr="007F5302" w:rsidRDefault="003474B6" w:rsidP="0067514E">
      <w:pPr>
        <w:pStyle w:val="Textpoznpodarou"/>
        <w:jc w:val="both"/>
        <w:rPr>
          <w:sz w:val="16"/>
          <w:szCs w:val="16"/>
        </w:rPr>
      </w:pPr>
      <w:r w:rsidRPr="007F5302">
        <w:rPr>
          <w:rStyle w:val="Znakapoznpodarou"/>
          <w:sz w:val="16"/>
          <w:szCs w:val="16"/>
        </w:rPr>
        <w:footnoteRef/>
      </w:r>
      <w:r w:rsidRPr="007F5302">
        <w:rPr>
          <w:sz w:val="16"/>
          <w:szCs w:val="16"/>
        </w:rPr>
        <w:t xml:space="preserve"> </w:t>
      </w:r>
      <w:r>
        <w:rPr>
          <w:color w:val="0D0D0D" w:themeColor="text1" w:themeTint="F2"/>
          <w:sz w:val="16"/>
          <w:szCs w:val="16"/>
        </w:rPr>
        <w:t>U daně z příjmů fyzických osob bylo předkrizové maximum (z roku 2007) překonáno již v roce 2015.</w:t>
      </w:r>
    </w:p>
  </w:footnote>
  <w:footnote w:id="5">
    <w:p w14:paraId="529670A3" w14:textId="77777777" w:rsidR="003474B6" w:rsidRPr="006D61C4" w:rsidRDefault="003474B6" w:rsidP="0067514E">
      <w:pPr>
        <w:pStyle w:val="Textpoznpodarou"/>
        <w:jc w:val="both"/>
        <w:rPr>
          <w:sz w:val="16"/>
          <w:szCs w:val="16"/>
        </w:rPr>
      </w:pPr>
      <w:r w:rsidRPr="006D61C4">
        <w:rPr>
          <w:rStyle w:val="Znakapoznpodarou"/>
          <w:sz w:val="16"/>
          <w:szCs w:val="16"/>
        </w:rPr>
        <w:footnoteRef/>
      </w:r>
      <w:r w:rsidRPr="006D61C4">
        <w:rPr>
          <w:sz w:val="16"/>
          <w:szCs w:val="16"/>
        </w:rPr>
        <w:t xml:space="preserve"> </w:t>
      </w:r>
      <w:r>
        <w:rPr>
          <w:sz w:val="16"/>
          <w:szCs w:val="16"/>
        </w:rPr>
        <w:t xml:space="preserve">V tomto nadstandardně vysokém </w:t>
      </w:r>
      <w:r>
        <w:rPr>
          <w:color w:val="0D0D0D" w:themeColor="text1" w:themeTint="F2"/>
          <w:spacing w:val="-2"/>
          <w:sz w:val="16"/>
          <w:szCs w:val="16"/>
        </w:rPr>
        <w:t>tempu růstu výdajů se promítl i </w:t>
      </w:r>
      <w:r w:rsidRPr="00D3653C">
        <w:rPr>
          <w:color w:val="0D0D0D" w:themeColor="text1" w:themeTint="F2"/>
          <w:spacing w:val="-2"/>
          <w:sz w:val="16"/>
          <w:szCs w:val="16"/>
        </w:rPr>
        <w:t xml:space="preserve">neplánovaný </w:t>
      </w:r>
      <w:r>
        <w:rPr>
          <w:color w:val="0D0D0D" w:themeColor="text1" w:themeTint="F2"/>
          <w:spacing w:val="-2"/>
          <w:sz w:val="16"/>
          <w:szCs w:val="16"/>
        </w:rPr>
        <w:t>(z pohledu celkového rozpočtu neutrální)</w:t>
      </w:r>
      <w:r w:rsidRPr="00D3653C">
        <w:rPr>
          <w:color w:val="0D0D0D" w:themeColor="text1" w:themeTint="F2"/>
          <w:spacing w:val="-2"/>
          <w:sz w:val="16"/>
          <w:szCs w:val="16"/>
        </w:rPr>
        <w:t xml:space="preserve"> přev</w:t>
      </w:r>
      <w:r>
        <w:rPr>
          <w:color w:val="0D0D0D" w:themeColor="text1" w:themeTint="F2"/>
          <w:spacing w:val="-2"/>
          <w:sz w:val="16"/>
          <w:szCs w:val="16"/>
        </w:rPr>
        <w:t>od 18,6 mld. korun související s</w:t>
      </w:r>
      <w:r>
        <w:rPr>
          <w:spacing w:val="-2"/>
          <w:sz w:val="16"/>
          <w:szCs w:val="16"/>
        </w:rPr>
        <w:t> </w:t>
      </w:r>
      <w:r w:rsidRPr="00D3653C">
        <w:rPr>
          <w:color w:val="0D0D0D" w:themeColor="text1" w:themeTint="F2"/>
          <w:spacing w:val="-2"/>
          <w:sz w:val="16"/>
          <w:szCs w:val="16"/>
        </w:rPr>
        <w:t>přebytkem hospodaření systému důchodového pojištění za rok 2018 (z</w:t>
      </w:r>
      <w:r>
        <w:rPr>
          <w:color w:val="0D0D0D" w:themeColor="text1" w:themeTint="F2"/>
          <w:spacing w:val="-2"/>
          <w:sz w:val="16"/>
          <w:szCs w:val="16"/>
        </w:rPr>
        <w:t> </w:t>
      </w:r>
      <w:r w:rsidRPr="00D3653C">
        <w:rPr>
          <w:color w:val="0D0D0D" w:themeColor="text1" w:themeTint="F2"/>
          <w:spacing w:val="-2"/>
          <w:sz w:val="16"/>
          <w:szCs w:val="16"/>
        </w:rPr>
        <w:t>kapitoly Všeobecná pokladní správa do kapitoly Operace státních finančních aktiv). Bez toho</w:t>
      </w:r>
      <w:r>
        <w:rPr>
          <w:color w:val="0D0D0D" w:themeColor="text1" w:themeTint="F2"/>
          <w:spacing w:val="-2"/>
          <w:sz w:val="16"/>
          <w:szCs w:val="16"/>
        </w:rPr>
        <w:t>to</w:t>
      </w:r>
      <w:r w:rsidRPr="00D3653C">
        <w:rPr>
          <w:color w:val="0D0D0D" w:themeColor="text1" w:themeTint="F2"/>
          <w:spacing w:val="-2"/>
          <w:sz w:val="16"/>
          <w:szCs w:val="16"/>
        </w:rPr>
        <w:t xml:space="preserve"> převodu by meziroční tempo výdajů činilo 9,4</w:t>
      </w:r>
      <w:r>
        <w:rPr>
          <w:color w:val="0D0D0D" w:themeColor="text1" w:themeTint="F2"/>
          <w:spacing w:val="-2"/>
          <w:sz w:val="16"/>
          <w:szCs w:val="16"/>
        </w:rPr>
        <w:t> %</w:t>
      </w:r>
      <w:r w:rsidRPr="00D3653C">
        <w:rPr>
          <w:color w:val="0D0D0D" w:themeColor="text1" w:themeTint="F2"/>
          <w:spacing w:val="-2"/>
          <w:sz w:val="16"/>
          <w:szCs w:val="16"/>
        </w:rPr>
        <w:t>.</w:t>
      </w:r>
    </w:p>
  </w:footnote>
  <w:footnote w:id="6">
    <w:p w14:paraId="706BF40E" w14:textId="77777777" w:rsidR="003474B6" w:rsidRPr="006D61C4" w:rsidRDefault="003474B6" w:rsidP="0067514E">
      <w:pPr>
        <w:pStyle w:val="Textpoznpodarou"/>
        <w:jc w:val="both"/>
        <w:rPr>
          <w:sz w:val="16"/>
          <w:szCs w:val="16"/>
        </w:rPr>
      </w:pPr>
      <w:r w:rsidRPr="006D61C4">
        <w:rPr>
          <w:rStyle w:val="Znakapoznpodarou"/>
          <w:sz w:val="16"/>
          <w:szCs w:val="16"/>
        </w:rPr>
        <w:footnoteRef/>
      </w:r>
      <w:r w:rsidRPr="006D61C4">
        <w:rPr>
          <w:sz w:val="16"/>
          <w:szCs w:val="16"/>
        </w:rPr>
        <w:t xml:space="preserve"> </w:t>
      </w:r>
      <w:r>
        <w:rPr>
          <w:color w:val="0D0D0D" w:themeColor="text1" w:themeTint="F2"/>
          <w:spacing w:val="-2"/>
          <w:sz w:val="16"/>
          <w:szCs w:val="16"/>
        </w:rPr>
        <w:t xml:space="preserve">Celkové výdaje </w:t>
      </w:r>
      <w:r w:rsidRPr="003C770C">
        <w:rPr>
          <w:spacing w:val="-2"/>
          <w:sz w:val="16"/>
          <w:szCs w:val="16"/>
        </w:rPr>
        <w:t>na financování společných programů</w:t>
      </w:r>
      <w:r>
        <w:rPr>
          <w:spacing w:val="-2"/>
          <w:sz w:val="16"/>
          <w:szCs w:val="16"/>
        </w:rPr>
        <w:t xml:space="preserve"> EU a ČR dosáhly loni 140,4 mld. korun a meziročně posílily o osminu. Tato položka zahrnuje i neinvestiční výdaje (např. přímé platby zemědělcům).</w:t>
      </w:r>
    </w:p>
  </w:footnote>
  <w:footnote w:id="7">
    <w:p w14:paraId="787EAAED" w14:textId="77777777" w:rsidR="003474B6" w:rsidRPr="006D61C4" w:rsidRDefault="003474B6" w:rsidP="0067514E">
      <w:pPr>
        <w:pStyle w:val="Textpoznpodarou"/>
        <w:jc w:val="both"/>
        <w:rPr>
          <w:sz w:val="16"/>
          <w:szCs w:val="16"/>
        </w:rPr>
      </w:pPr>
      <w:r w:rsidRPr="006D61C4">
        <w:rPr>
          <w:rStyle w:val="Znakapoznpodarou"/>
          <w:sz w:val="16"/>
          <w:szCs w:val="16"/>
        </w:rPr>
        <w:footnoteRef/>
      </w:r>
      <w:r w:rsidRPr="006D61C4">
        <w:rPr>
          <w:sz w:val="16"/>
          <w:szCs w:val="16"/>
        </w:rPr>
        <w:t xml:space="preserve"> </w:t>
      </w:r>
      <w:r>
        <w:rPr>
          <w:color w:val="0D0D0D" w:themeColor="text1" w:themeTint="F2"/>
          <w:spacing w:val="-2"/>
          <w:sz w:val="16"/>
          <w:szCs w:val="16"/>
        </w:rPr>
        <w:t>Šlo hlavně o meziroční na</w:t>
      </w:r>
      <w:r w:rsidRPr="00466BF5">
        <w:rPr>
          <w:spacing w:val="-2"/>
          <w:sz w:val="16"/>
          <w:szCs w:val="16"/>
        </w:rPr>
        <w:t>výšení objemu prost</w:t>
      </w:r>
      <w:r>
        <w:rPr>
          <w:spacing w:val="-2"/>
          <w:sz w:val="16"/>
          <w:szCs w:val="16"/>
        </w:rPr>
        <w:t>ředků na platy pedagogických</w:t>
      </w:r>
      <w:r w:rsidRPr="00466BF5">
        <w:rPr>
          <w:spacing w:val="-2"/>
          <w:sz w:val="16"/>
          <w:szCs w:val="16"/>
        </w:rPr>
        <w:t xml:space="preserve"> (+15</w:t>
      </w:r>
      <w:r>
        <w:rPr>
          <w:spacing w:val="-2"/>
          <w:sz w:val="16"/>
          <w:szCs w:val="16"/>
        </w:rPr>
        <w:t> %</w:t>
      </w:r>
      <w:r w:rsidRPr="00466BF5">
        <w:rPr>
          <w:spacing w:val="-2"/>
          <w:sz w:val="16"/>
          <w:szCs w:val="16"/>
        </w:rPr>
        <w:t>) a</w:t>
      </w:r>
      <w:r>
        <w:rPr>
          <w:spacing w:val="-2"/>
          <w:sz w:val="16"/>
          <w:szCs w:val="16"/>
        </w:rPr>
        <w:t> </w:t>
      </w:r>
      <w:r w:rsidRPr="00466BF5">
        <w:rPr>
          <w:spacing w:val="-2"/>
          <w:sz w:val="16"/>
          <w:szCs w:val="16"/>
        </w:rPr>
        <w:t>nepedagogických pracovníků (+10</w:t>
      </w:r>
      <w:r>
        <w:rPr>
          <w:spacing w:val="-2"/>
          <w:sz w:val="16"/>
          <w:szCs w:val="16"/>
        </w:rPr>
        <w:t> %</w:t>
      </w:r>
      <w:r w:rsidRPr="00466BF5">
        <w:rPr>
          <w:spacing w:val="-2"/>
          <w:sz w:val="16"/>
          <w:szCs w:val="16"/>
        </w:rPr>
        <w:t>).</w:t>
      </w:r>
    </w:p>
  </w:footnote>
  <w:footnote w:id="8">
    <w:p w14:paraId="2E705164" w14:textId="77777777" w:rsidR="003474B6" w:rsidRPr="006D61C4" w:rsidRDefault="003474B6" w:rsidP="0067514E">
      <w:pPr>
        <w:pStyle w:val="Textpoznpodarou"/>
        <w:jc w:val="both"/>
        <w:rPr>
          <w:sz w:val="16"/>
          <w:szCs w:val="16"/>
        </w:rPr>
      </w:pPr>
      <w:r w:rsidRPr="006D61C4">
        <w:rPr>
          <w:rStyle w:val="Znakapoznpodarou"/>
          <w:sz w:val="16"/>
          <w:szCs w:val="16"/>
        </w:rPr>
        <w:footnoteRef/>
      </w:r>
      <w:r>
        <w:rPr>
          <w:sz w:val="16"/>
          <w:szCs w:val="16"/>
        </w:rPr>
        <w:t xml:space="preserve"> Jde o saldo rozpočtové kapitoly Státní dluh. Za posledních šest let vzrostly tyto výdaje meziročně jen v roce 2018 (o 2,4 %).</w:t>
      </w:r>
    </w:p>
  </w:footnote>
  <w:footnote w:id="9">
    <w:p w14:paraId="25EF3695" w14:textId="77777777" w:rsidR="003474B6" w:rsidRPr="006D61C4" w:rsidRDefault="003474B6" w:rsidP="0067514E">
      <w:pPr>
        <w:pStyle w:val="Textpoznpodarou"/>
        <w:jc w:val="both"/>
        <w:rPr>
          <w:sz w:val="16"/>
          <w:szCs w:val="16"/>
        </w:rPr>
      </w:pPr>
      <w:r w:rsidRPr="006D61C4">
        <w:rPr>
          <w:rStyle w:val="Znakapoznpodarou"/>
          <w:sz w:val="16"/>
          <w:szCs w:val="16"/>
        </w:rPr>
        <w:footnoteRef/>
      </w:r>
      <w:r w:rsidRPr="006D61C4">
        <w:rPr>
          <w:sz w:val="16"/>
          <w:szCs w:val="16"/>
        </w:rPr>
        <w:t xml:space="preserve"> </w:t>
      </w:r>
      <w:r>
        <w:rPr>
          <w:color w:val="0D0D0D" w:themeColor="text1" w:themeTint="F2"/>
          <w:spacing w:val="-2"/>
          <w:sz w:val="16"/>
          <w:szCs w:val="16"/>
        </w:rPr>
        <w:t>Jednalo se o </w:t>
      </w:r>
      <w:r w:rsidRPr="008274EF">
        <w:rPr>
          <w:color w:val="0D0D0D" w:themeColor="text1" w:themeTint="F2"/>
          <w:spacing w:val="-2"/>
          <w:sz w:val="16"/>
          <w:szCs w:val="16"/>
        </w:rPr>
        <w:t>zvýšení základní výměry důchodu z</w:t>
      </w:r>
      <w:r>
        <w:rPr>
          <w:color w:val="0D0D0D" w:themeColor="text1" w:themeTint="F2"/>
          <w:spacing w:val="-2"/>
          <w:sz w:val="16"/>
          <w:szCs w:val="16"/>
        </w:rPr>
        <w:t> </w:t>
      </w:r>
      <w:r w:rsidRPr="008274EF">
        <w:rPr>
          <w:color w:val="0D0D0D" w:themeColor="text1" w:themeTint="F2"/>
          <w:spacing w:val="-2"/>
          <w:sz w:val="16"/>
          <w:szCs w:val="16"/>
        </w:rPr>
        <w:t>9 % na 10 % průměrné mzdy</w:t>
      </w:r>
      <w:r>
        <w:rPr>
          <w:color w:val="0D0D0D" w:themeColor="text1" w:themeTint="F2"/>
          <w:spacing w:val="-2"/>
          <w:sz w:val="16"/>
          <w:szCs w:val="16"/>
        </w:rPr>
        <w:t xml:space="preserve">, </w:t>
      </w:r>
      <w:r w:rsidRPr="008274EF">
        <w:rPr>
          <w:color w:val="0D0D0D" w:themeColor="text1" w:themeTint="F2"/>
          <w:spacing w:val="-2"/>
          <w:sz w:val="16"/>
          <w:szCs w:val="16"/>
        </w:rPr>
        <w:t>procentní výměry důchodů o</w:t>
      </w:r>
      <w:r>
        <w:rPr>
          <w:color w:val="0D0D0D" w:themeColor="text1" w:themeTint="F2"/>
          <w:spacing w:val="-2"/>
          <w:sz w:val="16"/>
          <w:szCs w:val="16"/>
        </w:rPr>
        <w:t> 3,4 % a dále o zvýšení o 1 000</w:t>
      </w:r>
      <w:r w:rsidRPr="003C770C">
        <w:rPr>
          <w:spacing w:val="-2"/>
          <w:sz w:val="16"/>
          <w:szCs w:val="16"/>
        </w:rPr>
        <w:t> </w:t>
      </w:r>
      <w:r>
        <w:rPr>
          <w:color w:val="0D0D0D" w:themeColor="text1" w:themeTint="F2"/>
          <w:spacing w:val="-2"/>
          <w:sz w:val="16"/>
          <w:szCs w:val="16"/>
        </w:rPr>
        <w:t xml:space="preserve">korun </w:t>
      </w:r>
      <w:r w:rsidRPr="008274EF">
        <w:rPr>
          <w:color w:val="0D0D0D" w:themeColor="text1" w:themeTint="F2"/>
          <w:spacing w:val="-2"/>
          <w:sz w:val="16"/>
          <w:szCs w:val="16"/>
        </w:rPr>
        <w:t>u</w:t>
      </w:r>
      <w:r>
        <w:rPr>
          <w:color w:val="0D0D0D" w:themeColor="text1" w:themeTint="F2"/>
          <w:spacing w:val="-2"/>
          <w:sz w:val="16"/>
          <w:szCs w:val="16"/>
        </w:rPr>
        <w:t> příjemců důchodů, kteří dosáhnou věku</w:t>
      </w:r>
      <w:r w:rsidRPr="008274EF">
        <w:rPr>
          <w:color w:val="0D0D0D" w:themeColor="text1" w:themeTint="F2"/>
          <w:spacing w:val="-2"/>
          <w:sz w:val="16"/>
          <w:szCs w:val="16"/>
        </w:rPr>
        <w:t xml:space="preserve"> 85</w:t>
      </w:r>
      <w:r>
        <w:rPr>
          <w:color w:val="0D0D0D" w:themeColor="text1" w:themeTint="F2"/>
          <w:spacing w:val="-2"/>
          <w:sz w:val="16"/>
          <w:szCs w:val="16"/>
        </w:rPr>
        <w:t> </w:t>
      </w:r>
      <w:r w:rsidRPr="008274EF">
        <w:rPr>
          <w:color w:val="0D0D0D" w:themeColor="text1" w:themeTint="F2"/>
          <w:spacing w:val="-2"/>
          <w:sz w:val="16"/>
          <w:szCs w:val="16"/>
        </w:rPr>
        <w:t>let.</w:t>
      </w:r>
      <w:r>
        <w:rPr>
          <w:color w:val="0D0D0D" w:themeColor="text1" w:themeTint="F2"/>
          <w:spacing w:val="-2"/>
          <w:sz w:val="16"/>
          <w:szCs w:val="16"/>
        </w:rPr>
        <w:t xml:space="preserve"> Dále je v</w:t>
      </w:r>
      <w:r w:rsidRPr="00257340">
        <w:rPr>
          <w:color w:val="0D0D0D" w:themeColor="text1" w:themeTint="F2"/>
          <w:spacing w:val="-2"/>
          <w:sz w:val="16"/>
          <w:szCs w:val="16"/>
        </w:rPr>
        <w:t>e valorizačním mechanismu od roku 2018 plně reflektován vliv růstu spotřebitelských cen (ev.</w:t>
      </w:r>
      <w:r>
        <w:rPr>
          <w:color w:val="0D0D0D" w:themeColor="text1" w:themeTint="F2"/>
          <w:spacing w:val="-2"/>
          <w:sz w:val="16"/>
          <w:szCs w:val="16"/>
        </w:rPr>
        <w:t> </w:t>
      </w:r>
      <w:r w:rsidRPr="00257340">
        <w:rPr>
          <w:color w:val="0D0D0D" w:themeColor="text1" w:themeTint="F2"/>
          <w:spacing w:val="-2"/>
          <w:sz w:val="16"/>
          <w:szCs w:val="16"/>
        </w:rPr>
        <w:t>růstu životních nákladů důchodců) a</w:t>
      </w:r>
      <w:r>
        <w:rPr>
          <w:color w:val="0D0D0D" w:themeColor="text1" w:themeTint="F2"/>
          <w:spacing w:val="-2"/>
          <w:sz w:val="16"/>
          <w:szCs w:val="16"/>
        </w:rPr>
        <w:t> </w:t>
      </w:r>
      <w:r w:rsidRPr="00257340">
        <w:rPr>
          <w:color w:val="0D0D0D" w:themeColor="text1" w:themeTint="F2"/>
          <w:spacing w:val="-2"/>
          <w:sz w:val="16"/>
          <w:szCs w:val="16"/>
        </w:rPr>
        <w:t xml:space="preserve">je zohledněna </w:t>
      </w:r>
      <w:r>
        <w:rPr>
          <w:color w:val="0D0D0D" w:themeColor="text1" w:themeTint="F2"/>
          <w:spacing w:val="-2"/>
          <w:sz w:val="16"/>
          <w:szCs w:val="16"/>
        </w:rPr>
        <w:t>i polovina růstu reálných mezd v ekonomice.</w:t>
      </w:r>
    </w:p>
  </w:footnote>
  <w:footnote w:id="10">
    <w:p w14:paraId="650DB005" w14:textId="77777777" w:rsidR="003474B6" w:rsidRDefault="003474B6" w:rsidP="0067514E">
      <w:pPr>
        <w:pStyle w:val="Textpoznpodarou"/>
        <w:jc w:val="both"/>
      </w:pPr>
      <w:r w:rsidRPr="000315DB">
        <w:rPr>
          <w:rStyle w:val="Znakapoznpodarou"/>
          <w:sz w:val="16"/>
          <w:szCs w:val="16"/>
        </w:rPr>
        <w:footnoteRef/>
      </w:r>
      <w:r>
        <w:rPr>
          <w:sz w:val="16"/>
          <w:szCs w:val="16"/>
        </w:rPr>
        <w:t xml:space="preserve"> Meziroční růst počtu příjemců trvale krácených (předčasných) důch</w:t>
      </w:r>
      <w:r w:rsidRPr="003770A8">
        <w:rPr>
          <w:color w:val="0D0D0D" w:themeColor="text1" w:themeTint="F2"/>
          <w:sz w:val="16"/>
          <w:szCs w:val="16"/>
        </w:rPr>
        <w:t xml:space="preserve">odů ve 4. čtvrtletí 2019 </w:t>
      </w:r>
      <w:r>
        <w:rPr>
          <w:sz w:val="16"/>
          <w:szCs w:val="16"/>
        </w:rPr>
        <w:t>činil 1,9 %, po roce 2014 toto tempo plynule klesá. Podíl předčasných důchodců na všech příjemcích starobních důchodů dosahoval v ČR 26,6 % (s významnými regionálními rozdíly).</w:t>
      </w:r>
    </w:p>
  </w:footnote>
  <w:footnote w:id="11">
    <w:p w14:paraId="59268B01" w14:textId="77777777" w:rsidR="003474B6" w:rsidRPr="006B5B53" w:rsidRDefault="003474B6" w:rsidP="0067514E">
      <w:pPr>
        <w:pStyle w:val="Textpoznpodarou"/>
        <w:jc w:val="both"/>
      </w:pPr>
      <w:r w:rsidRPr="000315DB">
        <w:rPr>
          <w:rStyle w:val="Znakapoznpodarou"/>
          <w:sz w:val="16"/>
          <w:szCs w:val="16"/>
        </w:rPr>
        <w:footnoteRef/>
      </w:r>
      <w:r w:rsidRPr="000315DB">
        <w:rPr>
          <w:sz w:val="16"/>
          <w:szCs w:val="16"/>
        </w:rPr>
        <w:t xml:space="preserve"> Je vyjádřeno jako </w:t>
      </w:r>
      <w:r w:rsidRPr="000315DB">
        <w:rPr>
          <w:rFonts w:cs="Arial"/>
          <w:color w:val="000000" w:themeColor="text1"/>
          <w:spacing w:val="-4"/>
          <w:sz w:val="16"/>
          <w:szCs w:val="16"/>
        </w:rPr>
        <w:t>rozdíl mezi příjmy a</w:t>
      </w:r>
      <w:r>
        <w:rPr>
          <w:rFonts w:cs="Arial"/>
          <w:color w:val="000000" w:themeColor="text1"/>
          <w:spacing w:val="-4"/>
          <w:sz w:val="16"/>
          <w:szCs w:val="16"/>
        </w:rPr>
        <w:t> </w:t>
      </w:r>
      <w:r w:rsidRPr="000315DB">
        <w:rPr>
          <w:rFonts w:cs="Arial"/>
          <w:color w:val="000000" w:themeColor="text1"/>
          <w:spacing w:val="-4"/>
          <w:sz w:val="16"/>
          <w:szCs w:val="16"/>
        </w:rPr>
        <w:t>výdaji na</w:t>
      </w:r>
      <w:r>
        <w:rPr>
          <w:rFonts w:cs="Arial"/>
          <w:color w:val="000000" w:themeColor="text1"/>
          <w:spacing w:val="-4"/>
          <w:sz w:val="16"/>
          <w:szCs w:val="16"/>
        </w:rPr>
        <w:t xml:space="preserve"> důchody ze SR</w:t>
      </w:r>
      <w:r w:rsidRPr="000315DB">
        <w:rPr>
          <w:rFonts w:cs="Arial"/>
          <w:color w:val="000000" w:themeColor="text1"/>
          <w:spacing w:val="-4"/>
          <w:sz w:val="16"/>
          <w:szCs w:val="16"/>
        </w:rPr>
        <w:t>.</w:t>
      </w:r>
      <w:r>
        <w:rPr>
          <w:rFonts w:cs="Arial"/>
          <w:color w:val="000000" w:themeColor="text1"/>
          <w:spacing w:val="-4"/>
          <w:sz w:val="16"/>
          <w:szCs w:val="16"/>
        </w:rPr>
        <w:t xml:space="preserve"> Ve výdajích jsou zahrnuty i prostředky</w:t>
      </w:r>
      <w:r w:rsidRPr="006B5B53">
        <w:rPr>
          <w:rFonts w:cs="Arial"/>
          <w:color w:val="000000" w:themeColor="text1"/>
          <w:spacing w:val="-4"/>
          <w:sz w:val="16"/>
          <w:szCs w:val="16"/>
        </w:rPr>
        <w:t xml:space="preserve"> na správu systému důchodového </w:t>
      </w:r>
      <w:r w:rsidRPr="004D1257">
        <w:rPr>
          <w:rFonts w:cs="Arial"/>
          <w:color w:val="0D0D0D" w:themeColor="text1" w:themeTint="F2"/>
          <w:spacing w:val="-4"/>
          <w:sz w:val="16"/>
          <w:szCs w:val="16"/>
        </w:rPr>
        <w:t>pojištění (v</w:t>
      </w:r>
      <w:r>
        <w:rPr>
          <w:rFonts w:cs="Arial"/>
          <w:color w:val="0D0D0D" w:themeColor="text1" w:themeTint="F2"/>
          <w:spacing w:val="-4"/>
          <w:sz w:val="16"/>
          <w:szCs w:val="16"/>
        </w:rPr>
        <w:t> </w:t>
      </w:r>
      <w:r w:rsidRPr="004D1257">
        <w:rPr>
          <w:rFonts w:cs="Arial"/>
          <w:color w:val="0D0D0D" w:themeColor="text1" w:themeTint="F2"/>
          <w:spacing w:val="-4"/>
          <w:sz w:val="16"/>
          <w:szCs w:val="16"/>
        </w:rPr>
        <w:t xml:space="preserve">roce 2019 dosáhly </w:t>
      </w:r>
      <w:r>
        <w:rPr>
          <w:rFonts w:cs="Arial"/>
          <w:color w:val="000000" w:themeColor="text1"/>
          <w:spacing w:val="-4"/>
          <w:sz w:val="16"/>
          <w:szCs w:val="16"/>
        </w:rPr>
        <w:t>dle údajů MF 6,3</w:t>
      </w:r>
      <w:r w:rsidRPr="006B5B53">
        <w:rPr>
          <w:rFonts w:cs="Arial"/>
          <w:color w:val="000000" w:themeColor="text1"/>
          <w:spacing w:val="-4"/>
          <w:sz w:val="16"/>
          <w:szCs w:val="16"/>
        </w:rPr>
        <w:t> mld. korun).</w:t>
      </w:r>
    </w:p>
  </w:footnote>
  <w:footnote w:id="12">
    <w:p w14:paraId="36AF8160" w14:textId="77777777" w:rsidR="003474B6" w:rsidRDefault="003474B6" w:rsidP="0067514E">
      <w:pPr>
        <w:pStyle w:val="Textpoznpodarou"/>
        <w:jc w:val="both"/>
      </w:pPr>
      <w:r w:rsidRPr="006B5B53">
        <w:rPr>
          <w:rStyle w:val="Znakapoznpodarou"/>
          <w:sz w:val="16"/>
          <w:szCs w:val="16"/>
        </w:rPr>
        <w:footnoteRef/>
      </w:r>
      <w:r>
        <w:rPr>
          <w:sz w:val="16"/>
          <w:szCs w:val="16"/>
        </w:rPr>
        <w:t xml:space="preserve"> Stál za tím </w:t>
      </w:r>
      <w:r w:rsidRPr="006B5B53">
        <w:rPr>
          <w:sz w:val="16"/>
          <w:szCs w:val="16"/>
        </w:rPr>
        <w:t>pokračující růst dočasné pracovní neschopnosti. Zvyšoval se i</w:t>
      </w:r>
      <w:r>
        <w:rPr>
          <w:sz w:val="16"/>
          <w:szCs w:val="16"/>
        </w:rPr>
        <w:t> </w:t>
      </w:r>
      <w:r w:rsidRPr="006B5B53">
        <w:rPr>
          <w:sz w:val="16"/>
          <w:szCs w:val="16"/>
        </w:rPr>
        <w:t>denní vyměřovací základ této dávky (odvozené mj.</w:t>
      </w:r>
      <w:r>
        <w:rPr>
          <w:sz w:val="16"/>
          <w:szCs w:val="16"/>
        </w:rPr>
        <w:t> </w:t>
      </w:r>
      <w:r w:rsidRPr="006B5B53">
        <w:rPr>
          <w:sz w:val="16"/>
          <w:szCs w:val="16"/>
        </w:rPr>
        <w:t>od výše předchozích vý</w:t>
      </w:r>
      <w:r>
        <w:rPr>
          <w:sz w:val="16"/>
          <w:szCs w:val="16"/>
        </w:rPr>
        <w:t xml:space="preserve">dělků). Růst objemu </w:t>
      </w:r>
      <w:r w:rsidRPr="006B5B53">
        <w:rPr>
          <w:sz w:val="16"/>
          <w:szCs w:val="16"/>
        </w:rPr>
        <w:t xml:space="preserve">nemocenských dávek byl </w:t>
      </w:r>
      <w:r>
        <w:rPr>
          <w:sz w:val="16"/>
          <w:szCs w:val="16"/>
        </w:rPr>
        <w:t xml:space="preserve">loni zčásti </w:t>
      </w:r>
      <w:r w:rsidRPr="006B5B53">
        <w:rPr>
          <w:sz w:val="16"/>
          <w:szCs w:val="16"/>
        </w:rPr>
        <w:t>ovlivněn i</w:t>
      </w:r>
      <w:r>
        <w:rPr>
          <w:sz w:val="16"/>
          <w:szCs w:val="16"/>
        </w:rPr>
        <w:t> </w:t>
      </w:r>
      <w:r w:rsidRPr="006B5B53">
        <w:rPr>
          <w:sz w:val="16"/>
          <w:szCs w:val="16"/>
        </w:rPr>
        <w:t>vyšším čerpáním p</w:t>
      </w:r>
      <w:r>
        <w:rPr>
          <w:sz w:val="16"/>
          <w:szCs w:val="16"/>
        </w:rPr>
        <w:t>eněžité pomoci v mateřství (+7,4 %</w:t>
      </w:r>
      <w:r w:rsidRPr="006B5B53">
        <w:rPr>
          <w:sz w:val="16"/>
          <w:szCs w:val="16"/>
        </w:rPr>
        <w:t>).</w:t>
      </w:r>
    </w:p>
  </w:footnote>
  <w:footnote w:id="13">
    <w:p w14:paraId="06031BD1" w14:textId="77777777" w:rsidR="003474B6" w:rsidRPr="00E9220F" w:rsidRDefault="003474B6" w:rsidP="0067514E">
      <w:pPr>
        <w:pStyle w:val="Textpoznpodarou"/>
        <w:rPr>
          <w:color w:val="0D0D0D" w:themeColor="text1" w:themeTint="F2"/>
          <w:spacing w:val="-2"/>
          <w:sz w:val="16"/>
          <w:szCs w:val="16"/>
        </w:rPr>
      </w:pPr>
      <w:r w:rsidRPr="00E9220F">
        <w:rPr>
          <w:rStyle w:val="Znakapoznpodarou"/>
          <w:color w:val="0D0D0D" w:themeColor="text1" w:themeTint="F2"/>
          <w:spacing w:val="-2"/>
          <w:sz w:val="16"/>
          <w:szCs w:val="16"/>
        </w:rPr>
        <w:footnoteRef/>
      </w:r>
      <w:r>
        <w:rPr>
          <w:color w:val="0D0D0D" w:themeColor="text1" w:themeTint="F2"/>
          <w:spacing w:val="-2"/>
          <w:sz w:val="16"/>
          <w:szCs w:val="16"/>
        </w:rPr>
        <w:t xml:space="preserve"> V roce 2019 již nebyla emise pokryta výhradně korunovými dluhopisy. MF vydalo také </w:t>
      </w:r>
      <w:proofErr w:type="spellStart"/>
      <w:r>
        <w:rPr>
          <w:color w:val="0D0D0D" w:themeColor="text1" w:themeTint="F2"/>
          <w:spacing w:val="-2"/>
          <w:sz w:val="16"/>
          <w:szCs w:val="16"/>
        </w:rPr>
        <w:t>eurodluhopis</w:t>
      </w:r>
      <w:proofErr w:type="spellEnd"/>
      <w:r>
        <w:rPr>
          <w:color w:val="0D0D0D" w:themeColor="text1" w:themeTint="F2"/>
          <w:spacing w:val="-2"/>
          <w:sz w:val="16"/>
          <w:szCs w:val="16"/>
        </w:rPr>
        <w:t xml:space="preserve"> (v hodně 1,0 mld. eur se splatností v roce 2021 a se záporným výnosem).</w:t>
      </w:r>
    </w:p>
  </w:footnote>
  <w:footnote w:id="14">
    <w:p w14:paraId="404ECF88" w14:textId="77777777" w:rsidR="003474B6" w:rsidRPr="00E9220F" w:rsidRDefault="003474B6" w:rsidP="0067514E">
      <w:pPr>
        <w:pStyle w:val="Textpoznpodarou"/>
        <w:rPr>
          <w:color w:val="0D0D0D" w:themeColor="text1" w:themeTint="F2"/>
          <w:spacing w:val="-2"/>
          <w:sz w:val="16"/>
          <w:szCs w:val="16"/>
        </w:rPr>
      </w:pPr>
      <w:r w:rsidRPr="00E9220F">
        <w:rPr>
          <w:rStyle w:val="Znakapoznpodarou"/>
          <w:color w:val="0D0D0D" w:themeColor="text1" w:themeTint="F2"/>
          <w:spacing w:val="-2"/>
          <w:sz w:val="16"/>
          <w:szCs w:val="16"/>
        </w:rPr>
        <w:footnoteRef/>
      </w:r>
      <w:r>
        <w:rPr>
          <w:color w:val="0D0D0D" w:themeColor="text1" w:themeTint="F2"/>
          <w:spacing w:val="-2"/>
          <w:sz w:val="16"/>
          <w:szCs w:val="16"/>
        </w:rPr>
        <w:t xml:space="preserve"> </w:t>
      </w:r>
      <w:r w:rsidRPr="00BC11EA">
        <w:rPr>
          <w:color w:val="0D0D0D" w:themeColor="text1" w:themeTint="F2"/>
          <w:spacing w:val="-3"/>
          <w:sz w:val="16"/>
          <w:szCs w:val="16"/>
        </w:rPr>
        <w:t>Tvorba hrubého fixního kapitálu vzrostla v roce 2019 o</w:t>
      </w:r>
      <w:r>
        <w:rPr>
          <w:color w:val="0D0D0D" w:themeColor="text1" w:themeTint="F2"/>
          <w:spacing w:val="-3"/>
          <w:sz w:val="16"/>
          <w:szCs w:val="16"/>
        </w:rPr>
        <w:t> </w:t>
      </w:r>
      <w:r w:rsidRPr="00BC11EA">
        <w:rPr>
          <w:color w:val="0D0D0D" w:themeColor="text1" w:themeTint="F2"/>
          <w:spacing w:val="-3"/>
          <w:sz w:val="16"/>
          <w:szCs w:val="16"/>
        </w:rPr>
        <w:t>3,4</w:t>
      </w:r>
      <w:r>
        <w:rPr>
          <w:color w:val="0D0D0D" w:themeColor="text1" w:themeTint="F2"/>
          <w:spacing w:val="-3"/>
          <w:sz w:val="16"/>
          <w:szCs w:val="16"/>
        </w:rPr>
        <w:t> %</w:t>
      </w:r>
      <w:r w:rsidRPr="00BC11EA">
        <w:rPr>
          <w:color w:val="0D0D0D" w:themeColor="text1" w:themeTint="F2"/>
          <w:spacing w:val="-3"/>
          <w:sz w:val="16"/>
          <w:szCs w:val="16"/>
        </w:rPr>
        <w:t>, na rekordních 120,4</w:t>
      </w:r>
      <w:r>
        <w:rPr>
          <w:color w:val="0D0D0D" w:themeColor="text1" w:themeTint="F2"/>
          <w:spacing w:val="-3"/>
          <w:sz w:val="16"/>
          <w:szCs w:val="16"/>
        </w:rPr>
        <w:t> mld.</w:t>
      </w:r>
      <w:r w:rsidRPr="00BC11EA">
        <w:rPr>
          <w:color w:val="0D0D0D" w:themeColor="text1" w:themeTint="F2"/>
          <w:spacing w:val="-3"/>
          <w:sz w:val="16"/>
          <w:szCs w:val="16"/>
        </w:rPr>
        <w:t xml:space="preserve"> korun. Objem investic se zvýšil třetím rokem v řadě.</w:t>
      </w:r>
    </w:p>
  </w:footnote>
  <w:footnote w:id="15">
    <w:p w14:paraId="3C7EA32E" w14:textId="5B78CF8D" w:rsidR="003474B6" w:rsidRPr="00E9220F" w:rsidRDefault="003474B6" w:rsidP="007A7033">
      <w:pPr>
        <w:pStyle w:val="Textpoznpodarou"/>
        <w:rPr>
          <w:color w:val="0D0D0D" w:themeColor="text1" w:themeTint="F2"/>
          <w:spacing w:val="-2"/>
          <w:sz w:val="16"/>
          <w:szCs w:val="16"/>
        </w:rPr>
      </w:pPr>
      <w:r w:rsidRPr="00E9220F">
        <w:rPr>
          <w:rStyle w:val="Znakapoznpodarou"/>
          <w:color w:val="0D0D0D" w:themeColor="text1" w:themeTint="F2"/>
          <w:spacing w:val="-2"/>
          <w:sz w:val="16"/>
          <w:szCs w:val="16"/>
        </w:rPr>
        <w:footnoteRef/>
      </w:r>
      <w:r w:rsidRPr="00E9220F">
        <w:rPr>
          <w:color w:val="0D0D0D" w:themeColor="text1" w:themeTint="F2"/>
          <w:spacing w:val="-2"/>
          <w:sz w:val="16"/>
          <w:szCs w:val="16"/>
        </w:rPr>
        <w:t xml:space="preserve"> Předběžné údaje o</w:t>
      </w:r>
      <w:r>
        <w:rPr>
          <w:color w:val="0D0D0D" w:themeColor="text1" w:themeTint="F2"/>
          <w:spacing w:val="-2"/>
          <w:sz w:val="16"/>
          <w:szCs w:val="16"/>
        </w:rPr>
        <w:t> </w:t>
      </w:r>
      <w:r w:rsidRPr="00E9220F">
        <w:rPr>
          <w:color w:val="0D0D0D" w:themeColor="text1" w:themeTint="F2"/>
          <w:spacing w:val="-2"/>
          <w:sz w:val="16"/>
          <w:szCs w:val="16"/>
        </w:rPr>
        <w:t>dluhu a</w:t>
      </w:r>
      <w:r>
        <w:rPr>
          <w:color w:val="0D0D0D" w:themeColor="text1" w:themeTint="F2"/>
          <w:spacing w:val="-2"/>
          <w:sz w:val="16"/>
          <w:szCs w:val="16"/>
        </w:rPr>
        <w:t> </w:t>
      </w:r>
      <w:r w:rsidRPr="00E9220F">
        <w:rPr>
          <w:color w:val="0D0D0D" w:themeColor="text1" w:themeTint="F2"/>
          <w:spacing w:val="-2"/>
          <w:sz w:val="16"/>
          <w:szCs w:val="16"/>
        </w:rPr>
        <w:t>deficitu</w:t>
      </w:r>
      <w:r>
        <w:rPr>
          <w:color w:val="0D0D0D" w:themeColor="text1" w:themeTint="F2"/>
          <w:spacing w:val="-2"/>
          <w:sz w:val="16"/>
          <w:szCs w:val="16"/>
        </w:rPr>
        <w:t xml:space="preserve"> sektoru vládních institucí za celý rok 2019 za všechny státy EU zveřejní</w:t>
      </w:r>
      <w:r w:rsidRPr="00E9220F">
        <w:rPr>
          <w:color w:val="0D0D0D" w:themeColor="text1" w:themeTint="F2"/>
          <w:spacing w:val="-2"/>
          <w:sz w:val="16"/>
          <w:szCs w:val="16"/>
        </w:rPr>
        <w:t xml:space="preserve"> </w:t>
      </w:r>
      <w:proofErr w:type="spellStart"/>
      <w:r w:rsidRPr="00E9220F">
        <w:rPr>
          <w:color w:val="0D0D0D" w:themeColor="text1" w:themeTint="F2"/>
          <w:spacing w:val="-2"/>
          <w:sz w:val="16"/>
          <w:szCs w:val="16"/>
        </w:rPr>
        <w:t>Eurostat</w:t>
      </w:r>
      <w:proofErr w:type="spellEnd"/>
      <w:r w:rsidRPr="00E9220F">
        <w:rPr>
          <w:color w:val="0D0D0D" w:themeColor="text1" w:themeTint="F2"/>
          <w:spacing w:val="-2"/>
          <w:sz w:val="16"/>
          <w:szCs w:val="16"/>
        </w:rPr>
        <w:t xml:space="preserve"> </w:t>
      </w:r>
      <w:r>
        <w:rPr>
          <w:color w:val="0D0D0D" w:themeColor="text1" w:themeTint="F2"/>
          <w:spacing w:val="-2"/>
          <w:sz w:val="16"/>
          <w:szCs w:val="16"/>
        </w:rPr>
        <w:t>23</w:t>
      </w:r>
      <w:r w:rsidRPr="00E9220F">
        <w:rPr>
          <w:color w:val="0D0D0D" w:themeColor="text1" w:themeTint="F2"/>
          <w:spacing w:val="-2"/>
          <w:sz w:val="16"/>
          <w:szCs w:val="16"/>
        </w:rPr>
        <w:t>.</w:t>
      </w:r>
      <w:r>
        <w:rPr>
          <w:color w:val="0D0D0D" w:themeColor="text1" w:themeTint="F2"/>
          <w:spacing w:val="-2"/>
          <w:sz w:val="16"/>
          <w:szCs w:val="16"/>
        </w:rPr>
        <w:t> dubna 2020.</w:t>
      </w:r>
    </w:p>
  </w:footnote>
  <w:footnote w:id="16">
    <w:p w14:paraId="028179DB" w14:textId="0EBF2F0E" w:rsidR="003474B6" w:rsidRPr="00E9220F" w:rsidRDefault="003474B6" w:rsidP="0067514E">
      <w:pPr>
        <w:pStyle w:val="Textpoznpodarou"/>
        <w:rPr>
          <w:color w:val="0D0D0D" w:themeColor="text1" w:themeTint="F2"/>
          <w:spacing w:val="-2"/>
          <w:sz w:val="16"/>
          <w:szCs w:val="16"/>
        </w:rPr>
      </w:pPr>
      <w:r w:rsidRPr="00E9220F">
        <w:rPr>
          <w:rStyle w:val="Znakapoznpodarou"/>
          <w:color w:val="0D0D0D" w:themeColor="text1" w:themeTint="F2"/>
          <w:spacing w:val="-2"/>
          <w:sz w:val="16"/>
          <w:szCs w:val="16"/>
        </w:rPr>
        <w:footnoteRef/>
      </w:r>
      <w:r>
        <w:rPr>
          <w:color w:val="0D0D0D" w:themeColor="text1" w:themeTint="F2"/>
          <w:spacing w:val="-2"/>
          <w:sz w:val="16"/>
          <w:szCs w:val="16"/>
        </w:rPr>
        <w:t xml:space="preserve"> Saldo se pohybovalo během tří čtvrtletí 2019 v pásmu –0,7 až –0,9 % HDP (po sezónním očištění). Ve 2. čtvrtletí 2018 se přitom saldo zredukovalo až na –0,5 %, což byla úroveň blízká nejlepšímu výsledku z konjunkturního období minulé dekády. Z větších ekonomik Unie dosáhly v 1. až 3. čtvrtletí 2019 přebytku jen Německo (+1,7 % HDP) a Nizozemsko (+2,1 %).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85C8" w14:textId="77777777" w:rsidR="003474B6" w:rsidRDefault="003474B6" w:rsidP="00937AE2">
    <w:pPr>
      <w:pStyle w:val="Zhlav"/>
    </w:pPr>
    <w:r>
      <w:t>Vývoj ekonomiky České republiky</w:t>
    </w:r>
  </w:p>
  <w:p w14:paraId="675E4C41" w14:textId="77777777" w:rsidR="003474B6" w:rsidRPr="006F5416" w:rsidRDefault="003474B6"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12FB" w14:textId="77777777" w:rsidR="003474B6" w:rsidRDefault="003474B6" w:rsidP="00937AE2">
    <w:pPr>
      <w:pStyle w:val="Zhlav"/>
    </w:pPr>
    <w:r>
      <w:t>Vývoj ekonomiky České republiky</w:t>
    </w:r>
  </w:p>
  <w:p w14:paraId="0CDCFD48" w14:textId="77777777" w:rsidR="003474B6" w:rsidRPr="006F5416" w:rsidRDefault="003474B6"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B55"/>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87D"/>
    <w:rsid w:val="00016420"/>
    <w:rsid w:val="00017B01"/>
    <w:rsid w:val="000205D1"/>
    <w:rsid w:val="00020F22"/>
    <w:rsid w:val="0002195D"/>
    <w:rsid w:val="000228AE"/>
    <w:rsid w:val="000233D1"/>
    <w:rsid w:val="000234D6"/>
    <w:rsid w:val="00023D29"/>
    <w:rsid w:val="00024348"/>
    <w:rsid w:val="00026389"/>
    <w:rsid w:val="000279E5"/>
    <w:rsid w:val="00031AE0"/>
    <w:rsid w:val="00031BB2"/>
    <w:rsid w:val="000322EF"/>
    <w:rsid w:val="00033FCD"/>
    <w:rsid w:val="00034DF7"/>
    <w:rsid w:val="00034E68"/>
    <w:rsid w:val="000350C8"/>
    <w:rsid w:val="00036195"/>
    <w:rsid w:val="000374B2"/>
    <w:rsid w:val="000376C0"/>
    <w:rsid w:val="000403A7"/>
    <w:rsid w:val="00040632"/>
    <w:rsid w:val="00041AFC"/>
    <w:rsid w:val="00041CEC"/>
    <w:rsid w:val="00044183"/>
    <w:rsid w:val="0004431D"/>
    <w:rsid w:val="0004694F"/>
    <w:rsid w:val="00046F2F"/>
    <w:rsid w:val="00047AD4"/>
    <w:rsid w:val="00047D54"/>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A75"/>
    <w:rsid w:val="00066558"/>
    <w:rsid w:val="00070A87"/>
    <w:rsid w:val="000712B3"/>
    <w:rsid w:val="00072FF5"/>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FC6"/>
    <w:rsid w:val="000913B1"/>
    <w:rsid w:val="00093241"/>
    <w:rsid w:val="00094A84"/>
    <w:rsid w:val="00095025"/>
    <w:rsid w:val="00095135"/>
    <w:rsid w:val="0009626E"/>
    <w:rsid w:val="00097191"/>
    <w:rsid w:val="000974D1"/>
    <w:rsid w:val="0009799E"/>
    <w:rsid w:val="000A07CB"/>
    <w:rsid w:val="000A0BC0"/>
    <w:rsid w:val="000A1183"/>
    <w:rsid w:val="000A212B"/>
    <w:rsid w:val="000A242D"/>
    <w:rsid w:val="000A256D"/>
    <w:rsid w:val="000A3A2C"/>
    <w:rsid w:val="000A3D9E"/>
    <w:rsid w:val="000A4A54"/>
    <w:rsid w:val="000A4ED9"/>
    <w:rsid w:val="000A5DB7"/>
    <w:rsid w:val="000A6D94"/>
    <w:rsid w:val="000A7377"/>
    <w:rsid w:val="000A7FF4"/>
    <w:rsid w:val="000B03CC"/>
    <w:rsid w:val="000B4212"/>
    <w:rsid w:val="000C0EA8"/>
    <w:rsid w:val="000C13A2"/>
    <w:rsid w:val="000C21E7"/>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5637"/>
    <w:rsid w:val="000D6F4E"/>
    <w:rsid w:val="000E0E96"/>
    <w:rsid w:val="000E298B"/>
    <w:rsid w:val="000E2C7D"/>
    <w:rsid w:val="000E440D"/>
    <w:rsid w:val="000E4AC5"/>
    <w:rsid w:val="000E6253"/>
    <w:rsid w:val="000E6E4D"/>
    <w:rsid w:val="000E6FBD"/>
    <w:rsid w:val="000E6FCB"/>
    <w:rsid w:val="000F090B"/>
    <w:rsid w:val="000F3F3B"/>
    <w:rsid w:val="000F47E8"/>
    <w:rsid w:val="000F70E4"/>
    <w:rsid w:val="000F76EA"/>
    <w:rsid w:val="00100F5C"/>
    <w:rsid w:val="00101CDA"/>
    <w:rsid w:val="00102037"/>
    <w:rsid w:val="00103DCB"/>
    <w:rsid w:val="00104C4C"/>
    <w:rsid w:val="00105015"/>
    <w:rsid w:val="001055D2"/>
    <w:rsid w:val="001057C2"/>
    <w:rsid w:val="0011038E"/>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CB9"/>
    <w:rsid w:val="00167DD8"/>
    <w:rsid w:val="001705AD"/>
    <w:rsid w:val="001706D6"/>
    <w:rsid w:val="001714F2"/>
    <w:rsid w:val="00171FEA"/>
    <w:rsid w:val="00175B9F"/>
    <w:rsid w:val="001762F4"/>
    <w:rsid w:val="00181BBC"/>
    <w:rsid w:val="0018385F"/>
    <w:rsid w:val="00184017"/>
    <w:rsid w:val="001847BB"/>
    <w:rsid w:val="00184B08"/>
    <w:rsid w:val="00185010"/>
    <w:rsid w:val="00185C22"/>
    <w:rsid w:val="00186BA9"/>
    <w:rsid w:val="0019196C"/>
    <w:rsid w:val="00192F05"/>
    <w:rsid w:val="00194729"/>
    <w:rsid w:val="00194850"/>
    <w:rsid w:val="00195234"/>
    <w:rsid w:val="00196016"/>
    <w:rsid w:val="00196117"/>
    <w:rsid w:val="00197A70"/>
    <w:rsid w:val="00197C0F"/>
    <w:rsid w:val="001A0487"/>
    <w:rsid w:val="001A1F68"/>
    <w:rsid w:val="001A21FA"/>
    <w:rsid w:val="001A4EF0"/>
    <w:rsid w:val="001A552F"/>
    <w:rsid w:val="001B2CA9"/>
    <w:rsid w:val="001B3110"/>
    <w:rsid w:val="001B3E38"/>
    <w:rsid w:val="001B40F5"/>
    <w:rsid w:val="001B4729"/>
    <w:rsid w:val="001B4F0E"/>
    <w:rsid w:val="001B6310"/>
    <w:rsid w:val="001B6C09"/>
    <w:rsid w:val="001B6E12"/>
    <w:rsid w:val="001C05CD"/>
    <w:rsid w:val="001C0F17"/>
    <w:rsid w:val="001C1B24"/>
    <w:rsid w:val="001C1B66"/>
    <w:rsid w:val="001C31A2"/>
    <w:rsid w:val="001C4BB8"/>
    <w:rsid w:val="001C4FD0"/>
    <w:rsid w:val="001C5E46"/>
    <w:rsid w:val="001C6B3B"/>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7CE0"/>
    <w:rsid w:val="00200085"/>
    <w:rsid w:val="00203332"/>
    <w:rsid w:val="00203CD5"/>
    <w:rsid w:val="00203D8F"/>
    <w:rsid w:val="00203DA4"/>
    <w:rsid w:val="00205186"/>
    <w:rsid w:val="00206516"/>
    <w:rsid w:val="002071D5"/>
    <w:rsid w:val="002111E5"/>
    <w:rsid w:val="002118B9"/>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6A8"/>
    <w:rsid w:val="002320C9"/>
    <w:rsid w:val="0023288F"/>
    <w:rsid w:val="00233603"/>
    <w:rsid w:val="002340EF"/>
    <w:rsid w:val="00234B82"/>
    <w:rsid w:val="00236443"/>
    <w:rsid w:val="00236700"/>
    <w:rsid w:val="00240391"/>
    <w:rsid w:val="00240AF3"/>
    <w:rsid w:val="002418D5"/>
    <w:rsid w:val="00241B06"/>
    <w:rsid w:val="002436BA"/>
    <w:rsid w:val="00244652"/>
    <w:rsid w:val="00244A15"/>
    <w:rsid w:val="002452D9"/>
    <w:rsid w:val="00247319"/>
    <w:rsid w:val="0024799E"/>
    <w:rsid w:val="00247E60"/>
    <w:rsid w:val="00251C53"/>
    <w:rsid w:val="00252AB9"/>
    <w:rsid w:val="00253C0F"/>
    <w:rsid w:val="002558C1"/>
    <w:rsid w:val="00256207"/>
    <w:rsid w:val="002575F3"/>
    <w:rsid w:val="002603E1"/>
    <w:rsid w:val="0026120E"/>
    <w:rsid w:val="00262582"/>
    <w:rsid w:val="0026291D"/>
    <w:rsid w:val="00264309"/>
    <w:rsid w:val="0026564B"/>
    <w:rsid w:val="00265C83"/>
    <w:rsid w:val="00265E85"/>
    <w:rsid w:val="00267B49"/>
    <w:rsid w:val="002700D9"/>
    <w:rsid w:val="0027025F"/>
    <w:rsid w:val="002709CC"/>
    <w:rsid w:val="00270D25"/>
    <w:rsid w:val="00271022"/>
    <w:rsid w:val="00271465"/>
    <w:rsid w:val="00271E47"/>
    <w:rsid w:val="002721F5"/>
    <w:rsid w:val="00272DF4"/>
    <w:rsid w:val="0027583D"/>
    <w:rsid w:val="00275DEF"/>
    <w:rsid w:val="002763A2"/>
    <w:rsid w:val="00276B33"/>
    <w:rsid w:val="002812E3"/>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F09"/>
    <w:rsid w:val="002C22A4"/>
    <w:rsid w:val="002C260B"/>
    <w:rsid w:val="002C27A6"/>
    <w:rsid w:val="002C27DA"/>
    <w:rsid w:val="002C398D"/>
    <w:rsid w:val="002C40D2"/>
    <w:rsid w:val="002C43BD"/>
    <w:rsid w:val="002C5245"/>
    <w:rsid w:val="002C59D8"/>
    <w:rsid w:val="002D05CB"/>
    <w:rsid w:val="002D0E59"/>
    <w:rsid w:val="002D2C4F"/>
    <w:rsid w:val="002D3EBB"/>
    <w:rsid w:val="002D455C"/>
    <w:rsid w:val="002D6066"/>
    <w:rsid w:val="002E02A1"/>
    <w:rsid w:val="002E196A"/>
    <w:rsid w:val="002E20C7"/>
    <w:rsid w:val="002E20CD"/>
    <w:rsid w:val="002E222E"/>
    <w:rsid w:val="002E28D8"/>
    <w:rsid w:val="002E37D1"/>
    <w:rsid w:val="002E3BEE"/>
    <w:rsid w:val="002E4E4C"/>
    <w:rsid w:val="002E4EA7"/>
    <w:rsid w:val="002E5846"/>
    <w:rsid w:val="002E792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4771"/>
    <w:rsid w:val="003052D4"/>
    <w:rsid w:val="003060E9"/>
    <w:rsid w:val="00306C5B"/>
    <w:rsid w:val="00307529"/>
    <w:rsid w:val="00307DB3"/>
    <w:rsid w:val="00307ED2"/>
    <w:rsid w:val="0031076D"/>
    <w:rsid w:val="00311AA6"/>
    <w:rsid w:val="00311C4D"/>
    <w:rsid w:val="003121AB"/>
    <w:rsid w:val="00315169"/>
    <w:rsid w:val="003153C8"/>
    <w:rsid w:val="00315524"/>
    <w:rsid w:val="0032058C"/>
    <w:rsid w:val="003208D0"/>
    <w:rsid w:val="003209D6"/>
    <w:rsid w:val="003217B9"/>
    <w:rsid w:val="00321924"/>
    <w:rsid w:val="00321EB6"/>
    <w:rsid w:val="003220A5"/>
    <w:rsid w:val="00323A1C"/>
    <w:rsid w:val="00324B59"/>
    <w:rsid w:val="0032656E"/>
    <w:rsid w:val="0032788F"/>
    <w:rsid w:val="00332190"/>
    <w:rsid w:val="00332A98"/>
    <w:rsid w:val="00333973"/>
    <w:rsid w:val="00333CD0"/>
    <w:rsid w:val="0033448D"/>
    <w:rsid w:val="00334AD2"/>
    <w:rsid w:val="0033709C"/>
    <w:rsid w:val="003370C5"/>
    <w:rsid w:val="003373C6"/>
    <w:rsid w:val="00340BF3"/>
    <w:rsid w:val="00341D26"/>
    <w:rsid w:val="00341F05"/>
    <w:rsid w:val="0034335E"/>
    <w:rsid w:val="00344668"/>
    <w:rsid w:val="00346234"/>
    <w:rsid w:val="003462D9"/>
    <w:rsid w:val="0034723F"/>
    <w:rsid w:val="00347247"/>
    <w:rsid w:val="003474B6"/>
    <w:rsid w:val="00347DD4"/>
    <w:rsid w:val="00352B43"/>
    <w:rsid w:val="00352C28"/>
    <w:rsid w:val="0036077F"/>
    <w:rsid w:val="00360C86"/>
    <w:rsid w:val="00360F7A"/>
    <w:rsid w:val="00360FBC"/>
    <w:rsid w:val="00361537"/>
    <w:rsid w:val="0036242A"/>
    <w:rsid w:val="00362C23"/>
    <w:rsid w:val="00362E90"/>
    <w:rsid w:val="00364FA0"/>
    <w:rsid w:val="003657F3"/>
    <w:rsid w:val="00365844"/>
    <w:rsid w:val="00367F84"/>
    <w:rsid w:val="003712BC"/>
    <w:rsid w:val="00372164"/>
    <w:rsid w:val="003738BD"/>
    <w:rsid w:val="00374263"/>
    <w:rsid w:val="003746F0"/>
    <w:rsid w:val="00374A20"/>
    <w:rsid w:val="00374E21"/>
    <w:rsid w:val="00377B2E"/>
    <w:rsid w:val="003810F0"/>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1EF8"/>
    <w:rsid w:val="003E2DFB"/>
    <w:rsid w:val="003E4C91"/>
    <w:rsid w:val="003E52D8"/>
    <w:rsid w:val="003E62F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30C96"/>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279E"/>
    <w:rsid w:val="004441A0"/>
    <w:rsid w:val="00445861"/>
    <w:rsid w:val="00445A8E"/>
    <w:rsid w:val="00446D44"/>
    <w:rsid w:val="0045078A"/>
    <w:rsid w:val="0045086D"/>
    <w:rsid w:val="00450DAB"/>
    <w:rsid w:val="00451EF1"/>
    <w:rsid w:val="00452E60"/>
    <w:rsid w:val="0045321B"/>
    <w:rsid w:val="00456FE5"/>
    <w:rsid w:val="00457490"/>
    <w:rsid w:val="00457953"/>
    <w:rsid w:val="004604D8"/>
    <w:rsid w:val="00460656"/>
    <w:rsid w:val="00460FB3"/>
    <w:rsid w:val="00463D3C"/>
    <w:rsid w:val="00464851"/>
    <w:rsid w:val="0046746A"/>
    <w:rsid w:val="00467B14"/>
    <w:rsid w:val="004707FE"/>
    <w:rsid w:val="00470EDC"/>
    <w:rsid w:val="0047276D"/>
    <w:rsid w:val="00472AF6"/>
    <w:rsid w:val="00473482"/>
    <w:rsid w:val="00474A04"/>
    <w:rsid w:val="00476240"/>
    <w:rsid w:val="00476439"/>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DE6"/>
    <w:rsid w:val="004E765E"/>
    <w:rsid w:val="004E7815"/>
    <w:rsid w:val="004F06F5"/>
    <w:rsid w:val="004F12A4"/>
    <w:rsid w:val="004F253F"/>
    <w:rsid w:val="004F33A0"/>
    <w:rsid w:val="004F3BD2"/>
    <w:rsid w:val="004F46ED"/>
    <w:rsid w:val="004F4C99"/>
    <w:rsid w:val="004F6539"/>
    <w:rsid w:val="00503D54"/>
    <w:rsid w:val="005048E2"/>
    <w:rsid w:val="00505FC8"/>
    <w:rsid w:val="00506603"/>
    <w:rsid w:val="0050689D"/>
    <w:rsid w:val="005077F5"/>
    <w:rsid w:val="005108C0"/>
    <w:rsid w:val="0051094F"/>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4A28"/>
    <w:rsid w:val="00535018"/>
    <w:rsid w:val="0053595E"/>
    <w:rsid w:val="00537571"/>
    <w:rsid w:val="00540056"/>
    <w:rsid w:val="005410E2"/>
    <w:rsid w:val="00541508"/>
    <w:rsid w:val="00541AE3"/>
    <w:rsid w:val="00543498"/>
    <w:rsid w:val="00544011"/>
    <w:rsid w:val="00544BE5"/>
    <w:rsid w:val="005455F6"/>
    <w:rsid w:val="0054582F"/>
    <w:rsid w:val="005500F9"/>
    <w:rsid w:val="00550160"/>
    <w:rsid w:val="005523A8"/>
    <w:rsid w:val="00552F2C"/>
    <w:rsid w:val="00553A25"/>
    <w:rsid w:val="005547EB"/>
    <w:rsid w:val="005555E0"/>
    <w:rsid w:val="0055599F"/>
    <w:rsid w:val="00556D68"/>
    <w:rsid w:val="005570D6"/>
    <w:rsid w:val="00557E45"/>
    <w:rsid w:val="00561F44"/>
    <w:rsid w:val="00562B4D"/>
    <w:rsid w:val="00563EB8"/>
    <w:rsid w:val="005647BF"/>
    <w:rsid w:val="00564AF1"/>
    <w:rsid w:val="005655DB"/>
    <w:rsid w:val="00565E88"/>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3E52"/>
    <w:rsid w:val="00583FFD"/>
    <w:rsid w:val="0058519A"/>
    <w:rsid w:val="005856BD"/>
    <w:rsid w:val="00586BCA"/>
    <w:rsid w:val="00587038"/>
    <w:rsid w:val="00590B28"/>
    <w:rsid w:val="005911BE"/>
    <w:rsid w:val="00591273"/>
    <w:rsid w:val="00591E9E"/>
    <w:rsid w:val="005927A4"/>
    <w:rsid w:val="00593152"/>
    <w:rsid w:val="005956A3"/>
    <w:rsid w:val="00595958"/>
    <w:rsid w:val="00595CAB"/>
    <w:rsid w:val="0059622E"/>
    <w:rsid w:val="00597671"/>
    <w:rsid w:val="00597BBF"/>
    <w:rsid w:val="005A0948"/>
    <w:rsid w:val="005A0A03"/>
    <w:rsid w:val="005A10F2"/>
    <w:rsid w:val="005A21E0"/>
    <w:rsid w:val="005A28FF"/>
    <w:rsid w:val="005A2C09"/>
    <w:rsid w:val="005A3778"/>
    <w:rsid w:val="005A3DF8"/>
    <w:rsid w:val="005A5549"/>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D7F"/>
    <w:rsid w:val="005F7174"/>
    <w:rsid w:val="00601ADE"/>
    <w:rsid w:val="00601EEF"/>
    <w:rsid w:val="0060255A"/>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1787"/>
    <w:rsid w:val="0064179B"/>
    <w:rsid w:val="00642489"/>
    <w:rsid w:val="00644055"/>
    <w:rsid w:val="00644137"/>
    <w:rsid w:val="0064478C"/>
    <w:rsid w:val="00645160"/>
    <w:rsid w:val="006451E4"/>
    <w:rsid w:val="00645B33"/>
    <w:rsid w:val="006516CB"/>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2586"/>
    <w:rsid w:val="006741CD"/>
    <w:rsid w:val="00674D89"/>
    <w:rsid w:val="0067514E"/>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1943"/>
    <w:rsid w:val="00693550"/>
    <w:rsid w:val="00695065"/>
    <w:rsid w:val="00695BEF"/>
    <w:rsid w:val="00696251"/>
    <w:rsid w:val="006966C7"/>
    <w:rsid w:val="006968C1"/>
    <w:rsid w:val="006977F6"/>
    <w:rsid w:val="00697A13"/>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279A"/>
    <w:rsid w:val="006E313B"/>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5416"/>
    <w:rsid w:val="006F624B"/>
    <w:rsid w:val="006F6D87"/>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77BD"/>
    <w:rsid w:val="00737DEC"/>
    <w:rsid w:val="0074004D"/>
    <w:rsid w:val="00741493"/>
    <w:rsid w:val="007434E5"/>
    <w:rsid w:val="0074499B"/>
    <w:rsid w:val="007450BF"/>
    <w:rsid w:val="007471A1"/>
    <w:rsid w:val="007477BD"/>
    <w:rsid w:val="00747EE9"/>
    <w:rsid w:val="00752180"/>
    <w:rsid w:val="00752323"/>
    <w:rsid w:val="007532B7"/>
    <w:rsid w:val="00753CAB"/>
    <w:rsid w:val="00754A70"/>
    <w:rsid w:val="00754BC9"/>
    <w:rsid w:val="00755202"/>
    <w:rsid w:val="00755D3A"/>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777"/>
    <w:rsid w:val="0077130E"/>
    <w:rsid w:val="007715EE"/>
    <w:rsid w:val="00771972"/>
    <w:rsid w:val="00772279"/>
    <w:rsid w:val="00772DAB"/>
    <w:rsid w:val="00772FF9"/>
    <w:rsid w:val="00774D2C"/>
    <w:rsid w:val="0077605B"/>
    <w:rsid w:val="00776169"/>
    <w:rsid w:val="00776527"/>
    <w:rsid w:val="00777040"/>
    <w:rsid w:val="00777CE6"/>
    <w:rsid w:val="00780EF1"/>
    <w:rsid w:val="00781A91"/>
    <w:rsid w:val="00781F36"/>
    <w:rsid w:val="00785778"/>
    <w:rsid w:val="00786C87"/>
    <w:rsid w:val="0078755E"/>
    <w:rsid w:val="007877C9"/>
    <w:rsid w:val="00790764"/>
    <w:rsid w:val="0079085F"/>
    <w:rsid w:val="00790E96"/>
    <w:rsid w:val="00791005"/>
    <w:rsid w:val="00793D78"/>
    <w:rsid w:val="0079453C"/>
    <w:rsid w:val="00794677"/>
    <w:rsid w:val="00795759"/>
    <w:rsid w:val="007A170B"/>
    <w:rsid w:val="007A20EB"/>
    <w:rsid w:val="007A282C"/>
    <w:rsid w:val="007A293C"/>
    <w:rsid w:val="007A2A3A"/>
    <w:rsid w:val="007A33E2"/>
    <w:rsid w:val="007A3CAF"/>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5F92"/>
    <w:rsid w:val="007C6227"/>
    <w:rsid w:val="007C6BBD"/>
    <w:rsid w:val="007C6D89"/>
    <w:rsid w:val="007C6F5E"/>
    <w:rsid w:val="007D0382"/>
    <w:rsid w:val="007D1A1F"/>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20F3"/>
    <w:rsid w:val="007F2353"/>
    <w:rsid w:val="007F2390"/>
    <w:rsid w:val="007F2CAC"/>
    <w:rsid w:val="007F4740"/>
    <w:rsid w:val="007F595A"/>
    <w:rsid w:val="007F708D"/>
    <w:rsid w:val="008006B3"/>
    <w:rsid w:val="0080158A"/>
    <w:rsid w:val="00801E13"/>
    <w:rsid w:val="00803008"/>
    <w:rsid w:val="00803069"/>
    <w:rsid w:val="0080346B"/>
    <w:rsid w:val="00804155"/>
    <w:rsid w:val="0080559E"/>
    <w:rsid w:val="00805AF3"/>
    <w:rsid w:val="0080734C"/>
    <w:rsid w:val="00807C82"/>
    <w:rsid w:val="008117CC"/>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2F77"/>
    <w:rsid w:val="00834304"/>
    <w:rsid w:val="00834FAA"/>
    <w:rsid w:val="008354FB"/>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6C6"/>
    <w:rsid w:val="0084708F"/>
    <w:rsid w:val="008477C8"/>
    <w:rsid w:val="008478A6"/>
    <w:rsid w:val="008502F6"/>
    <w:rsid w:val="0085114D"/>
    <w:rsid w:val="008520A8"/>
    <w:rsid w:val="00852217"/>
    <w:rsid w:val="00853282"/>
    <w:rsid w:val="00855408"/>
    <w:rsid w:val="00855D03"/>
    <w:rsid w:val="00856D65"/>
    <w:rsid w:val="00861B41"/>
    <w:rsid w:val="00861B9F"/>
    <w:rsid w:val="00861BE3"/>
    <w:rsid w:val="008625D3"/>
    <w:rsid w:val="00863434"/>
    <w:rsid w:val="0086344F"/>
    <w:rsid w:val="008641AC"/>
    <w:rsid w:val="00865E4C"/>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CD7"/>
    <w:rsid w:val="00882911"/>
    <w:rsid w:val="00882F6E"/>
    <w:rsid w:val="00884E02"/>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1C59"/>
    <w:rsid w:val="008A37E2"/>
    <w:rsid w:val="008A388E"/>
    <w:rsid w:val="008A394E"/>
    <w:rsid w:val="008A3CBA"/>
    <w:rsid w:val="008A4B59"/>
    <w:rsid w:val="008A63E1"/>
    <w:rsid w:val="008A66B7"/>
    <w:rsid w:val="008A68BB"/>
    <w:rsid w:val="008A6AA5"/>
    <w:rsid w:val="008A7127"/>
    <w:rsid w:val="008B3537"/>
    <w:rsid w:val="008B3690"/>
    <w:rsid w:val="008B3A80"/>
    <w:rsid w:val="008B3AEC"/>
    <w:rsid w:val="008B3C07"/>
    <w:rsid w:val="008B3F7B"/>
    <w:rsid w:val="008B5324"/>
    <w:rsid w:val="008B6106"/>
    <w:rsid w:val="008B7C02"/>
    <w:rsid w:val="008B7D2B"/>
    <w:rsid w:val="008B7EF9"/>
    <w:rsid w:val="008C0049"/>
    <w:rsid w:val="008C0E88"/>
    <w:rsid w:val="008C1717"/>
    <w:rsid w:val="008C4B50"/>
    <w:rsid w:val="008C5A37"/>
    <w:rsid w:val="008C7569"/>
    <w:rsid w:val="008D033D"/>
    <w:rsid w:val="008D0DBD"/>
    <w:rsid w:val="008D117E"/>
    <w:rsid w:val="008D127E"/>
    <w:rsid w:val="008D1CA8"/>
    <w:rsid w:val="008D1E0A"/>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383"/>
    <w:rsid w:val="008F585B"/>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CC"/>
    <w:rsid w:val="00920EC4"/>
    <w:rsid w:val="0092180B"/>
    <w:rsid w:val="00921F14"/>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445"/>
    <w:rsid w:val="0095759C"/>
    <w:rsid w:val="009618EE"/>
    <w:rsid w:val="009624D2"/>
    <w:rsid w:val="009628D9"/>
    <w:rsid w:val="009637AE"/>
    <w:rsid w:val="00963A06"/>
    <w:rsid w:val="00964068"/>
    <w:rsid w:val="009640F6"/>
    <w:rsid w:val="0096469D"/>
    <w:rsid w:val="00964776"/>
    <w:rsid w:val="00964A4E"/>
    <w:rsid w:val="00964B35"/>
    <w:rsid w:val="009651C7"/>
    <w:rsid w:val="00965797"/>
    <w:rsid w:val="00965A10"/>
    <w:rsid w:val="009670A3"/>
    <w:rsid w:val="009674BE"/>
    <w:rsid w:val="00970FB5"/>
    <w:rsid w:val="00971710"/>
    <w:rsid w:val="00971B87"/>
    <w:rsid w:val="00971C77"/>
    <w:rsid w:val="00972FCD"/>
    <w:rsid w:val="00973324"/>
    <w:rsid w:val="009741AE"/>
    <w:rsid w:val="009741FC"/>
    <w:rsid w:val="00974782"/>
    <w:rsid w:val="00974923"/>
    <w:rsid w:val="00975909"/>
    <w:rsid w:val="00977C3D"/>
    <w:rsid w:val="00980D3D"/>
    <w:rsid w:val="0098103E"/>
    <w:rsid w:val="0098157D"/>
    <w:rsid w:val="00983101"/>
    <w:rsid w:val="00983E41"/>
    <w:rsid w:val="009845E1"/>
    <w:rsid w:val="00986246"/>
    <w:rsid w:val="00987A30"/>
    <w:rsid w:val="00990312"/>
    <w:rsid w:val="0099182E"/>
    <w:rsid w:val="00992CF3"/>
    <w:rsid w:val="00993194"/>
    <w:rsid w:val="0099321E"/>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284F"/>
    <w:rsid w:val="009B3764"/>
    <w:rsid w:val="009B52AC"/>
    <w:rsid w:val="009B59EA"/>
    <w:rsid w:val="009B66CE"/>
    <w:rsid w:val="009B6FD3"/>
    <w:rsid w:val="009B72BE"/>
    <w:rsid w:val="009B78A4"/>
    <w:rsid w:val="009B7DB2"/>
    <w:rsid w:val="009C03DB"/>
    <w:rsid w:val="009C1750"/>
    <w:rsid w:val="009C2E29"/>
    <w:rsid w:val="009C3E8F"/>
    <w:rsid w:val="009C554B"/>
    <w:rsid w:val="009C5E83"/>
    <w:rsid w:val="009C7126"/>
    <w:rsid w:val="009C719E"/>
    <w:rsid w:val="009C7799"/>
    <w:rsid w:val="009D07A9"/>
    <w:rsid w:val="009D0AE2"/>
    <w:rsid w:val="009D0D9F"/>
    <w:rsid w:val="009D0EBB"/>
    <w:rsid w:val="009D3ACD"/>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982"/>
    <w:rsid w:val="009F4CA7"/>
    <w:rsid w:val="009F4F6A"/>
    <w:rsid w:val="009F55BA"/>
    <w:rsid w:val="009F7D36"/>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E1"/>
    <w:rsid w:val="00A20FE1"/>
    <w:rsid w:val="00A21B4D"/>
    <w:rsid w:val="00A22073"/>
    <w:rsid w:val="00A223E0"/>
    <w:rsid w:val="00A23E43"/>
    <w:rsid w:val="00A24726"/>
    <w:rsid w:val="00A24DEB"/>
    <w:rsid w:val="00A24ED9"/>
    <w:rsid w:val="00A25216"/>
    <w:rsid w:val="00A2597D"/>
    <w:rsid w:val="00A2628E"/>
    <w:rsid w:val="00A266BF"/>
    <w:rsid w:val="00A2731E"/>
    <w:rsid w:val="00A309AC"/>
    <w:rsid w:val="00A30F65"/>
    <w:rsid w:val="00A3279E"/>
    <w:rsid w:val="00A35900"/>
    <w:rsid w:val="00A40EAC"/>
    <w:rsid w:val="00A418BC"/>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7D1D"/>
    <w:rsid w:val="00A81652"/>
    <w:rsid w:val="00A83150"/>
    <w:rsid w:val="00A83398"/>
    <w:rsid w:val="00A83D6E"/>
    <w:rsid w:val="00A8521A"/>
    <w:rsid w:val="00A857C0"/>
    <w:rsid w:val="00A85ACB"/>
    <w:rsid w:val="00A90F2C"/>
    <w:rsid w:val="00A90FED"/>
    <w:rsid w:val="00A91482"/>
    <w:rsid w:val="00A9189D"/>
    <w:rsid w:val="00A91E71"/>
    <w:rsid w:val="00A925B1"/>
    <w:rsid w:val="00A92A3E"/>
    <w:rsid w:val="00A934F9"/>
    <w:rsid w:val="00A940E3"/>
    <w:rsid w:val="00A95F1A"/>
    <w:rsid w:val="00A96116"/>
    <w:rsid w:val="00A9614E"/>
    <w:rsid w:val="00A96C0F"/>
    <w:rsid w:val="00AA0E80"/>
    <w:rsid w:val="00AA17CD"/>
    <w:rsid w:val="00AA1D85"/>
    <w:rsid w:val="00AA212F"/>
    <w:rsid w:val="00AA2996"/>
    <w:rsid w:val="00AA2AF4"/>
    <w:rsid w:val="00AA4282"/>
    <w:rsid w:val="00AA4790"/>
    <w:rsid w:val="00AA52BF"/>
    <w:rsid w:val="00AA559A"/>
    <w:rsid w:val="00AA6C31"/>
    <w:rsid w:val="00AA7752"/>
    <w:rsid w:val="00AA7CE8"/>
    <w:rsid w:val="00AB1457"/>
    <w:rsid w:val="00AB2AF1"/>
    <w:rsid w:val="00AB3EC7"/>
    <w:rsid w:val="00AB5A64"/>
    <w:rsid w:val="00AB5CA1"/>
    <w:rsid w:val="00AB6456"/>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0799C"/>
    <w:rsid w:val="00B102CE"/>
    <w:rsid w:val="00B10A4D"/>
    <w:rsid w:val="00B10C90"/>
    <w:rsid w:val="00B11002"/>
    <w:rsid w:val="00B121B2"/>
    <w:rsid w:val="00B141B6"/>
    <w:rsid w:val="00B14BC1"/>
    <w:rsid w:val="00B16DD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C7D"/>
    <w:rsid w:val="00B53E56"/>
    <w:rsid w:val="00B55A97"/>
    <w:rsid w:val="00B55F5E"/>
    <w:rsid w:val="00B5642C"/>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0E0B"/>
    <w:rsid w:val="00BA201A"/>
    <w:rsid w:val="00BA3787"/>
    <w:rsid w:val="00BA46E8"/>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327F"/>
    <w:rsid w:val="00BC3512"/>
    <w:rsid w:val="00BC50BE"/>
    <w:rsid w:val="00BC5332"/>
    <w:rsid w:val="00BC5715"/>
    <w:rsid w:val="00BC5C12"/>
    <w:rsid w:val="00BC7154"/>
    <w:rsid w:val="00BC731E"/>
    <w:rsid w:val="00BC7614"/>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5A4"/>
    <w:rsid w:val="00C85545"/>
    <w:rsid w:val="00C855B5"/>
    <w:rsid w:val="00C85F0E"/>
    <w:rsid w:val="00C90CF4"/>
    <w:rsid w:val="00C91C20"/>
    <w:rsid w:val="00C922DE"/>
    <w:rsid w:val="00C92843"/>
    <w:rsid w:val="00C92EB6"/>
    <w:rsid w:val="00C93389"/>
    <w:rsid w:val="00C948E6"/>
    <w:rsid w:val="00C94CDD"/>
    <w:rsid w:val="00CA0346"/>
    <w:rsid w:val="00CA1BD6"/>
    <w:rsid w:val="00CA37FF"/>
    <w:rsid w:val="00CA423A"/>
    <w:rsid w:val="00CA47BC"/>
    <w:rsid w:val="00CA5EAD"/>
    <w:rsid w:val="00CA6AB4"/>
    <w:rsid w:val="00CA7255"/>
    <w:rsid w:val="00CB2351"/>
    <w:rsid w:val="00CB4930"/>
    <w:rsid w:val="00CB4BA9"/>
    <w:rsid w:val="00CB4C63"/>
    <w:rsid w:val="00CB5A48"/>
    <w:rsid w:val="00CB5E10"/>
    <w:rsid w:val="00CB613B"/>
    <w:rsid w:val="00CB6152"/>
    <w:rsid w:val="00CB64E1"/>
    <w:rsid w:val="00CB6E4D"/>
    <w:rsid w:val="00CC0834"/>
    <w:rsid w:val="00CC20FE"/>
    <w:rsid w:val="00CC2E7D"/>
    <w:rsid w:val="00CC612B"/>
    <w:rsid w:val="00CC655F"/>
    <w:rsid w:val="00CC66F9"/>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020B"/>
    <w:rsid w:val="00CF2E4D"/>
    <w:rsid w:val="00CF4205"/>
    <w:rsid w:val="00CF4908"/>
    <w:rsid w:val="00CF51EC"/>
    <w:rsid w:val="00CF545D"/>
    <w:rsid w:val="00CF5873"/>
    <w:rsid w:val="00CF73AE"/>
    <w:rsid w:val="00CF7777"/>
    <w:rsid w:val="00D0085A"/>
    <w:rsid w:val="00D0197F"/>
    <w:rsid w:val="00D0242D"/>
    <w:rsid w:val="00D02716"/>
    <w:rsid w:val="00D03A72"/>
    <w:rsid w:val="00D040DD"/>
    <w:rsid w:val="00D04134"/>
    <w:rsid w:val="00D05C65"/>
    <w:rsid w:val="00D06B56"/>
    <w:rsid w:val="00D06D68"/>
    <w:rsid w:val="00D075BE"/>
    <w:rsid w:val="00D10C15"/>
    <w:rsid w:val="00D11476"/>
    <w:rsid w:val="00D12C25"/>
    <w:rsid w:val="00D133B4"/>
    <w:rsid w:val="00D13986"/>
    <w:rsid w:val="00D14C5B"/>
    <w:rsid w:val="00D15FED"/>
    <w:rsid w:val="00D16712"/>
    <w:rsid w:val="00D214EF"/>
    <w:rsid w:val="00D215B0"/>
    <w:rsid w:val="00D21D6D"/>
    <w:rsid w:val="00D21D83"/>
    <w:rsid w:val="00D235B7"/>
    <w:rsid w:val="00D23FAE"/>
    <w:rsid w:val="00D25F28"/>
    <w:rsid w:val="00D26071"/>
    <w:rsid w:val="00D269B9"/>
    <w:rsid w:val="00D27973"/>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3034"/>
    <w:rsid w:val="00D43ED2"/>
    <w:rsid w:val="00D50F46"/>
    <w:rsid w:val="00D5384E"/>
    <w:rsid w:val="00D544E7"/>
    <w:rsid w:val="00D5499F"/>
    <w:rsid w:val="00D5560A"/>
    <w:rsid w:val="00D56FBF"/>
    <w:rsid w:val="00D57677"/>
    <w:rsid w:val="00D60415"/>
    <w:rsid w:val="00D60E3C"/>
    <w:rsid w:val="00D61FAB"/>
    <w:rsid w:val="00D63BE5"/>
    <w:rsid w:val="00D6475F"/>
    <w:rsid w:val="00D66223"/>
    <w:rsid w:val="00D667B8"/>
    <w:rsid w:val="00D70289"/>
    <w:rsid w:val="00D70822"/>
    <w:rsid w:val="00D72076"/>
    <w:rsid w:val="00D726A9"/>
    <w:rsid w:val="00D743E0"/>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544C"/>
    <w:rsid w:val="00DA5F8E"/>
    <w:rsid w:val="00DA6364"/>
    <w:rsid w:val="00DA7114"/>
    <w:rsid w:val="00DA7C0C"/>
    <w:rsid w:val="00DB03DD"/>
    <w:rsid w:val="00DB08A9"/>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5287"/>
    <w:rsid w:val="00DD5B36"/>
    <w:rsid w:val="00DE0D8B"/>
    <w:rsid w:val="00DE1237"/>
    <w:rsid w:val="00DE140F"/>
    <w:rsid w:val="00DE2491"/>
    <w:rsid w:val="00DE5CA6"/>
    <w:rsid w:val="00DE7AC8"/>
    <w:rsid w:val="00DF2C5D"/>
    <w:rsid w:val="00DF3643"/>
    <w:rsid w:val="00DF42FF"/>
    <w:rsid w:val="00DF4369"/>
    <w:rsid w:val="00DF4423"/>
    <w:rsid w:val="00DF4ADF"/>
    <w:rsid w:val="00DF5D1E"/>
    <w:rsid w:val="00DF77E4"/>
    <w:rsid w:val="00DF7F88"/>
    <w:rsid w:val="00E01C0E"/>
    <w:rsid w:val="00E0368F"/>
    <w:rsid w:val="00E03D73"/>
    <w:rsid w:val="00E03F9A"/>
    <w:rsid w:val="00E04694"/>
    <w:rsid w:val="00E12191"/>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0F15"/>
    <w:rsid w:val="00E31771"/>
    <w:rsid w:val="00E3186D"/>
    <w:rsid w:val="00E31A3E"/>
    <w:rsid w:val="00E32080"/>
    <w:rsid w:val="00E3309D"/>
    <w:rsid w:val="00E35A53"/>
    <w:rsid w:val="00E3724A"/>
    <w:rsid w:val="00E378B1"/>
    <w:rsid w:val="00E417BE"/>
    <w:rsid w:val="00E41CD5"/>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3470"/>
    <w:rsid w:val="00E539F6"/>
    <w:rsid w:val="00E54698"/>
    <w:rsid w:val="00E54FB4"/>
    <w:rsid w:val="00E5539A"/>
    <w:rsid w:val="00E55791"/>
    <w:rsid w:val="00E55E1A"/>
    <w:rsid w:val="00E578A2"/>
    <w:rsid w:val="00E60043"/>
    <w:rsid w:val="00E61740"/>
    <w:rsid w:val="00E61EB5"/>
    <w:rsid w:val="00E6324D"/>
    <w:rsid w:val="00E65084"/>
    <w:rsid w:val="00E6519D"/>
    <w:rsid w:val="00E66062"/>
    <w:rsid w:val="00E6660E"/>
    <w:rsid w:val="00E67305"/>
    <w:rsid w:val="00E67696"/>
    <w:rsid w:val="00E70C5F"/>
    <w:rsid w:val="00E71A58"/>
    <w:rsid w:val="00E72A26"/>
    <w:rsid w:val="00E72A7A"/>
    <w:rsid w:val="00E7335A"/>
    <w:rsid w:val="00E747DC"/>
    <w:rsid w:val="00E74A2D"/>
    <w:rsid w:val="00E75C94"/>
    <w:rsid w:val="00E76B9B"/>
    <w:rsid w:val="00E76E61"/>
    <w:rsid w:val="00E77CC0"/>
    <w:rsid w:val="00E80B3D"/>
    <w:rsid w:val="00E80CA3"/>
    <w:rsid w:val="00E82618"/>
    <w:rsid w:val="00E84E09"/>
    <w:rsid w:val="00E90CA8"/>
    <w:rsid w:val="00E930A1"/>
    <w:rsid w:val="00E93820"/>
    <w:rsid w:val="00E94A86"/>
    <w:rsid w:val="00E953F6"/>
    <w:rsid w:val="00E96143"/>
    <w:rsid w:val="00E96833"/>
    <w:rsid w:val="00E97506"/>
    <w:rsid w:val="00EA0C68"/>
    <w:rsid w:val="00EA1D0E"/>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F10"/>
    <w:rsid w:val="00ED4D04"/>
    <w:rsid w:val="00ED566D"/>
    <w:rsid w:val="00ED5907"/>
    <w:rsid w:val="00ED5F5B"/>
    <w:rsid w:val="00ED62C6"/>
    <w:rsid w:val="00ED64C1"/>
    <w:rsid w:val="00EE2EB4"/>
    <w:rsid w:val="00EE3446"/>
    <w:rsid w:val="00EE3E78"/>
    <w:rsid w:val="00EE41FD"/>
    <w:rsid w:val="00EE460E"/>
    <w:rsid w:val="00EE4B1B"/>
    <w:rsid w:val="00EE5FBA"/>
    <w:rsid w:val="00EE6E06"/>
    <w:rsid w:val="00EE7179"/>
    <w:rsid w:val="00EF150D"/>
    <w:rsid w:val="00EF1F5A"/>
    <w:rsid w:val="00EF47BF"/>
    <w:rsid w:val="00EF59B1"/>
    <w:rsid w:val="00EF5A13"/>
    <w:rsid w:val="00EF5FF9"/>
    <w:rsid w:val="00EF77D4"/>
    <w:rsid w:val="00EF7CC7"/>
    <w:rsid w:val="00F00853"/>
    <w:rsid w:val="00F00866"/>
    <w:rsid w:val="00F0160B"/>
    <w:rsid w:val="00F0193E"/>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D6"/>
    <w:rsid w:val="00F307CB"/>
    <w:rsid w:val="00F30C65"/>
    <w:rsid w:val="00F321D2"/>
    <w:rsid w:val="00F32649"/>
    <w:rsid w:val="00F33523"/>
    <w:rsid w:val="00F3364D"/>
    <w:rsid w:val="00F33914"/>
    <w:rsid w:val="00F349BF"/>
    <w:rsid w:val="00F34DDC"/>
    <w:rsid w:val="00F36191"/>
    <w:rsid w:val="00F37EDC"/>
    <w:rsid w:val="00F437CC"/>
    <w:rsid w:val="00F44537"/>
    <w:rsid w:val="00F46185"/>
    <w:rsid w:val="00F46423"/>
    <w:rsid w:val="00F4696A"/>
    <w:rsid w:val="00F47067"/>
    <w:rsid w:val="00F525AB"/>
    <w:rsid w:val="00F525EB"/>
    <w:rsid w:val="00F52CB5"/>
    <w:rsid w:val="00F53A68"/>
    <w:rsid w:val="00F54934"/>
    <w:rsid w:val="00F55A92"/>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84E7D"/>
    <w:rsid w:val="00F85066"/>
    <w:rsid w:val="00F87A4D"/>
    <w:rsid w:val="00F93688"/>
    <w:rsid w:val="00F939F3"/>
    <w:rsid w:val="00F93C6E"/>
    <w:rsid w:val="00F93F2C"/>
    <w:rsid w:val="00F9644E"/>
    <w:rsid w:val="00FA0105"/>
    <w:rsid w:val="00FA05A0"/>
    <w:rsid w:val="00FA0AEF"/>
    <w:rsid w:val="00FA17CC"/>
    <w:rsid w:val="00FA1F01"/>
    <w:rsid w:val="00FA26DF"/>
    <w:rsid w:val="00FA32BC"/>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E27C7"/>
    <w:rsid w:val="00FE2C7E"/>
    <w:rsid w:val="00FE2F78"/>
    <w:rsid w:val="00FE3137"/>
    <w:rsid w:val="00FE346B"/>
    <w:rsid w:val="00FE346F"/>
    <w:rsid w:val="00FE48E4"/>
    <w:rsid w:val="00FE634C"/>
    <w:rsid w:val="00FE6E69"/>
    <w:rsid w:val="00FE6F59"/>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9\QMakro\celorok\Grafy-st&#225;tn&#237;%20rozpo&#269;et-rok-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19\QMakro\celorok\Grafy-st&#225;tn&#237;%20rozpo&#269;et-rok-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35993017189728E-2"/>
          <c:y val="1.7107238390107405E-2"/>
          <c:w val="0.84623987743766005"/>
          <c:h val="0.82188956339158548"/>
        </c:manualLayout>
      </c:layout>
      <c:barChart>
        <c:barDir val="col"/>
        <c:grouping val="clustered"/>
        <c:varyColors val="0"/>
        <c:ser>
          <c:idx val="2"/>
          <c:order val="4"/>
          <c:tx>
            <c:strRef>
              <c:f>'Státní rozpočet-příjmy'!$A$40</c:f>
              <c:strCache>
                <c:ptCount val="1"/>
                <c:pt idx="0">
                  <c:v>Saldo státního rozpočtu (pravá osa)</c:v>
                </c:pt>
              </c:strCache>
            </c:strRef>
          </c:tx>
          <c:spPr>
            <a:solidFill>
              <a:srgbClr val="DCDCDC"/>
            </a:solidFill>
          </c:spPr>
          <c:invertIfNegative val="0"/>
          <c:cat>
            <c:strRef>
              <c:f>'Státní rozpočet-příjmy'!$B$34:$P$35</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'Státní rozpočet-příjmy'!$B$40:$P$40</c:f>
              <c:numCache>
                <c:formatCode>#\ ##0.0</c:formatCode>
                <c:ptCount val="15"/>
                <c:pt idx="0">
                  <c:v>-56.36</c:v>
                </c:pt>
                <c:pt idx="1">
                  <c:v>-97.3</c:v>
                </c:pt>
                <c:pt idx="2">
                  <c:v>-66.391999999999996</c:v>
                </c:pt>
                <c:pt idx="3">
                  <c:v>-20.003</c:v>
                </c:pt>
                <c:pt idx="4">
                  <c:v>-192.39400000000001</c:v>
                </c:pt>
                <c:pt idx="5">
                  <c:v>-156.416</c:v>
                </c:pt>
                <c:pt idx="6">
                  <c:v>-142.77099999999999</c:v>
                </c:pt>
                <c:pt idx="7">
                  <c:v>-101</c:v>
                </c:pt>
                <c:pt idx="8">
                  <c:v>-81.263999999999996</c:v>
                </c:pt>
                <c:pt idx="9">
                  <c:v>-77.78</c:v>
                </c:pt>
                <c:pt idx="10">
                  <c:v>-62.8</c:v>
                </c:pt>
                <c:pt idx="11">
                  <c:v>61.77</c:v>
                </c:pt>
                <c:pt idx="12">
                  <c:v>-6.15</c:v>
                </c:pt>
                <c:pt idx="13">
                  <c:v>2.94</c:v>
                </c:pt>
                <c:pt idx="14">
                  <c:v>-28.52</c:v>
                </c:pt>
              </c:numCache>
            </c:numRef>
          </c:val>
          <c:extLst>
            <c:ext xmlns:c16="http://schemas.microsoft.com/office/drawing/2014/chart" uri="{C3380CC4-5D6E-409C-BE32-E72D297353CC}">
              <c16:uniqueId val="{00000000-B93E-4AB9-9A10-BFE066ACFE72}"/>
            </c:ext>
          </c:extLst>
        </c:ser>
        <c:dLbls>
          <c:showLegendKey val="0"/>
          <c:showVal val="0"/>
          <c:showCatName val="0"/>
          <c:showSerName val="0"/>
          <c:showPercent val="0"/>
          <c:showBubbleSize val="0"/>
        </c:dLbls>
        <c:gapWidth val="43"/>
        <c:axId val="194477056"/>
        <c:axId val="194475520"/>
      </c:barChart>
      <c:lineChart>
        <c:grouping val="standard"/>
        <c:varyColors val="0"/>
        <c:ser>
          <c:idx val="0"/>
          <c:order val="0"/>
          <c:tx>
            <c:strRef>
              <c:f>'Státní rozpočet-příjmy'!$A$36</c:f>
              <c:strCache>
                <c:ptCount val="1"/>
                <c:pt idx="0">
                  <c:v>DPH</c:v>
                </c:pt>
              </c:strCache>
            </c:strRef>
          </c:tx>
          <c:spPr>
            <a:ln w="19050">
              <a:solidFill>
                <a:srgbClr val="BD1B25"/>
              </a:solidFill>
            </a:ln>
          </c:spPr>
          <c:marker>
            <c:symbol val="none"/>
          </c:marker>
          <c:cat>
            <c:strRef>
              <c:f>'Státní rozpočet-příjmy'!$B$34:$P$35</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'Státní rozpočet-příjmy'!$B$36:$P$36</c:f>
              <c:numCache>
                <c:formatCode>0.0</c:formatCode>
                <c:ptCount val="15"/>
                <c:pt idx="0">
                  <c:v>13.155608643718097</c:v>
                </c:pt>
                <c:pt idx="1">
                  <c:v>4.4959454920589224</c:v>
                </c:pt>
                <c:pt idx="2">
                  <c:v>8.540729176232901</c:v>
                </c:pt>
                <c:pt idx="3">
                  <c:v>7.9575260174295579</c:v>
                </c:pt>
                <c:pt idx="4">
                  <c:v>-0.61914651828048761</c:v>
                </c:pt>
                <c:pt idx="5">
                  <c:v>6.2852411182524435</c:v>
                </c:pt>
                <c:pt idx="6">
                  <c:v>2.1665739194954341</c:v>
                </c:pt>
                <c:pt idx="7">
                  <c:v>1.0312647518065461</c:v>
                </c:pt>
                <c:pt idx="8">
                  <c:v>10.865111598317938</c:v>
                </c:pt>
                <c:pt idx="9">
                  <c:v>4.674836283472743</c:v>
                </c:pt>
                <c:pt idx="10">
                  <c:v>2.7750247770069336</c:v>
                </c:pt>
                <c:pt idx="11">
                  <c:v>5.3881388621022381</c:v>
                </c:pt>
                <c:pt idx="12">
                  <c:v>9.138739563079028</c:v>
                </c:pt>
                <c:pt idx="13">
                  <c:v>8.2844267449172122</c:v>
                </c:pt>
                <c:pt idx="14">
                  <c:v>4.4229373336559235</c:v>
                </c:pt>
              </c:numCache>
            </c:numRef>
          </c:val>
          <c:smooth val="0"/>
          <c:extLst>
            <c:ext xmlns:c16="http://schemas.microsoft.com/office/drawing/2014/chart" uri="{C3380CC4-5D6E-409C-BE32-E72D297353CC}">
              <c16:uniqueId val="{00000001-B93E-4AB9-9A10-BFE066ACFE72}"/>
            </c:ext>
          </c:extLst>
        </c:ser>
        <c:ser>
          <c:idx val="1"/>
          <c:order val="1"/>
          <c:tx>
            <c:strRef>
              <c:f>'Státní rozpočet-příjmy'!$A$37</c:f>
              <c:strCache>
                <c:ptCount val="1"/>
                <c:pt idx="0">
                  <c:v>Spotřební daň</c:v>
                </c:pt>
              </c:strCache>
            </c:strRef>
          </c:tx>
          <c:spPr>
            <a:ln w="19050">
              <a:solidFill>
                <a:srgbClr val="7DBB2D"/>
              </a:solidFill>
              <a:prstDash val="solid"/>
            </a:ln>
          </c:spPr>
          <c:marker>
            <c:symbol val="none"/>
          </c:marker>
          <c:cat>
            <c:strRef>
              <c:f>'Státní rozpočet-příjmy'!$B$34:$P$35</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'Státní rozpočet-příjmy'!$B$37:$P$37</c:f>
              <c:numCache>
                <c:formatCode>0.0</c:formatCode>
                <c:ptCount val="15"/>
                <c:pt idx="0">
                  <c:v>15.148989372785991</c:v>
                </c:pt>
                <c:pt idx="1">
                  <c:v>8.1704668838219305</c:v>
                </c:pt>
                <c:pt idx="2">
                  <c:v>16.227519866164769</c:v>
                </c:pt>
                <c:pt idx="3">
                  <c:v>-4.2605253688377047</c:v>
                </c:pt>
                <c:pt idx="4">
                  <c:v>-1.4733518755167978</c:v>
                </c:pt>
                <c:pt idx="5">
                  <c:v>5.4932478828107207</c:v>
                </c:pt>
                <c:pt idx="6">
                  <c:v>6.0099804729876354</c:v>
                </c:pt>
                <c:pt idx="7">
                  <c:v>0.13644426251875075</c:v>
                </c:pt>
                <c:pt idx="8">
                  <c:v>-2.2891402098378535</c:v>
                </c:pt>
                <c:pt idx="9">
                  <c:v>-1.4712034583739921</c:v>
                </c:pt>
                <c:pt idx="10">
                  <c:v>6.5034321704055031</c:v>
                </c:pt>
                <c:pt idx="11">
                  <c:v>5.1362126245847008</c:v>
                </c:pt>
                <c:pt idx="12">
                  <c:v>2.9071604626177248</c:v>
                </c:pt>
                <c:pt idx="13">
                  <c:v>2.8495977399742003</c:v>
                </c:pt>
                <c:pt idx="14">
                  <c:v>-0.19705021794949573</c:v>
                </c:pt>
              </c:numCache>
            </c:numRef>
          </c:val>
          <c:smooth val="0"/>
          <c:extLst>
            <c:ext xmlns:c16="http://schemas.microsoft.com/office/drawing/2014/chart" uri="{C3380CC4-5D6E-409C-BE32-E72D297353CC}">
              <c16:uniqueId val="{00000002-B93E-4AB9-9A10-BFE066ACFE72}"/>
            </c:ext>
          </c:extLst>
        </c:ser>
        <c:ser>
          <c:idx val="3"/>
          <c:order val="2"/>
          <c:tx>
            <c:strRef>
              <c:f>'Státní rozpočet-příjmy'!$A$38</c:f>
              <c:strCache>
                <c:ptCount val="1"/>
                <c:pt idx="0">
                  <c:v>Daně z příjmů FO ze závislé činnosti</c:v>
                </c:pt>
              </c:strCache>
            </c:strRef>
          </c:tx>
          <c:spPr>
            <a:ln w="19050">
              <a:solidFill>
                <a:srgbClr val="0071BC"/>
              </a:solidFill>
              <a:prstDash val="solid"/>
            </a:ln>
          </c:spPr>
          <c:marker>
            <c:symbol val="none"/>
          </c:marker>
          <c:cat>
            <c:strRef>
              <c:f>'Státní rozpočet-příjmy'!$B$34:$P$35</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'Státní rozpočet-příjmy'!$B$38:$P$38</c:f>
              <c:numCache>
                <c:formatCode>0.0</c:formatCode>
                <c:ptCount val="15"/>
                <c:pt idx="0">
                  <c:v>7.8339666764104123</c:v>
                </c:pt>
                <c:pt idx="1">
                  <c:v>0.86744375169422483</c:v>
                </c:pt>
                <c:pt idx="2">
                  <c:v>13.222252082773451</c:v>
                </c:pt>
                <c:pt idx="3">
                  <c:v>-8.8693725769443859</c:v>
                </c:pt>
                <c:pt idx="4">
                  <c:v>-3.5943740232679318</c:v>
                </c:pt>
                <c:pt idx="5">
                  <c:v>0.72046109510085898</c:v>
                </c:pt>
                <c:pt idx="6">
                  <c:v>6.7328326180257534</c:v>
                </c:pt>
                <c:pt idx="7">
                  <c:v>0.35184719778837348</c:v>
                </c:pt>
                <c:pt idx="8">
                  <c:v>5.2925953752399835</c:v>
                </c:pt>
                <c:pt idx="9">
                  <c:v>3.7580274320145861</c:v>
                </c:pt>
                <c:pt idx="10">
                  <c:v>4.011614579353548</c:v>
                </c:pt>
                <c:pt idx="11">
                  <c:v>9.7487511019688498</c:v>
                </c:pt>
                <c:pt idx="12">
                  <c:v>13.2873686324386</c:v>
                </c:pt>
                <c:pt idx="13">
                  <c:v>14.441030489246032</c:v>
                </c:pt>
                <c:pt idx="14">
                  <c:v>11.673895084675763</c:v>
                </c:pt>
              </c:numCache>
            </c:numRef>
          </c:val>
          <c:smooth val="0"/>
          <c:extLst>
            <c:ext xmlns:c16="http://schemas.microsoft.com/office/drawing/2014/chart" uri="{C3380CC4-5D6E-409C-BE32-E72D297353CC}">
              <c16:uniqueId val="{00000003-B93E-4AB9-9A10-BFE066ACFE72}"/>
            </c:ext>
          </c:extLst>
        </c:ser>
        <c:ser>
          <c:idx val="4"/>
          <c:order val="3"/>
          <c:tx>
            <c:strRef>
              <c:f>'Státní rozpočet-příjmy'!$A$39</c:f>
              <c:strCache>
                <c:ptCount val="1"/>
                <c:pt idx="0">
                  <c:v>Daně z příjmů právnických osob (PO)</c:v>
                </c:pt>
              </c:strCache>
            </c:strRef>
          </c:tx>
          <c:spPr>
            <a:ln w="19050">
              <a:noFill/>
            </a:ln>
          </c:spPr>
          <c:marker>
            <c:symbol val="diamond"/>
            <c:size val="6"/>
            <c:spPr>
              <a:solidFill>
                <a:srgbClr val="984807"/>
              </a:solidFill>
              <a:ln>
                <a:noFill/>
              </a:ln>
            </c:spPr>
          </c:marker>
          <c:cat>
            <c:strRef>
              <c:f>'Státní rozpočet-příjmy'!$B$34:$P$35</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'Státní rozpočet-příjmy'!$B$39:$P$39</c:f>
              <c:numCache>
                <c:formatCode>0.0</c:formatCode>
                <c:ptCount val="15"/>
                <c:pt idx="0">
                  <c:v>26.963584434130652</c:v>
                </c:pt>
                <c:pt idx="1">
                  <c:v>-4.7873462214411262</c:v>
                </c:pt>
                <c:pt idx="2">
                  <c:v>20.193443591258116</c:v>
                </c:pt>
                <c:pt idx="3">
                  <c:v>12.113766201855157</c:v>
                </c:pt>
                <c:pt idx="4">
                  <c:v>-34.469344145526264</c:v>
                </c:pt>
                <c:pt idx="5">
                  <c:v>3.5618729096990052</c:v>
                </c:pt>
                <c:pt idx="6">
                  <c:v>-4.6423381236880346</c:v>
                </c:pt>
                <c:pt idx="7">
                  <c:v>8.3735500804335032</c:v>
                </c:pt>
                <c:pt idx="8">
                  <c:v>-5.6875</c:v>
                </c:pt>
                <c:pt idx="9">
                  <c:v>9.6752816434725162</c:v>
                </c:pt>
                <c:pt idx="10">
                  <c:v>11.412386706948624</c:v>
                </c:pt>
                <c:pt idx="11">
                  <c:v>11.667005626737165</c:v>
                </c:pt>
                <c:pt idx="12">
                  <c:v>3.6000485672656595</c:v>
                </c:pt>
                <c:pt idx="13">
                  <c:v>1.9689422795194673</c:v>
                </c:pt>
                <c:pt idx="14">
                  <c:v>5.1089017872536004</c:v>
                </c:pt>
              </c:numCache>
            </c:numRef>
          </c:val>
          <c:smooth val="0"/>
          <c:extLst>
            <c:ext xmlns:c16="http://schemas.microsoft.com/office/drawing/2014/chart" uri="{C3380CC4-5D6E-409C-BE32-E72D297353CC}">
              <c16:uniqueId val="{00000004-B93E-4AB9-9A10-BFE066ACFE72}"/>
            </c:ext>
          </c:extLst>
        </c:ser>
        <c:dLbls>
          <c:showLegendKey val="0"/>
          <c:showVal val="0"/>
          <c:showCatName val="0"/>
          <c:showSerName val="0"/>
          <c:showPercent val="0"/>
          <c:showBubbleSize val="0"/>
        </c:dLbls>
        <c:marker val="1"/>
        <c:smooth val="0"/>
        <c:axId val="194467712"/>
        <c:axId val="194473984"/>
      </c:lineChart>
      <c:catAx>
        <c:axId val="194467712"/>
        <c:scaling>
          <c:orientation val="minMax"/>
        </c:scaling>
        <c:delete val="0"/>
        <c:axPos val="b"/>
        <c:numFmt formatCode="General" sourceLinked="1"/>
        <c:majorTickMark val="out"/>
        <c:minorTickMark val="none"/>
        <c:tickLblPos val="low"/>
        <c:spPr>
          <a:ln w="6350">
            <a:solidFill>
              <a:schemeClr val="tx1"/>
            </a:solidFill>
          </a:ln>
        </c:spPr>
        <c:crossAx val="194473984"/>
        <c:crosses val="autoZero"/>
        <c:auto val="1"/>
        <c:lblAlgn val="ctr"/>
        <c:lblOffset val="0"/>
        <c:noMultiLvlLbl val="0"/>
      </c:catAx>
      <c:valAx>
        <c:axId val="194473984"/>
        <c:scaling>
          <c:orientation val="minMax"/>
          <c:max val="30"/>
          <c:min val="-5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baseline="0">
                    <a:effectLst/>
                  </a:rPr>
                  <a:t>Vybrané druhy daňových příjmů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a:t>
                </a:r>
                <a:r>
                  <a:rPr lang="cs-CZ" sz="700" b="0" i="1" baseline="0">
                    <a:effectLst/>
                  </a:rPr>
                  <a:t>)</a:t>
                </a:r>
                <a:endParaRPr lang="cs-CZ" sz="700" i="1">
                  <a:effectLst/>
                </a:endParaRPr>
              </a:p>
            </c:rich>
          </c:tx>
          <c:layout>
            <c:manualLayout>
              <c:xMode val="edge"/>
              <c:yMode val="edge"/>
              <c:x val="0"/>
              <c:y val="9.6294846522106445E-2"/>
            </c:manualLayout>
          </c:layout>
          <c:overlay val="0"/>
        </c:title>
        <c:numFmt formatCode="0" sourceLinked="0"/>
        <c:majorTickMark val="out"/>
        <c:minorTickMark val="none"/>
        <c:tickLblPos val="nextTo"/>
        <c:spPr>
          <a:ln w="6350">
            <a:solidFill>
              <a:schemeClr val="tx1"/>
            </a:solidFill>
          </a:ln>
        </c:spPr>
        <c:crossAx val="194467712"/>
        <c:crosses val="autoZero"/>
        <c:crossBetween val="between"/>
        <c:majorUnit val="5"/>
      </c:valAx>
      <c:valAx>
        <c:axId val="194475520"/>
        <c:scaling>
          <c:orientation val="minMax"/>
          <c:max val="120"/>
          <c:min val="-20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baseline="0">
                    <a:effectLst/>
                  </a:rPr>
                  <a:t>Saldo státního rozpočtu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mld.</a:t>
                </a:r>
                <a:r>
                  <a:rPr lang="cs-CZ" sz="700" b="0" i="1" baseline="0">
                    <a:effectLst/>
                  </a:rPr>
                  <a:t> korun)</a:t>
                </a:r>
                <a:endParaRPr lang="cs-CZ" sz="700">
                  <a:effectLst/>
                </a:endParaRPr>
              </a:p>
            </c:rich>
          </c:tx>
          <c:layout>
            <c:manualLayout>
              <c:xMode val="edge"/>
              <c:yMode val="edge"/>
              <c:x val="0.97036971818347273"/>
              <c:y val="8.7863418755280198E-2"/>
            </c:manualLayout>
          </c:layout>
          <c:overlay val="0"/>
        </c:title>
        <c:numFmt formatCode="#,##0" sourceLinked="0"/>
        <c:majorTickMark val="out"/>
        <c:minorTickMark val="none"/>
        <c:tickLblPos val="nextTo"/>
        <c:crossAx val="194477056"/>
        <c:crosses val="max"/>
        <c:crossBetween val="between"/>
        <c:majorUnit val="20"/>
      </c:valAx>
      <c:catAx>
        <c:axId val="194477056"/>
        <c:scaling>
          <c:orientation val="minMax"/>
        </c:scaling>
        <c:delete val="1"/>
        <c:axPos val="b"/>
        <c:numFmt formatCode="General" sourceLinked="1"/>
        <c:majorTickMark val="out"/>
        <c:minorTickMark val="none"/>
        <c:tickLblPos val="none"/>
        <c:crossAx val="194475520"/>
        <c:crosses val="autoZero"/>
        <c:auto val="1"/>
        <c:lblAlgn val="ctr"/>
        <c:lblOffset val="100"/>
        <c:noMultiLvlLbl val="0"/>
      </c:catAx>
      <c:spPr>
        <a:ln w="6350">
          <a:solidFill>
            <a:schemeClr val="tx1"/>
          </a:solidFill>
        </a:ln>
      </c:spPr>
    </c:plotArea>
    <c:legend>
      <c:legendPos val="b"/>
      <c:layout>
        <c:manualLayout>
          <c:xMode val="edge"/>
          <c:yMode val="edge"/>
          <c:x val="7.0244980765903686E-2"/>
          <c:y val="0.88660317791021404"/>
          <c:w val="0.84974909589484104"/>
          <c:h val="0.10979813644594019"/>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33554716266127E-2"/>
          <c:y val="1.7112323287741892E-2"/>
          <c:w val="0.82968371809808084"/>
          <c:h val="0.76067747074773961"/>
        </c:manualLayout>
      </c:layout>
      <c:barChart>
        <c:barDir val="col"/>
        <c:grouping val="clustered"/>
        <c:varyColors val="0"/>
        <c:ser>
          <c:idx val="0"/>
          <c:order val="0"/>
          <c:tx>
            <c:strRef>
              <c:f>'SR-výdaje-celorok-2019'!$B$31</c:f>
              <c:strCache>
                <c:ptCount val="1"/>
                <c:pt idx="0">
                  <c:v>Běžné výdaje celkem (pravá osa)</c:v>
                </c:pt>
              </c:strCache>
            </c:strRef>
          </c:tx>
          <c:spPr>
            <a:solidFill>
              <a:srgbClr val="DCDCDC"/>
            </a:solidFill>
            <a:ln>
              <a:noFill/>
            </a:ln>
          </c:spPr>
          <c:invertIfNegative val="0"/>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'SR-výdaje-celorok-2019'!$B$32:$B$46</c:f>
              <c:numCache>
                <c:formatCode>0.0</c:formatCode>
                <c:ptCount val="15"/>
                <c:pt idx="0">
                  <c:v>840.86</c:v>
                </c:pt>
                <c:pt idx="1">
                  <c:v>912.08</c:v>
                </c:pt>
                <c:pt idx="2">
                  <c:v>973.85</c:v>
                </c:pt>
                <c:pt idx="3">
                  <c:v>975.86</c:v>
                </c:pt>
                <c:pt idx="4">
                  <c:v>1032.78</c:v>
                </c:pt>
                <c:pt idx="5">
                  <c:v>1021.89</c:v>
                </c:pt>
                <c:pt idx="6">
                  <c:v>1031.83</c:v>
                </c:pt>
                <c:pt idx="7">
                  <c:v>1038.76</c:v>
                </c:pt>
                <c:pt idx="8">
                  <c:v>1070.8130000000001</c:v>
                </c:pt>
                <c:pt idx="9">
                  <c:v>1100.1020000000001</c:v>
                </c:pt>
                <c:pt idx="10">
                  <c:v>1121.6600000000001</c:v>
                </c:pt>
                <c:pt idx="11">
                  <c:v>1135.57</c:v>
                </c:pt>
                <c:pt idx="12">
                  <c:v>1198.05</c:v>
                </c:pt>
                <c:pt idx="13">
                  <c:v>1284.5</c:v>
                </c:pt>
                <c:pt idx="14">
                  <c:v>1412.48</c:v>
                </c:pt>
              </c:numCache>
            </c:numRef>
          </c:val>
          <c:extLst>
            <c:ext xmlns:c16="http://schemas.microsoft.com/office/drawing/2014/chart" uri="{C3380CC4-5D6E-409C-BE32-E72D297353CC}">
              <c16:uniqueId val="{00000000-DEF1-4F1C-895F-026A9B485256}"/>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'SR-výdaje-celorok-2019'!$C$31</c:f>
              <c:strCache>
                <c:ptCount val="1"/>
                <c:pt idx="0">
                  <c:v>Platy státních zaměstnanců*</c:v>
                </c:pt>
              </c:strCache>
            </c:strRef>
          </c:tx>
          <c:spPr>
            <a:ln w="15875">
              <a:solidFill>
                <a:srgbClr val="984807"/>
              </a:solidFill>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'SR-výdaje-celorok-2019'!$C$32:$C$46</c:f>
              <c:numCache>
                <c:formatCode>0.0</c:formatCode>
                <c:ptCount val="15"/>
                <c:pt idx="0">
                  <c:v>88.07</c:v>
                </c:pt>
                <c:pt idx="1">
                  <c:v>89.99</c:v>
                </c:pt>
                <c:pt idx="2">
                  <c:v>95.76</c:v>
                </c:pt>
                <c:pt idx="3">
                  <c:v>97.33</c:v>
                </c:pt>
                <c:pt idx="4">
                  <c:v>100.19</c:v>
                </c:pt>
                <c:pt idx="5">
                  <c:v>97.67</c:v>
                </c:pt>
                <c:pt idx="6">
                  <c:v>89.6</c:v>
                </c:pt>
                <c:pt idx="7">
                  <c:v>90.45</c:v>
                </c:pt>
                <c:pt idx="8">
                  <c:v>92.375</c:v>
                </c:pt>
                <c:pt idx="9">
                  <c:v>96.582999999999998</c:v>
                </c:pt>
                <c:pt idx="10">
                  <c:v>104.19</c:v>
                </c:pt>
                <c:pt idx="11">
                  <c:v>109.86</c:v>
                </c:pt>
                <c:pt idx="12">
                  <c:v>120.08</c:v>
                </c:pt>
                <c:pt idx="13">
                  <c:v>133.9</c:v>
                </c:pt>
                <c:pt idx="14">
                  <c:v>143.46</c:v>
                </c:pt>
              </c:numCache>
            </c:numRef>
          </c:val>
          <c:smooth val="0"/>
          <c:extLst>
            <c:ext xmlns:c16="http://schemas.microsoft.com/office/drawing/2014/chart" uri="{C3380CC4-5D6E-409C-BE32-E72D297353CC}">
              <c16:uniqueId val="{00000001-DEF1-4F1C-895F-026A9B485256}"/>
            </c:ext>
          </c:extLst>
        </c:ser>
        <c:ser>
          <c:idx val="6"/>
          <c:order val="2"/>
          <c:tx>
            <c:strRef>
              <c:f>'SR-výdaje-celorok-2019'!$D$31</c:f>
              <c:strCache>
                <c:ptCount val="1"/>
                <c:pt idx="0">
                  <c:v>Podpora v nezaměstnanosti</c:v>
                </c:pt>
              </c:strCache>
            </c:strRef>
          </c:tx>
          <c:spPr>
            <a:ln w="15875">
              <a:solidFill>
                <a:srgbClr val="48AEE7"/>
              </a:solidFill>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'SR-výdaje-celorok-2019'!$D$32:$D$46</c:f>
              <c:numCache>
                <c:formatCode>0.0</c:formatCode>
                <c:ptCount val="15"/>
                <c:pt idx="0">
                  <c:v>7.11</c:v>
                </c:pt>
                <c:pt idx="1">
                  <c:v>7.36</c:v>
                </c:pt>
                <c:pt idx="2">
                  <c:v>7.24</c:v>
                </c:pt>
                <c:pt idx="3">
                  <c:v>7.11</c:v>
                </c:pt>
                <c:pt idx="4">
                  <c:v>15.077999999999999</c:v>
                </c:pt>
                <c:pt idx="5">
                  <c:v>13.355</c:v>
                </c:pt>
                <c:pt idx="6">
                  <c:v>10.349</c:v>
                </c:pt>
                <c:pt idx="7">
                  <c:v>8.76</c:v>
                </c:pt>
                <c:pt idx="8">
                  <c:v>9.65</c:v>
                </c:pt>
                <c:pt idx="9">
                  <c:v>9.2620000000000005</c:v>
                </c:pt>
                <c:pt idx="10">
                  <c:v>8.2759999999999998</c:v>
                </c:pt>
                <c:pt idx="11">
                  <c:v>8.2200000000000006</c:v>
                </c:pt>
                <c:pt idx="12">
                  <c:v>7.82</c:v>
                </c:pt>
                <c:pt idx="13">
                  <c:v>7.51</c:v>
                </c:pt>
                <c:pt idx="14">
                  <c:v>8.1199999999999992</c:v>
                </c:pt>
              </c:numCache>
            </c:numRef>
          </c:val>
          <c:smooth val="0"/>
          <c:extLst>
            <c:ext xmlns:c16="http://schemas.microsoft.com/office/drawing/2014/chart" uri="{C3380CC4-5D6E-409C-BE32-E72D297353CC}">
              <c16:uniqueId val="{00000002-DEF1-4F1C-895F-026A9B485256}"/>
            </c:ext>
          </c:extLst>
        </c:ser>
        <c:ser>
          <c:idx val="7"/>
          <c:order val="3"/>
          <c:tx>
            <c:strRef>
              <c:f>'SR-výdaje-celorok-2019'!$E$31</c:f>
              <c:strCache>
                <c:ptCount val="1"/>
                <c:pt idx="0">
                  <c:v>Státní sociální podpora**</c:v>
                </c:pt>
              </c:strCache>
            </c:strRef>
          </c:tx>
          <c:spPr>
            <a:ln w="15875">
              <a:solidFill>
                <a:srgbClr val="00B050"/>
              </a:solidFill>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'SR-výdaje-celorok-2019'!$E$32:$E$46</c:f>
              <c:numCache>
                <c:formatCode>General</c:formatCode>
                <c:ptCount val="15"/>
                <c:pt idx="0" formatCode="0.00">
                  <c:v>33.14</c:v>
                </c:pt>
                <c:pt idx="1">
                  <c:v>34.35</c:v>
                </c:pt>
                <c:pt idx="2">
                  <c:v>49.47</c:v>
                </c:pt>
                <c:pt idx="3">
                  <c:v>41.97</c:v>
                </c:pt>
                <c:pt idx="4">
                  <c:v>41.167999999999999</c:v>
                </c:pt>
                <c:pt idx="5">
                  <c:v>40.881</c:v>
                </c:pt>
                <c:pt idx="6">
                  <c:v>36.094000000000001</c:v>
                </c:pt>
                <c:pt idx="7">
                  <c:v>35.554000000000002</c:v>
                </c:pt>
                <c:pt idx="8">
                  <c:v>37.423000000000002</c:v>
                </c:pt>
                <c:pt idx="9">
                  <c:v>37.543999999999997</c:v>
                </c:pt>
                <c:pt idx="10">
                  <c:v>37.65</c:v>
                </c:pt>
                <c:pt idx="11">
                  <c:v>37.78</c:v>
                </c:pt>
                <c:pt idx="12">
                  <c:v>37.22</c:v>
                </c:pt>
                <c:pt idx="13">
                  <c:v>39.22</c:v>
                </c:pt>
                <c:pt idx="14">
                  <c:v>37.909999999999997</c:v>
                </c:pt>
              </c:numCache>
            </c:numRef>
          </c:val>
          <c:smooth val="0"/>
          <c:extLst>
            <c:ext xmlns:c16="http://schemas.microsoft.com/office/drawing/2014/chart" uri="{C3380CC4-5D6E-409C-BE32-E72D297353CC}">
              <c16:uniqueId val="{00000003-DEF1-4F1C-895F-026A9B485256}"/>
            </c:ext>
          </c:extLst>
        </c:ser>
        <c:ser>
          <c:idx val="2"/>
          <c:order val="4"/>
          <c:tx>
            <c:strRef>
              <c:f>'SR-výdaje-celorok-2019'!$F$31</c:f>
              <c:strCache>
                <c:ptCount val="1"/>
                <c:pt idx="0">
                  <c:v>Dávky nemocenského pojištění</c:v>
                </c:pt>
              </c:strCache>
            </c:strRef>
          </c:tx>
          <c:spPr>
            <a:ln w="15875">
              <a:solidFill>
                <a:srgbClr val="0071BC"/>
              </a:solidFill>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'SR-výdaje-celorok-2019'!$F$32:$F$46</c:f>
              <c:numCache>
                <c:formatCode>0.00</c:formatCode>
                <c:ptCount val="15"/>
                <c:pt idx="0">
                  <c:v>31.66</c:v>
                </c:pt>
                <c:pt idx="1">
                  <c:v>32.773000000000003</c:v>
                </c:pt>
                <c:pt idx="2">
                  <c:v>34.670999999999999</c:v>
                </c:pt>
                <c:pt idx="3">
                  <c:v>31.882000000000001</c:v>
                </c:pt>
                <c:pt idx="4">
                  <c:v>26.233000000000001</c:v>
                </c:pt>
                <c:pt idx="5">
                  <c:v>22.995999999999999</c:v>
                </c:pt>
                <c:pt idx="6">
                  <c:v>21.734000000000002</c:v>
                </c:pt>
                <c:pt idx="7">
                  <c:v>19.602</c:v>
                </c:pt>
                <c:pt idx="8">
                  <c:v>20.350000000000001</c:v>
                </c:pt>
                <c:pt idx="9">
                  <c:v>22.283000000000001</c:v>
                </c:pt>
                <c:pt idx="10">
                  <c:v>24.31</c:v>
                </c:pt>
                <c:pt idx="11">
                  <c:v>26.5</c:v>
                </c:pt>
                <c:pt idx="12">
                  <c:v>28.57</c:v>
                </c:pt>
                <c:pt idx="13">
                  <c:v>34.173699999999997</c:v>
                </c:pt>
                <c:pt idx="14">
                  <c:v>39.094712799999996</c:v>
                </c:pt>
              </c:numCache>
            </c:numRef>
          </c:val>
          <c:smooth val="0"/>
          <c:extLst>
            <c:ext xmlns:c16="http://schemas.microsoft.com/office/drawing/2014/chart" uri="{C3380CC4-5D6E-409C-BE32-E72D297353CC}">
              <c16:uniqueId val="{00000004-DEF1-4F1C-895F-026A9B485256}"/>
            </c:ext>
          </c:extLst>
        </c:ser>
        <c:ser>
          <c:idx val="3"/>
          <c:order val="5"/>
          <c:tx>
            <c:strRef>
              <c:f>'SR-výdaje-celorok-2019'!$G$31</c:f>
              <c:strCache>
                <c:ptCount val="1"/>
                <c:pt idx="0">
                  <c:v>Dávky sociální péče***</c:v>
                </c:pt>
              </c:strCache>
            </c:strRef>
          </c:tx>
          <c:spPr>
            <a:ln w="15875">
              <a:solidFill>
                <a:srgbClr val="7030A0"/>
              </a:solidFill>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'SR-výdaje-celorok-2019'!$G$32:$G$46</c:f>
              <c:numCache>
                <c:formatCode>General</c:formatCode>
                <c:ptCount val="15"/>
                <c:pt idx="2" formatCode="0.00">
                  <c:v>20.811</c:v>
                </c:pt>
                <c:pt idx="3" formatCode="0.00">
                  <c:v>23.542000000000002</c:v>
                </c:pt>
                <c:pt idx="4" formatCode="0.00">
                  <c:v>24.256</c:v>
                </c:pt>
                <c:pt idx="5" formatCode="0.00">
                  <c:v>25.292000000000002</c:v>
                </c:pt>
                <c:pt idx="6" formatCode="0.00">
                  <c:v>24.966999999999999</c:v>
                </c:pt>
                <c:pt idx="7" formatCode="0.00">
                  <c:v>27.695499999999999</c:v>
                </c:pt>
                <c:pt idx="8" formatCode="0.00">
                  <c:v>31.978999999999999</c:v>
                </c:pt>
                <c:pt idx="9" formatCode="0.00">
                  <c:v>33.622</c:v>
                </c:pt>
                <c:pt idx="10" formatCode="0.00">
                  <c:v>33.621000000000002</c:v>
                </c:pt>
                <c:pt idx="11" formatCode="0.00">
                  <c:v>34.295000000000002</c:v>
                </c:pt>
                <c:pt idx="12" formatCode="0.00">
                  <c:v>34.439</c:v>
                </c:pt>
                <c:pt idx="13" formatCode="0.00">
                  <c:v>33.990400000000001</c:v>
                </c:pt>
                <c:pt idx="14" formatCode="0.00">
                  <c:v>36.58750470219789</c:v>
                </c:pt>
              </c:numCache>
            </c:numRef>
          </c:val>
          <c:smooth val="0"/>
          <c:extLst>
            <c:ext xmlns:c16="http://schemas.microsoft.com/office/drawing/2014/chart" uri="{C3380CC4-5D6E-409C-BE32-E72D297353CC}">
              <c16:uniqueId val="{00000005-DEF1-4F1C-895F-026A9B485256}"/>
            </c:ext>
          </c:extLst>
        </c:ser>
        <c:ser>
          <c:idx val="4"/>
          <c:order val="6"/>
          <c:tx>
            <c:strRef>
              <c:f>'SR-výdaje-celorok-2019'!$H$31</c:f>
              <c:strCache>
                <c:ptCount val="1"/>
                <c:pt idx="0">
                  <c:v>Neinvestič. nákupy a souvis. výdaje****</c:v>
                </c:pt>
              </c:strCache>
            </c:strRef>
          </c:tx>
          <c:spPr>
            <a:ln w="15875">
              <a:solidFill>
                <a:srgbClr val="F8A124"/>
              </a:solidFill>
              <a:prstDash val="solid"/>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'SR-výdaje-celorok-2019'!$H$32:$H$46</c:f>
              <c:numCache>
                <c:formatCode>0.0</c:formatCode>
                <c:ptCount val="15"/>
                <c:pt idx="0">
                  <c:v>73.388000000000005</c:v>
                </c:pt>
                <c:pt idx="1">
                  <c:v>82.167000000000002</c:v>
                </c:pt>
                <c:pt idx="2">
                  <c:v>68.822999999999993</c:v>
                </c:pt>
                <c:pt idx="3">
                  <c:v>74.822999999999993</c:v>
                </c:pt>
                <c:pt idx="4">
                  <c:v>72.738</c:v>
                </c:pt>
                <c:pt idx="5">
                  <c:v>69.86</c:v>
                </c:pt>
                <c:pt idx="6">
                  <c:v>67.707999999999998</c:v>
                </c:pt>
                <c:pt idx="7">
                  <c:v>55.811</c:v>
                </c:pt>
                <c:pt idx="8">
                  <c:v>56.384999999999998</c:v>
                </c:pt>
                <c:pt idx="9">
                  <c:v>56.801000000000002</c:v>
                </c:pt>
                <c:pt idx="10">
                  <c:v>63.75</c:v>
                </c:pt>
                <c:pt idx="11">
                  <c:v>59.14</c:v>
                </c:pt>
                <c:pt idx="12">
                  <c:v>63.68</c:v>
                </c:pt>
                <c:pt idx="13">
                  <c:v>68.819999999999993</c:v>
                </c:pt>
                <c:pt idx="14">
                  <c:v>66.77</c:v>
                </c:pt>
              </c:numCache>
            </c:numRef>
          </c:val>
          <c:smooth val="0"/>
          <c:extLst>
            <c:ext xmlns:c16="http://schemas.microsoft.com/office/drawing/2014/chart" uri="{C3380CC4-5D6E-409C-BE32-E72D297353CC}">
              <c16:uniqueId val="{00000006-DEF1-4F1C-895F-026A9B485256}"/>
            </c:ext>
          </c:extLst>
        </c:ser>
        <c:ser>
          <c:idx val="5"/>
          <c:order val="7"/>
          <c:tx>
            <c:strRef>
              <c:f>'SR-výdaje-celorok-2019'!$I$31</c:f>
              <c:strCache>
                <c:ptCount val="1"/>
                <c:pt idx="0">
                  <c:v>Státní dluh (čisté výdaje)*****</c:v>
                </c:pt>
              </c:strCache>
            </c:strRef>
          </c:tx>
          <c:spPr>
            <a:ln w="15875">
              <a:solidFill>
                <a:srgbClr val="BD1B25"/>
              </a:solidFill>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'SR-výdaje-celorok-2019'!$I$32:$I$46</c:f>
              <c:numCache>
                <c:formatCode>0.0</c:formatCode>
                <c:ptCount val="15"/>
                <c:pt idx="0">
                  <c:v>25.43</c:v>
                </c:pt>
                <c:pt idx="1">
                  <c:v>31.61</c:v>
                </c:pt>
                <c:pt idx="2">
                  <c:v>34.130000000000003</c:v>
                </c:pt>
                <c:pt idx="3">
                  <c:v>37.64</c:v>
                </c:pt>
                <c:pt idx="4">
                  <c:v>44.46</c:v>
                </c:pt>
                <c:pt idx="5">
                  <c:v>35.840000000000003</c:v>
                </c:pt>
                <c:pt idx="6">
                  <c:v>45.120000000000005</c:v>
                </c:pt>
                <c:pt idx="7">
                  <c:v>41.400000000000006</c:v>
                </c:pt>
                <c:pt idx="8">
                  <c:v>50.89</c:v>
                </c:pt>
                <c:pt idx="9">
                  <c:v>48.49</c:v>
                </c:pt>
                <c:pt idx="10">
                  <c:v>45.28</c:v>
                </c:pt>
                <c:pt idx="11">
                  <c:v>40.65</c:v>
                </c:pt>
                <c:pt idx="12">
                  <c:v>39.769999999999996</c:v>
                </c:pt>
                <c:pt idx="13">
                  <c:v>40.729999999999997</c:v>
                </c:pt>
                <c:pt idx="14">
                  <c:v>39.549999999999997</c:v>
                </c:pt>
              </c:numCache>
            </c:numRef>
          </c:val>
          <c:smooth val="0"/>
          <c:extLst>
            <c:ext xmlns:c16="http://schemas.microsoft.com/office/drawing/2014/chart" uri="{C3380CC4-5D6E-409C-BE32-E72D297353CC}">
              <c16:uniqueId val="{00000007-DEF1-4F1C-895F-026A9B485256}"/>
            </c:ext>
          </c:extLst>
        </c:ser>
        <c:ser>
          <c:idx val="8"/>
          <c:order val="8"/>
          <c:tx>
            <c:strRef>
              <c:f>'SR-výdaje-celorok-2019'!$J$31</c:f>
              <c:strCache>
                <c:ptCount val="1"/>
                <c:pt idx="0">
                  <c:v>Stavební spoření a důchod. připojištění</c:v>
                </c:pt>
              </c:strCache>
            </c:strRef>
          </c:tx>
          <c:spPr>
            <a:ln w="15875">
              <a:solidFill>
                <a:schemeClr val="bg1">
                  <a:lumMod val="50000"/>
                </a:schemeClr>
              </a:solidFill>
              <a:prstDash val="solid"/>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'SR-výdaje-celorok-2019'!$J$32:$J$46</c:f>
              <c:numCache>
                <c:formatCode>0.0</c:formatCode>
                <c:ptCount val="15"/>
                <c:pt idx="0">
                  <c:v>19.66</c:v>
                </c:pt>
                <c:pt idx="1">
                  <c:v>19.809999999999999</c:v>
                </c:pt>
                <c:pt idx="2">
                  <c:v>19.510000000000002</c:v>
                </c:pt>
                <c:pt idx="3">
                  <c:v>19.21</c:v>
                </c:pt>
                <c:pt idx="4">
                  <c:v>18.559999999999999</c:v>
                </c:pt>
                <c:pt idx="5">
                  <c:v>17.21</c:v>
                </c:pt>
                <c:pt idx="6">
                  <c:v>16.32</c:v>
                </c:pt>
                <c:pt idx="7">
                  <c:v>11.030000000000001</c:v>
                </c:pt>
                <c:pt idx="8">
                  <c:v>11.64</c:v>
                </c:pt>
                <c:pt idx="9">
                  <c:v>11.649999999999999</c:v>
                </c:pt>
                <c:pt idx="10">
                  <c:v>11.379999999999999</c:v>
                </c:pt>
                <c:pt idx="11">
                  <c:v>11.09</c:v>
                </c:pt>
                <c:pt idx="12">
                  <c:v>10.83</c:v>
                </c:pt>
                <c:pt idx="13">
                  <c:v>10.91</c:v>
                </c:pt>
                <c:pt idx="14">
                  <c:v>11.18</c:v>
                </c:pt>
              </c:numCache>
            </c:numRef>
          </c:val>
          <c:smooth val="0"/>
          <c:extLst>
            <c:ext xmlns:c16="http://schemas.microsoft.com/office/drawing/2014/chart" uri="{C3380CC4-5D6E-409C-BE32-E72D297353CC}">
              <c16:uniqueId val="{00000008-DEF1-4F1C-895F-026A9B485256}"/>
            </c:ext>
          </c:extLst>
        </c:ser>
        <c:ser>
          <c:idx val="9"/>
          <c:order val="9"/>
          <c:tx>
            <c:strRef>
              <c:f>'SR-výdaje-celorok-2019'!$K$31</c:f>
              <c:strCache>
                <c:ptCount val="1"/>
                <c:pt idx="0">
                  <c:v>Kapitálové výdaje</c:v>
                </c:pt>
              </c:strCache>
            </c:strRef>
          </c:tx>
          <c:spPr>
            <a:ln w="15875">
              <a:solidFill>
                <a:schemeClr val="tx1">
                  <a:lumMod val="95000"/>
                  <a:lumOff val="5000"/>
                </a:schemeClr>
              </a:solidFill>
              <a:prstDash val="sysDash"/>
            </a:ln>
          </c:spPr>
          <c:marker>
            <c:symbol val="none"/>
          </c:marker>
          <c:cat>
            <c:numRef>
              <c:f>'SR-výdaje-celorok-2019'!$A$32:$A$46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'SR-výdaje-celorok-2019'!$K$32:$K$46</c:f>
              <c:numCache>
                <c:formatCode>0.0</c:formatCode>
                <c:ptCount val="15"/>
                <c:pt idx="0">
                  <c:v>81.99</c:v>
                </c:pt>
                <c:pt idx="1">
                  <c:v>108.54</c:v>
                </c:pt>
                <c:pt idx="2">
                  <c:v>118.42</c:v>
                </c:pt>
                <c:pt idx="3">
                  <c:v>108.08</c:v>
                </c:pt>
                <c:pt idx="4">
                  <c:v>134.22999999999999</c:v>
                </c:pt>
                <c:pt idx="5">
                  <c:v>134.91</c:v>
                </c:pt>
                <c:pt idx="6">
                  <c:v>123.69</c:v>
                </c:pt>
                <c:pt idx="7">
                  <c:v>113.62</c:v>
                </c:pt>
                <c:pt idx="8">
                  <c:v>102.315</c:v>
                </c:pt>
                <c:pt idx="9">
                  <c:v>111.50700000000001</c:v>
                </c:pt>
                <c:pt idx="10">
                  <c:v>175.66</c:v>
                </c:pt>
                <c:pt idx="11">
                  <c:v>84.27</c:v>
                </c:pt>
                <c:pt idx="12">
                  <c:v>81.75</c:v>
                </c:pt>
                <c:pt idx="13">
                  <c:v>116.46</c:v>
                </c:pt>
                <c:pt idx="14">
                  <c:v>139.26</c:v>
                </c:pt>
              </c:numCache>
            </c:numRef>
          </c:val>
          <c:smooth val="0"/>
          <c:extLst>
            <c:ext xmlns:c16="http://schemas.microsoft.com/office/drawing/2014/chart" uri="{C3380CC4-5D6E-409C-BE32-E72D297353CC}">
              <c16:uniqueId val="{00000009-DEF1-4F1C-895F-026A9B485256}"/>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180"/>
          <c:min val="0"/>
        </c:scaling>
        <c:delete val="0"/>
        <c:axPos val="l"/>
        <c:majorGridlines>
          <c:spPr>
            <a:ln w="6350">
              <a:solidFill>
                <a:schemeClr val="bg1">
                  <a:lumMod val="75000"/>
                </a:schemeClr>
              </a:solidFill>
            </a:ln>
          </c:spPr>
        </c:majorGridlines>
        <c:title>
          <c:tx>
            <c:rich>
              <a:bodyPr/>
              <a:lstStyle/>
              <a:p>
                <a:pPr>
                  <a:defRPr sz="700" b="0"/>
                </a:pPr>
                <a:r>
                  <a:rPr lang="cs-CZ" sz="700" b="0" i="1" u="none" strike="noStrike" baseline="0">
                    <a:effectLst/>
                  </a:rPr>
                  <a:t>Ostatní výdaje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mld.</a:t>
                </a:r>
                <a:r>
                  <a:rPr lang="cs-CZ" sz="700" b="0" i="1" u="none" strike="noStrike" baseline="0">
                    <a:effectLst/>
                  </a:rPr>
                  <a:t> korun)</a:t>
                </a:r>
                <a:endParaRPr lang="cs-CZ" sz="700" b="0"/>
              </a:p>
            </c:rich>
          </c:tx>
          <c:overlay val="0"/>
        </c:title>
        <c:numFmt formatCode="0" sourceLinked="0"/>
        <c:majorTickMark val="out"/>
        <c:minorTickMark val="none"/>
        <c:tickLblPos val="nextTo"/>
        <c:spPr>
          <a:ln w="6350">
            <a:solidFill>
              <a:schemeClr val="tx1"/>
            </a:solidFill>
          </a:ln>
        </c:spPr>
        <c:crossAx val="72827648"/>
        <c:crosses val="autoZero"/>
        <c:crossBetween val="between"/>
        <c:majorUnit val="10"/>
      </c:valAx>
      <c:valAx>
        <c:axId val="72835072"/>
        <c:scaling>
          <c:orientation val="minMax"/>
          <c:max val="1500"/>
          <c:min val="0"/>
        </c:scaling>
        <c:delete val="0"/>
        <c:axPos val="r"/>
        <c:title>
          <c:tx>
            <c:rich>
              <a:bodyPr/>
              <a:lstStyle/>
              <a:p>
                <a:pPr>
                  <a:defRPr sz="700" b="0" i="1"/>
                </a:pPr>
                <a:r>
                  <a:rPr lang="cs-CZ" sz="700" b="0" i="1"/>
                  <a:t>Běžné</a:t>
                </a:r>
                <a:r>
                  <a:rPr lang="cs-CZ" sz="700" b="0" i="1" baseline="0"/>
                  <a:t> výdaje celkem (v</a:t>
                </a:r>
                <a:r>
                  <a:rPr lang="cs-CZ" sz="700" b="0" i="1" u="none" strike="noStrike" kern="1200" baseline="0">
                    <a:solidFill>
                      <a:sysClr val="windowText" lastClr="000000"/>
                    </a:solidFill>
                    <a:latin typeface="Arial" panose="020B0604020202020204" pitchFamily="34" charset="0"/>
                    <a:ea typeface="+mn-ea"/>
                    <a:cs typeface="Arial" panose="020B0604020202020204" pitchFamily="34" charset="0"/>
                  </a:rPr>
                  <a:t> mld.</a:t>
                </a:r>
                <a:r>
                  <a:rPr lang="cs-CZ" sz="700" b="0" i="1" baseline="0"/>
                  <a:t> korun)</a:t>
                </a:r>
                <a:endParaRPr lang="cs-CZ" sz="700" b="0" i="1"/>
              </a:p>
            </c:rich>
          </c:tx>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72836608"/>
        <c:crosses val="max"/>
        <c:crossBetween val="between"/>
        <c:majorUnit val="10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2.3842853444001496E-2"/>
          <c:y val="0.83055036538478355"/>
          <c:w val="0.9203576005370111"/>
          <c:h val="0.1587939613277391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A779-585E-4413-B15A-AC8BA44AFEF5}">
  <ds:schemaRefs>
    <ds:schemaRef ds:uri="http://schemas.openxmlformats.org/officeDocument/2006/bibliography"/>
  </ds:schemaRefs>
</ds:datastoreItem>
</file>

<file path=customXml/itemProps2.xml><?xml version="1.0" encoding="utf-8"?>
<ds:datastoreItem xmlns:ds="http://schemas.openxmlformats.org/officeDocument/2006/customXml" ds:itemID="{1A12891E-DBC0-42B3-B906-9A39321E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9</TotalTime>
  <Pages>4</Pages>
  <Words>2062</Words>
  <Characters>12170</Characters>
  <Application>Microsoft Office Word</Application>
  <DocSecurity>0</DocSecurity>
  <Lines>101</Lines>
  <Paragraphs>28</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14204</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Karolina Sukupova</cp:lastModifiedBy>
  <cp:revision>7</cp:revision>
  <cp:lastPrinted>2019-04-08T10:52:00Z</cp:lastPrinted>
  <dcterms:created xsi:type="dcterms:W3CDTF">2020-04-10T07:26:00Z</dcterms:created>
  <dcterms:modified xsi:type="dcterms:W3CDTF">2020-04-10T07:52:00Z</dcterms:modified>
</cp:coreProperties>
</file>