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47BFF" w14:textId="5F50A34B" w:rsidR="00C715CC" w:rsidRPr="009110F7" w:rsidRDefault="00C715CC" w:rsidP="00C715CC">
      <w:pPr>
        <w:pStyle w:val="Nadpis11"/>
      </w:pPr>
      <w:bookmarkStart w:id="0" w:name="_Toc19090678"/>
      <w:bookmarkStart w:id="1" w:name="_Toc26539342"/>
      <w:bookmarkStart w:id="2" w:name="_Toc37403644"/>
      <w:r w:rsidRPr="009110F7">
        <w:t>5</w:t>
      </w:r>
      <w:r>
        <w:t>. </w:t>
      </w:r>
      <w:r w:rsidRPr="009110F7">
        <w:t>Ceny</w:t>
      </w:r>
      <w:bookmarkEnd w:id="0"/>
      <w:bookmarkEnd w:id="2"/>
    </w:p>
    <w:tbl>
      <w:tblPr>
        <w:tblW w:w="9639" w:type="dxa"/>
        <w:tblInd w:w="-15" w:type="dxa"/>
        <w:tblCellMar>
          <w:left w:w="0" w:type="dxa"/>
          <w:right w:w="0" w:type="dxa"/>
        </w:tblCellMar>
        <w:tblLook w:val="00A0" w:firstRow="1" w:lastRow="0" w:firstColumn="1" w:lastColumn="0" w:noHBand="0" w:noVBand="0"/>
      </w:tblPr>
      <w:tblGrid>
        <w:gridCol w:w="1805"/>
        <w:gridCol w:w="224"/>
        <w:gridCol w:w="7610"/>
      </w:tblGrid>
      <w:tr w:rsidR="009005E4" w:rsidRPr="009110F7" w14:paraId="51396A1B" w14:textId="77777777" w:rsidTr="00C715CC">
        <w:trPr>
          <w:trHeight w:val="145"/>
        </w:trPr>
        <w:tc>
          <w:tcPr>
            <w:tcW w:w="1805" w:type="dxa"/>
            <w:shd w:val="clear" w:color="auto" w:fill="auto"/>
            <w:tcMar>
              <w:left w:w="0" w:type="dxa"/>
            </w:tcMar>
          </w:tcPr>
          <w:p w14:paraId="17C5A255" w14:textId="68944926" w:rsidR="009005E4" w:rsidRPr="00793D78" w:rsidRDefault="009005E4" w:rsidP="009005E4">
            <w:pPr>
              <w:pStyle w:val="Marginlie"/>
              <w:rPr>
                <w:spacing w:val="0"/>
              </w:rPr>
            </w:pPr>
            <w:r>
              <w:rPr>
                <w:spacing w:val="0"/>
              </w:rPr>
              <w:t>Loni rostla cenová hladina nejvíce od roku 2004.</w:t>
            </w:r>
          </w:p>
        </w:tc>
        <w:tc>
          <w:tcPr>
            <w:tcW w:w="224" w:type="dxa"/>
            <w:shd w:val="clear" w:color="auto" w:fill="auto"/>
            <w:tcMar>
              <w:left w:w="0" w:type="dxa"/>
            </w:tcMar>
          </w:tcPr>
          <w:p w14:paraId="13F14F4E" w14:textId="77777777" w:rsidR="009005E4" w:rsidRPr="00793D78" w:rsidRDefault="009005E4" w:rsidP="009005E4">
            <w:pPr>
              <w:pStyle w:val="Textpoznpodarou1"/>
              <w:jc w:val="both"/>
            </w:pPr>
          </w:p>
        </w:tc>
        <w:tc>
          <w:tcPr>
            <w:tcW w:w="7610" w:type="dxa"/>
            <w:shd w:val="clear" w:color="auto" w:fill="auto"/>
            <w:tcMar>
              <w:left w:w="0" w:type="dxa"/>
            </w:tcMar>
          </w:tcPr>
          <w:p w14:paraId="2B7C0E32" w14:textId="30E40C71" w:rsidR="009005E4" w:rsidRPr="00793D78" w:rsidRDefault="009005E4" w:rsidP="009005E4">
            <w:pPr>
              <w:rPr>
                <w:szCs w:val="20"/>
              </w:rPr>
            </w:pPr>
            <w:r>
              <w:rPr>
                <w:szCs w:val="20"/>
              </w:rPr>
              <w:t>Cenová hladina se v roce 2019 celkově zvýšila o 3,5 %</w:t>
            </w:r>
            <w:r>
              <w:rPr>
                <w:rStyle w:val="Znakapoznpodarou"/>
                <w:szCs w:val="20"/>
              </w:rPr>
              <w:footnoteReference w:id="1"/>
            </w:r>
            <w:r>
              <w:rPr>
                <w:szCs w:val="20"/>
              </w:rPr>
              <w:t xml:space="preserve">. To je nejvíce od roku 2004 (v roce 2007 byl přírůstek stejně vysoký). Nejvíce rostly ceny spotřebních statků (3,7 %), u těch pořízených domácnostmi o 2,9 %, vládní instituce se již druhým rokem potýkaly s více než 5% nárůstem (5,4 % v roce 2019, spotřeba vládních institucí ve větší míře sestává ze služeb, jejichž ceny jsou více ovlivněny růstem mezd). Kapitálové statky loni zdražily o 2,6 %. Směnné relace byly loni kladné (100,4 %), a to u zboží (100,2 %) i služeb (101,4 %). Ceny vývozu služeb rostly nejvíce za posledních pět let. Ve 4. čtvrtletí cenová hladina meziročně vzrostla o 3,7 %, z toho o 3,7 % u výdajů na spotřebu – u domácností o 3,0 %, pro vládní instituce se cenová hladina zvýšila o 5,5 %. </w:t>
            </w:r>
            <w:r w:rsidR="005A0A03">
              <w:rPr>
                <w:szCs w:val="20"/>
              </w:rPr>
              <w:t>R</w:t>
            </w:r>
            <w:r>
              <w:rPr>
                <w:szCs w:val="20"/>
              </w:rPr>
              <w:t xml:space="preserve">ůst cen kapitálových statků </w:t>
            </w:r>
            <w:r w:rsidR="005A0A03">
              <w:rPr>
                <w:szCs w:val="20"/>
              </w:rPr>
              <w:t>dosáhl 2,3</w:t>
            </w:r>
            <w:r>
              <w:rPr>
                <w:szCs w:val="20"/>
              </w:rPr>
              <w:t> %. Směnné relace byly kladné (100,8 %).</w:t>
            </w:r>
          </w:p>
        </w:tc>
      </w:tr>
      <w:tr w:rsidR="009005E4" w:rsidRPr="009110F7" w14:paraId="0B6DC554" w14:textId="77777777" w:rsidTr="00C715CC">
        <w:trPr>
          <w:trHeight w:val="145"/>
        </w:trPr>
        <w:tc>
          <w:tcPr>
            <w:tcW w:w="1805" w:type="dxa"/>
            <w:shd w:val="clear" w:color="auto" w:fill="auto"/>
            <w:tcMar>
              <w:left w:w="0" w:type="dxa"/>
            </w:tcMar>
          </w:tcPr>
          <w:p w14:paraId="22A874C3" w14:textId="363B2C7B" w:rsidR="009005E4" w:rsidRPr="00793D78" w:rsidRDefault="009005E4" w:rsidP="009005E4">
            <w:pPr>
              <w:pStyle w:val="Marginlie"/>
              <w:rPr>
                <w:spacing w:val="0"/>
              </w:rPr>
            </w:pPr>
            <w:r>
              <w:rPr>
                <w:spacing w:val="0"/>
              </w:rPr>
              <w:t>Meziroční dynamika spotřebitelských cen v závěru roku zrychlovala.</w:t>
            </w:r>
          </w:p>
        </w:tc>
        <w:tc>
          <w:tcPr>
            <w:tcW w:w="224" w:type="dxa"/>
            <w:shd w:val="clear" w:color="auto" w:fill="auto"/>
            <w:tcMar>
              <w:left w:w="0" w:type="dxa"/>
            </w:tcMar>
          </w:tcPr>
          <w:p w14:paraId="33942658" w14:textId="77777777" w:rsidR="009005E4" w:rsidRPr="00793D78" w:rsidRDefault="009005E4" w:rsidP="009005E4">
            <w:pPr>
              <w:pStyle w:val="Textpoznpodarou1"/>
              <w:jc w:val="both"/>
              <w:rPr>
                <w:highlight w:val="yellow"/>
              </w:rPr>
            </w:pPr>
          </w:p>
        </w:tc>
        <w:tc>
          <w:tcPr>
            <w:tcW w:w="7610" w:type="dxa"/>
            <w:shd w:val="clear" w:color="auto" w:fill="auto"/>
            <w:tcMar>
              <w:left w:w="0" w:type="dxa"/>
            </w:tcMar>
          </w:tcPr>
          <w:p w14:paraId="558FDF13" w14:textId="01C0813B" w:rsidR="009005E4" w:rsidRPr="00793D78" w:rsidRDefault="009005E4" w:rsidP="009005E4">
            <w:pPr>
              <w:rPr>
                <w:highlight w:val="yellow"/>
              </w:rPr>
            </w:pPr>
            <w:r w:rsidRPr="00777959">
              <w:t xml:space="preserve">Závěr roku přinesl </w:t>
            </w:r>
            <w:r>
              <w:t>zrychlení meziroční</w:t>
            </w:r>
            <w:r w:rsidRPr="00777959">
              <w:t xml:space="preserve"> dynamiky</w:t>
            </w:r>
            <w:r>
              <w:t xml:space="preserve"> spotřebitelských cen</w:t>
            </w:r>
            <w:r w:rsidRPr="00777959">
              <w:t>.</w:t>
            </w:r>
            <w:r>
              <w:t xml:space="preserve"> Ty se ve 4. čtvrtletí zvýšily o 3,0 %, což byl nejvyšší přírůstek od 3. čtvrtletí 2012. K posílení celkového tempa nejvýrazněji přispěly ceny potravin. Projevilo se také zastavení propadu cen dopravy. I ve 4. kvartálu v meziročním růstu cen spotřebitelů přetrvával klíčový vliv bydlení a energií. Meziroční dynamika spotřebitelských cen sílila v průběhu celého roku a výsledný přírůstek za rok 2019 činil 2,8 %, což byla nejvyšší hodnota za posledních sedm let. Přibližně polovina z loňského nárůstu padla na vrub cen bydlení a energií. Po slabém příspěvku v roce 2018 opět posílil vliv potravin a nealkoholických nápojů. Třetí nejvyšší příspěvek k růstu měl oddíl ostatní zboží a služby. Blízko k 3% hranici dynamiku posunuly i drobnější příspěvky cen alkoholických nápojů a tabáku, stravování a ubytování, rekreace a kultury, zdraví, bytového vybavení a zařízení domácnosti. Protiinflačně působily ceny </w:t>
            </w:r>
            <w:r w:rsidR="005A0A03">
              <w:t>odívání a obuvi</w:t>
            </w:r>
            <w:r>
              <w:t>.</w:t>
            </w:r>
          </w:p>
        </w:tc>
      </w:tr>
      <w:tr w:rsidR="009005E4" w:rsidRPr="009110F7" w14:paraId="62741D90" w14:textId="77777777" w:rsidTr="00C715CC">
        <w:trPr>
          <w:trHeight w:val="145"/>
        </w:trPr>
        <w:tc>
          <w:tcPr>
            <w:tcW w:w="1805" w:type="dxa"/>
            <w:shd w:val="clear" w:color="auto" w:fill="auto"/>
            <w:tcMar>
              <w:left w:w="0" w:type="dxa"/>
            </w:tcMar>
          </w:tcPr>
          <w:p w14:paraId="0D37F0CD" w14:textId="48E7D74E" w:rsidR="009005E4" w:rsidRPr="00793D78" w:rsidRDefault="009005E4" w:rsidP="009005E4">
            <w:pPr>
              <w:pStyle w:val="Marginlie"/>
              <w:rPr>
                <w:spacing w:val="0"/>
              </w:rPr>
            </w:pPr>
            <w:r>
              <w:rPr>
                <w:spacing w:val="0"/>
              </w:rPr>
              <w:t>Bydlení zůstalo hlavním hybatelem meziročního růstu cen.</w:t>
            </w:r>
          </w:p>
        </w:tc>
        <w:tc>
          <w:tcPr>
            <w:tcW w:w="224" w:type="dxa"/>
            <w:shd w:val="clear" w:color="auto" w:fill="auto"/>
            <w:tcMar>
              <w:left w:w="0" w:type="dxa"/>
            </w:tcMar>
          </w:tcPr>
          <w:p w14:paraId="361D8E50" w14:textId="77777777" w:rsidR="009005E4" w:rsidRPr="00793D78" w:rsidRDefault="009005E4" w:rsidP="009005E4">
            <w:pPr>
              <w:pStyle w:val="Textpoznpodarou1"/>
              <w:jc w:val="both"/>
              <w:rPr>
                <w:highlight w:val="yellow"/>
              </w:rPr>
            </w:pPr>
          </w:p>
        </w:tc>
        <w:tc>
          <w:tcPr>
            <w:tcW w:w="7610" w:type="dxa"/>
            <w:shd w:val="clear" w:color="auto" w:fill="auto"/>
            <w:tcMar>
              <w:left w:w="0" w:type="dxa"/>
            </w:tcMar>
          </w:tcPr>
          <w:p w14:paraId="26E9627D" w14:textId="68BAFB54" w:rsidR="009005E4" w:rsidRDefault="009005E4" w:rsidP="009005E4">
            <w:r>
              <w:t>Meziroční růst cen bydlení a energií ve 4. čtvrtletí drobně oslabil na 5,0 %. Přes mírné zvolnění přetrvával poměrně vysoký růst cen nájemného (3,8 %) a imputovaného nájemného (4,0 %). Ceny elektrické a tepelné energie, plynu a vody vzrostly o 7,2 %. Jednotlivá čtvrtletí se od sebe z hlediska vývoje cen bydlení a energií příliš nelišila a docházelo jen k drobným korekcím. Celkově se loni ceny bydlení a energií zvýšily o 5,3 %. Nejvýrazněji rostla právě složka energií – ceny elektrické a tepelné energie, plynu a vody narostly o 7,0 % a jejich zrychlení bylo hlavním impulzem, který způsobil posílení celkové dynamiky. Nájemné z bytu se zvýšilo o 3,7 % a imputované nájemné o 5,1 %. Dynamika obou položek ale byla poměrně silná již v roce 2018, takže náklady na samotné bydlení se za poslední dva roky pro domácnosti citelně zvýšily. Ceny běžné údržby a drobných oprav se rovněž silně zvyšovaly (4,9 %). Mírnější bylo navýšení cen ostatních služeb (2,0 %).</w:t>
            </w:r>
          </w:p>
        </w:tc>
      </w:tr>
      <w:tr w:rsidR="009005E4" w:rsidRPr="009110F7" w14:paraId="2BEB16DE" w14:textId="77777777" w:rsidTr="00C715CC">
        <w:trPr>
          <w:trHeight w:val="145"/>
        </w:trPr>
        <w:tc>
          <w:tcPr>
            <w:tcW w:w="1805" w:type="dxa"/>
            <w:shd w:val="clear" w:color="auto" w:fill="auto"/>
            <w:tcMar>
              <w:left w:w="0" w:type="dxa"/>
            </w:tcMar>
          </w:tcPr>
          <w:p w14:paraId="1B9F1A72" w14:textId="469771DD" w:rsidR="009005E4" w:rsidRDefault="009005E4" w:rsidP="009005E4">
            <w:pPr>
              <w:pStyle w:val="Marginlie"/>
              <w:rPr>
                <w:spacing w:val="0"/>
              </w:rPr>
            </w:pPr>
            <w:r>
              <w:rPr>
                <w:spacing w:val="0"/>
              </w:rPr>
              <w:t>Ke konci roku zrychlil růst cen potravin, hlavně kvůli cenám masa.</w:t>
            </w:r>
          </w:p>
        </w:tc>
        <w:tc>
          <w:tcPr>
            <w:tcW w:w="224" w:type="dxa"/>
            <w:shd w:val="clear" w:color="auto" w:fill="auto"/>
            <w:tcMar>
              <w:left w:w="0" w:type="dxa"/>
            </w:tcMar>
          </w:tcPr>
          <w:p w14:paraId="41C647ED" w14:textId="77777777" w:rsidR="009005E4" w:rsidRPr="00793D78" w:rsidRDefault="009005E4" w:rsidP="009005E4">
            <w:pPr>
              <w:pStyle w:val="Textpoznpodarou1"/>
              <w:jc w:val="both"/>
              <w:rPr>
                <w:highlight w:val="yellow"/>
              </w:rPr>
            </w:pPr>
          </w:p>
        </w:tc>
        <w:tc>
          <w:tcPr>
            <w:tcW w:w="7610" w:type="dxa"/>
            <w:shd w:val="clear" w:color="auto" w:fill="auto"/>
            <w:tcMar>
              <w:left w:w="0" w:type="dxa"/>
            </w:tcMar>
          </w:tcPr>
          <w:p w14:paraId="6EC237FF" w14:textId="5A1FB4D2" w:rsidR="009005E4" w:rsidRDefault="009005E4" w:rsidP="009005E4">
            <w:r>
              <w:t xml:space="preserve">Závěr roku přinesl zrychlení meziročního růstu cen potravin a nealkoholických nápojů. Ty se ve 4. čtvrtletí zvýšily o 4,3 %, zejména kvůli posílení meziročního přírůstku cen masa (7,6 %) a ovoce (10,7 %). Naopak ve 4. čtvrtletí oslabil do té doby velmi silný růst cen zeleniny (z 26,1 % ve 3. kvartálu na 6,0 %), především kvůli vysoké srovnávací základně. V průběhu roku meziroční růst cen potravin a nealkoholických nápojů postupně zrychloval. Celkový přírůstek loni dosáhl 2,8 %. Nejsilněji se zvýšily ceny zeleniny (19,6 %), </w:t>
            </w:r>
            <w:r w:rsidRPr="002C1110">
              <w:t>masa</w:t>
            </w:r>
            <w:r>
              <w:t xml:space="preserve"> (3,6 %) a pekárenských výrobků a obilovin (3,5 %). Tyto tři položky také nejsilněji ovlivňovaly vývoj cen celého oddílu. Pokles zaznamenaly oleje a tuky (3,2 %) a ovoce (3,9 %).</w:t>
            </w:r>
          </w:p>
        </w:tc>
      </w:tr>
      <w:tr w:rsidR="009005E4" w:rsidRPr="009110F7" w14:paraId="1BE8B355" w14:textId="77777777" w:rsidTr="00C715CC">
        <w:trPr>
          <w:trHeight w:val="145"/>
        </w:trPr>
        <w:tc>
          <w:tcPr>
            <w:tcW w:w="1805" w:type="dxa"/>
            <w:shd w:val="clear" w:color="auto" w:fill="auto"/>
            <w:tcMar>
              <w:left w:w="0" w:type="dxa"/>
            </w:tcMar>
          </w:tcPr>
          <w:p w14:paraId="74D90568" w14:textId="04200D2D" w:rsidR="009005E4" w:rsidRDefault="009005E4" w:rsidP="009005E4">
            <w:pPr>
              <w:pStyle w:val="Marginlie"/>
              <w:rPr>
                <w:spacing w:val="0"/>
              </w:rPr>
            </w:pPr>
            <w:r>
              <w:rPr>
                <w:spacing w:val="0"/>
              </w:rPr>
              <w:t>Ve 4. čtvrtletí vyprchal vliv srovnávací základny u cen dopravních služeb.</w:t>
            </w:r>
          </w:p>
        </w:tc>
        <w:tc>
          <w:tcPr>
            <w:tcW w:w="224" w:type="dxa"/>
            <w:shd w:val="clear" w:color="auto" w:fill="auto"/>
            <w:tcMar>
              <w:left w:w="0" w:type="dxa"/>
            </w:tcMar>
          </w:tcPr>
          <w:p w14:paraId="44B160EA" w14:textId="77777777" w:rsidR="009005E4" w:rsidRPr="00793D78" w:rsidRDefault="009005E4" w:rsidP="009005E4">
            <w:pPr>
              <w:pStyle w:val="Textpoznpodarou1"/>
              <w:jc w:val="both"/>
              <w:rPr>
                <w:highlight w:val="yellow"/>
              </w:rPr>
            </w:pPr>
          </w:p>
        </w:tc>
        <w:tc>
          <w:tcPr>
            <w:tcW w:w="7610" w:type="dxa"/>
            <w:shd w:val="clear" w:color="auto" w:fill="auto"/>
            <w:tcMar>
              <w:left w:w="0" w:type="dxa"/>
            </w:tcMar>
          </w:tcPr>
          <w:p w14:paraId="63DFCDD8" w14:textId="623D4EB0" w:rsidR="009005E4" w:rsidRDefault="009005E4" w:rsidP="009005E4">
            <w:r>
              <w:t xml:space="preserve">Po celý rok 2019 byl meziroční růst cen dopravy jen velmi mírný (ve 3. čtvrtletí dokonce klesly o 0,2 %). Ve 4. kvartálu dosáhl přírůstek 0,5 %, zejména kvůli vyprchání vlivu </w:t>
            </w:r>
            <w:r>
              <w:lastRenderedPageBreak/>
              <w:t>nízké srovnávací základny cen dopravních služeb, která na ceny dopravy negativně působila od podzimu 2018. V průběhu roku oslabovala dynamika cen nákupu automobilů, motocyklů a jízdních kol a zejména ve 2. pololetí stagnovaly i náklady na provoz dopravních prostředků. Za celý rok 2019 vzrostly ceny dopravy o 0,4 %, z toho ceny nákupu dopravních prostředků o 0,9 %, provozu dopravních prostředků o 1,5 % a ceny dopravních služeb klesly o 4,7 %. Velmi výrazná byla po celý rok meziroční dynamika cen stravování a ubytování (celkový přírůstek dosáhl loni 4,2 %) a ostatního zboží a služeb (3,8 %). Obecně loni mnohem více rostly ceny služeb (3,7 %) než zboží (2,</w:t>
            </w:r>
            <w:r w:rsidR="005A0A03">
              <w:t>3</w:t>
            </w:r>
            <w:r>
              <w:t> %), což souvisí s pokračující nadprůměrnou mzdovou dynamikou. Mírné posílení růstu cen zboží přišlo až ve 4. čtvrtletí (2,7 % zboží, 3,7 % služby).</w:t>
            </w:r>
          </w:p>
        </w:tc>
      </w:tr>
      <w:tr w:rsidR="009005E4" w:rsidRPr="00D75AC1" w14:paraId="74FA9028" w14:textId="77777777" w:rsidTr="00C715CC">
        <w:trPr>
          <w:trHeight w:val="170"/>
        </w:trPr>
        <w:tc>
          <w:tcPr>
            <w:tcW w:w="1805" w:type="dxa"/>
            <w:vMerge w:val="restart"/>
            <w:shd w:val="clear" w:color="auto" w:fill="auto"/>
            <w:tcMar>
              <w:left w:w="0" w:type="dxa"/>
            </w:tcMar>
          </w:tcPr>
          <w:p w14:paraId="493491E1" w14:textId="77777777" w:rsidR="009005E4" w:rsidRDefault="009005E4" w:rsidP="009005E4">
            <w:pPr>
              <w:pStyle w:val="Marginlie"/>
              <w:rPr>
                <w:spacing w:val="0"/>
              </w:rPr>
            </w:pPr>
          </w:p>
        </w:tc>
        <w:tc>
          <w:tcPr>
            <w:tcW w:w="224" w:type="dxa"/>
            <w:vMerge w:val="restart"/>
            <w:shd w:val="clear" w:color="auto" w:fill="auto"/>
            <w:tcMar>
              <w:left w:w="0" w:type="dxa"/>
            </w:tcMar>
          </w:tcPr>
          <w:p w14:paraId="00CD41F4" w14:textId="77777777" w:rsidR="009005E4" w:rsidRPr="00793D78" w:rsidRDefault="009005E4" w:rsidP="009005E4">
            <w:pPr>
              <w:pStyle w:val="Textpoznpodarou1"/>
              <w:jc w:val="both"/>
              <w:rPr>
                <w:highlight w:val="yellow"/>
              </w:rPr>
            </w:pPr>
          </w:p>
        </w:tc>
        <w:tc>
          <w:tcPr>
            <w:tcW w:w="7610" w:type="dxa"/>
            <w:shd w:val="clear" w:color="auto" w:fill="auto"/>
            <w:tcMar>
              <w:left w:w="0" w:type="dxa"/>
            </w:tcMar>
          </w:tcPr>
          <w:p w14:paraId="5D67DF9E" w14:textId="603A8B22" w:rsidR="009005E4" w:rsidRPr="00D75AC1" w:rsidRDefault="009005E4" w:rsidP="009005E4">
            <w:pPr>
              <w:spacing w:after="0"/>
              <w:rPr>
                <w:b/>
                <w:szCs w:val="20"/>
              </w:rPr>
            </w:pPr>
            <w:r w:rsidRPr="00793D78">
              <w:rPr>
                <w:rFonts w:cs="Arial"/>
                <w:b/>
                <w:bCs/>
                <w:color w:val="000000"/>
                <w:sz w:val="18"/>
                <w:szCs w:val="18"/>
              </w:rPr>
              <w:t xml:space="preserve">Graf </w:t>
            </w:r>
            <w:r>
              <w:rPr>
                <w:rFonts w:cs="Arial"/>
                <w:b/>
                <w:bCs/>
                <w:color w:val="000000"/>
                <w:sz w:val="18"/>
                <w:szCs w:val="18"/>
              </w:rPr>
              <w:t>č. </w:t>
            </w:r>
            <w:r w:rsidR="000767F5">
              <w:rPr>
                <w:rFonts w:cs="Arial"/>
                <w:b/>
                <w:bCs/>
                <w:color w:val="000000"/>
                <w:sz w:val="18"/>
                <w:szCs w:val="18"/>
              </w:rPr>
              <w:t>9</w:t>
            </w:r>
            <w:r w:rsidRPr="00793D78">
              <w:rPr>
                <w:rFonts w:cs="Arial"/>
                <w:b/>
                <w:bCs/>
                <w:color w:val="000000"/>
                <w:sz w:val="18"/>
                <w:szCs w:val="18"/>
              </w:rPr>
              <w:t xml:space="preserve">  Ceny ve vybraných oddílech indexu spotřebitelských cen</w:t>
            </w:r>
            <w:r w:rsidRPr="00793D78">
              <w:rPr>
                <w:rFonts w:cs="Arial"/>
                <w:b/>
                <w:color w:val="000000"/>
                <w:sz w:val="18"/>
                <w:szCs w:val="18"/>
              </w:rPr>
              <w:t xml:space="preserve"> </w:t>
            </w:r>
            <w:r w:rsidRPr="009067EA">
              <w:rPr>
                <w:rFonts w:cs="Arial"/>
                <w:color w:val="000000"/>
                <w:sz w:val="18"/>
                <w:szCs w:val="18"/>
              </w:rPr>
              <w:t>(meziročně v %)</w:t>
            </w:r>
          </w:p>
        </w:tc>
      </w:tr>
      <w:tr w:rsidR="009005E4" w:rsidRPr="009110F7" w14:paraId="6D68EE74" w14:textId="77777777" w:rsidTr="00C715CC">
        <w:tblPrEx>
          <w:tblCellMar>
            <w:left w:w="70" w:type="dxa"/>
            <w:right w:w="70" w:type="dxa"/>
          </w:tblCellMar>
        </w:tblPrEx>
        <w:trPr>
          <w:trHeight w:val="170"/>
        </w:trPr>
        <w:tc>
          <w:tcPr>
            <w:tcW w:w="1805" w:type="dxa"/>
            <w:vMerge/>
            <w:shd w:val="clear" w:color="auto" w:fill="auto"/>
          </w:tcPr>
          <w:p w14:paraId="4B793914" w14:textId="77777777" w:rsidR="009005E4" w:rsidRPr="00793D78" w:rsidRDefault="009005E4" w:rsidP="009005E4">
            <w:pPr>
              <w:pStyle w:val="Marginlie"/>
              <w:rPr>
                <w:spacing w:val="0"/>
              </w:rPr>
            </w:pPr>
          </w:p>
        </w:tc>
        <w:tc>
          <w:tcPr>
            <w:tcW w:w="224" w:type="dxa"/>
            <w:vMerge/>
            <w:shd w:val="clear" w:color="auto" w:fill="auto"/>
          </w:tcPr>
          <w:p w14:paraId="048F997F" w14:textId="77777777" w:rsidR="009005E4" w:rsidRPr="00793D78" w:rsidRDefault="009005E4" w:rsidP="009005E4">
            <w:pPr>
              <w:pStyle w:val="Textpoznpodarou"/>
              <w:jc w:val="both"/>
            </w:pPr>
          </w:p>
        </w:tc>
        <w:tc>
          <w:tcPr>
            <w:tcW w:w="7610" w:type="dxa"/>
            <w:shd w:val="clear" w:color="auto" w:fill="auto"/>
          </w:tcPr>
          <w:p w14:paraId="14005FD3" w14:textId="615502BC" w:rsidR="009005E4" w:rsidRPr="00793D78" w:rsidRDefault="009005E4" w:rsidP="009005E4">
            <w:pPr>
              <w:spacing w:after="0"/>
            </w:pPr>
            <w:r>
              <w:rPr>
                <w:noProof/>
              </w:rPr>
              <w:drawing>
                <wp:inline distT="0" distB="0" distL="0" distR="0" wp14:anchorId="1556E394" wp14:editId="41657337">
                  <wp:extent cx="4737600" cy="3553200"/>
                  <wp:effectExtent l="0" t="0" r="6350" b="0"/>
                  <wp:docPr id="26" name="Graf 26">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9005E4" w:rsidRPr="009110F7" w14:paraId="2DA9D03B" w14:textId="77777777" w:rsidTr="00C715CC">
        <w:trPr>
          <w:trHeight w:val="170"/>
        </w:trPr>
        <w:tc>
          <w:tcPr>
            <w:tcW w:w="1805" w:type="dxa"/>
            <w:vMerge/>
            <w:shd w:val="clear" w:color="auto" w:fill="auto"/>
            <w:tcMar>
              <w:left w:w="0" w:type="dxa"/>
            </w:tcMar>
          </w:tcPr>
          <w:p w14:paraId="6D90B8F2" w14:textId="77777777" w:rsidR="009005E4" w:rsidRPr="00793D78" w:rsidRDefault="009005E4" w:rsidP="009005E4">
            <w:pPr>
              <w:pStyle w:val="Marginlie"/>
              <w:rPr>
                <w:spacing w:val="0"/>
              </w:rPr>
            </w:pPr>
          </w:p>
        </w:tc>
        <w:tc>
          <w:tcPr>
            <w:tcW w:w="224" w:type="dxa"/>
            <w:vMerge/>
            <w:shd w:val="clear" w:color="auto" w:fill="auto"/>
            <w:tcMar>
              <w:left w:w="0" w:type="dxa"/>
            </w:tcMar>
          </w:tcPr>
          <w:p w14:paraId="64140FD4" w14:textId="77777777" w:rsidR="009005E4" w:rsidRPr="00793D78" w:rsidRDefault="009005E4" w:rsidP="009005E4">
            <w:pPr>
              <w:pStyle w:val="Textpoznpodarou"/>
              <w:jc w:val="both"/>
            </w:pPr>
          </w:p>
        </w:tc>
        <w:tc>
          <w:tcPr>
            <w:tcW w:w="7610" w:type="dxa"/>
            <w:shd w:val="clear" w:color="auto" w:fill="auto"/>
            <w:tcMar>
              <w:left w:w="0" w:type="dxa"/>
            </w:tcMar>
          </w:tcPr>
          <w:p w14:paraId="70B011DA" w14:textId="1FD38432" w:rsidR="009005E4" w:rsidRPr="00793D78" w:rsidRDefault="009005E4" w:rsidP="009005E4">
            <w:pPr>
              <w:rPr>
                <w:sz w:val="14"/>
                <w:szCs w:val="14"/>
              </w:rPr>
            </w:pPr>
            <w:r w:rsidRPr="00793D78">
              <w:rPr>
                <w:sz w:val="14"/>
                <w:szCs w:val="14"/>
              </w:rPr>
              <w:t>Zdroj: ČSÚ</w:t>
            </w:r>
          </w:p>
        </w:tc>
      </w:tr>
      <w:tr w:rsidR="009005E4" w:rsidRPr="009110F7" w14:paraId="41EBF128" w14:textId="77777777" w:rsidTr="00C715CC">
        <w:trPr>
          <w:trHeight w:val="145"/>
        </w:trPr>
        <w:tc>
          <w:tcPr>
            <w:tcW w:w="1805" w:type="dxa"/>
            <w:shd w:val="clear" w:color="auto" w:fill="auto"/>
            <w:tcMar>
              <w:left w:w="0" w:type="dxa"/>
            </w:tcMar>
          </w:tcPr>
          <w:p w14:paraId="66A640F9" w14:textId="13840807" w:rsidR="009005E4" w:rsidRDefault="009005E4" w:rsidP="009005E4">
            <w:pPr>
              <w:pStyle w:val="Marginlie"/>
              <w:rPr>
                <w:spacing w:val="0"/>
              </w:rPr>
            </w:pPr>
            <w:r>
              <w:rPr>
                <w:spacing w:val="0"/>
              </w:rPr>
              <w:t>Meziroční růst spotřebitelských cen v EU ve 4. čtvrtletí zůstal mírný.</w:t>
            </w:r>
          </w:p>
        </w:tc>
        <w:tc>
          <w:tcPr>
            <w:tcW w:w="224" w:type="dxa"/>
            <w:shd w:val="clear" w:color="auto" w:fill="auto"/>
            <w:tcMar>
              <w:left w:w="0" w:type="dxa"/>
            </w:tcMar>
          </w:tcPr>
          <w:p w14:paraId="13176C9F" w14:textId="77777777" w:rsidR="009005E4" w:rsidRPr="00793D78" w:rsidRDefault="009005E4" w:rsidP="009005E4">
            <w:pPr>
              <w:pStyle w:val="Textpoznpodarou1"/>
              <w:jc w:val="both"/>
            </w:pPr>
          </w:p>
        </w:tc>
        <w:tc>
          <w:tcPr>
            <w:tcW w:w="7610" w:type="dxa"/>
            <w:shd w:val="clear" w:color="auto" w:fill="auto"/>
            <w:tcMar>
              <w:left w:w="0" w:type="dxa"/>
            </w:tcMar>
          </w:tcPr>
          <w:p w14:paraId="04AED347" w14:textId="3F1B8E1C" w:rsidR="009005E4" w:rsidRDefault="009005E4" w:rsidP="009005E4">
            <w:r>
              <w:t>Meziroční růst spotřebitelských cen mezi 2. a 3. čtvrtletím 2019 oslabil ve většině zemí EU. Ve 4. kvartálu pak v některých státech dále pokračovalo zpomalování. Celkem se loni spotřebitelské ceny v EU zvýšily o 1,5 % a ve 4. čtvrtletí přírůstek dosáhl 1,3 %. Nejvíce se ceny v roce 2019 zvýšily v Rumunsku (3,9 %), Maďarsku (3,4 %) a na Slovensku (2,8 %). Společným faktorem, který tlačil dynamiku cen vzhůru, byly potraviny a nealkoholické nápoje. V Rumunsku a Maďarsku silně působil také alkohol a tabák. Slovensko se podobně jako Česko potýkalo s výrazným růstem cen bydlení a energií (loni se ceny bydlení a energií v Česku zvýšily nejvíce v celé EU, Slovensko bylo třetí). Spotřebitelské ceny loni vzrostly ve všech zemích Unie, v osmi případech o méně než 1 %. Nejnižší přírůstek měly Portugalsko (0,3 %), Řecko (0,5 %) a Kypr (0,5 %). Ve 4. čtvrtletí bylo pořadí zemí, kde ceny meziročně rostly nejvýrazněji, stejné jako u celoročních výsledků – Rumunsko (3,7 %), Maďarsko (3,5 %), Slovensko (3,1 %). Česko se se 3,0% přírůstkem umístilo hned za nimi. Na jihu Evropy ceny v závěru roku meziročně stagnovaly – v Portugalsku a na Kypru růst dosáhl jen 0,2 %, v Itálii stejně jako v předchozím kvartálu 0,3 %. V Řecku růst dosáhl 0,4 % a ve Španělsku 0,5 %.</w:t>
            </w:r>
          </w:p>
        </w:tc>
      </w:tr>
      <w:tr w:rsidR="009005E4" w:rsidRPr="009110F7" w14:paraId="40796E88" w14:textId="77777777" w:rsidTr="00C715CC">
        <w:trPr>
          <w:trHeight w:val="145"/>
        </w:trPr>
        <w:tc>
          <w:tcPr>
            <w:tcW w:w="1805" w:type="dxa"/>
            <w:shd w:val="clear" w:color="auto" w:fill="auto"/>
            <w:tcMar>
              <w:left w:w="0" w:type="dxa"/>
            </w:tcMar>
          </w:tcPr>
          <w:p w14:paraId="138F6560" w14:textId="4BD2FD8A" w:rsidR="009005E4" w:rsidRDefault="009005E4" w:rsidP="009005E4">
            <w:pPr>
              <w:pStyle w:val="Marginlie"/>
              <w:rPr>
                <w:spacing w:val="0"/>
              </w:rPr>
            </w:pPr>
            <w:r>
              <w:rPr>
                <w:spacing w:val="0"/>
              </w:rPr>
              <w:t>Nabídkové ceny bytů loni rostly výrazněji mimo hlavní město.</w:t>
            </w:r>
          </w:p>
        </w:tc>
        <w:tc>
          <w:tcPr>
            <w:tcW w:w="224" w:type="dxa"/>
            <w:shd w:val="clear" w:color="auto" w:fill="auto"/>
            <w:tcMar>
              <w:left w:w="0" w:type="dxa"/>
            </w:tcMar>
          </w:tcPr>
          <w:p w14:paraId="7F30BF2E" w14:textId="77777777" w:rsidR="009005E4" w:rsidRPr="00793D78" w:rsidRDefault="009005E4" w:rsidP="009005E4">
            <w:pPr>
              <w:pStyle w:val="Textpoznpodarou1"/>
              <w:jc w:val="both"/>
            </w:pPr>
          </w:p>
        </w:tc>
        <w:tc>
          <w:tcPr>
            <w:tcW w:w="7610" w:type="dxa"/>
            <w:shd w:val="clear" w:color="auto" w:fill="auto"/>
            <w:tcMar>
              <w:left w:w="0" w:type="dxa"/>
            </w:tcMar>
          </w:tcPr>
          <w:p w14:paraId="0C234778" w14:textId="040C2D68" w:rsidR="009005E4" w:rsidRDefault="009005E4" w:rsidP="009005E4">
            <w:r>
              <w:t xml:space="preserve">Meziroční růst nabídkových cen bytů loni oslabil v porovnání s předchozími třemi lety. Celkem se nabídkové ceny bytů v ČR zvýšily o 5,9 %, z toho v Praze o 4,8 %. Vyšší </w:t>
            </w:r>
            <w:r>
              <w:lastRenderedPageBreak/>
              <w:t xml:space="preserve">tempo růstu mimo Prahu lze vysvětlit jednak zahrnutím jiných velkých měst (zejména Brna, Ostravy atd.), ale rovněž přelivem poptávky mimo oblast hlavního města. Ve 4. čtvrtletí se nabídkové ceny bytů meziročně zvýšily o 5,5 %, z toho v Praze o 3,0 %. Mimo Prahu zrychlil růst na 8,9 %. Realizované ceny starších bytů se loni zvýšily o 10,1 %, a ačkoli jejich meziroční dynamika během roku zpomalovala, ve 4. čtvrtletí přírůstek dosáhl 9,4 %. Ceny tak rostly více než v roce 2018, kdy výrazně zvolnilo do té doby závratné meziroční tempo. Dynamika realizovaných cen starších bytů v Praze se loni držela pod celorepublikovým průměrem (7,9 % za celý rok, 7,2 % ve 4. čtvrtletí). </w:t>
            </w:r>
          </w:p>
        </w:tc>
      </w:tr>
      <w:tr w:rsidR="009005E4" w:rsidRPr="009110F7" w14:paraId="221CA692" w14:textId="77777777" w:rsidTr="00C715CC">
        <w:trPr>
          <w:trHeight w:val="170"/>
        </w:trPr>
        <w:tc>
          <w:tcPr>
            <w:tcW w:w="1805" w:type="dxa"/>
            <w:vMerge w:val="restart"/>
            <w:shd w:val="clear" w:color="auto" w:fill="auto"/>
            <w:tcMar>
              <w:left w:w="0" w:type="dxa"/>
            </w:tcMar>
          </w:tcPr>
          <w:p w14:paraId="0D922A21" w14:textId="77777777" w:rsidR="009005E4" w:rsidRDefault="009005E4" w:rsidP="009005E4">
            <w:pPr>
              <w:pStyle w:val="Marginlie"/>
              <w:rPr>
                <w:spacing w:val="0"/>
              </w:rPr>
            </w:pPr>
          </w:p>
        </w:tc>
        <w:tc>
          <w:tcPr>
            <w:tcW w:w="224" w:type="dxa"/>
            <w:vMerge w:val="restart"/>
            <w:shd w:val="clear" w:color="auto" w:fill="auto"/>
            <w:tcMar>
              <w:left w:w="0" w:type="dxa"/>
            </w:tcMar>
          </w:tcPr>
          <w:p w14:paraId="3B66FBD8" w14:textId="77777777" w:rsidR="009005E4" w:rsidRPr="00793D78" w:rsidRDefault="009005E4" w:rsidP="009005E4">
            <w:pPr>
              <w:pStyle w:val="Textpoznpodarou1"/>
              <w:jc w:val="both"/>
            </w:pPr>
          </w:p>
        </w:tc>
        <w:tc>
          <w:tcPr>
            <w:tcW w:w="7610" w:type="dxa"/>
            <w:shd w:val="clear" w:color="auto" w:fill="auto"/>
            <w:tcMar>
              <w:left w:w="0" w:type="dxa"/>
            </w:tcMar>
          </w:tcPr>
          <w:p w14:paraId="78D86EB9" w14:textId="130D21E4" w:rsidR="009005E4" w:rsidRDefault="000767F5" w:rsidP="009005E4">
            <w:pPr>
              <w:spacing w:after="0"/>
            </w:pPr>
            <w:r>
              <w:rPr>
                <w:b/>
                <w:sz w:val="18"/>
                <w:szCs w:val="18"/>
                <w:lang w:eastAsia="en-US"/>
              </w:rPr>
              <w:t>Graf č. 10</w:t>
            </w:r>
            <w:r w:rsidR="009005E4" w:rsidRPr="00793D78">
              <w:rPr>
                <w:b/>
                <w:sz w:val="18"/>
                <w:szCs w:val="18"/>
                <w:lang w:eastAsia="en-US"/>
              </w:rPr>
              <w:t xml:space="preserve">  Ceny nemovitostí </w:t>
            </w:r>
            <w:r w:rsidR="009005E4" w:rsidRPr="009067EA">
              <w:rPr>
                <w:sz w:val="18"/>
                <w:szCs w:val="18"/>
                <w:lang w:eastAsia="en-US"/>
              </w:rPr>
              <w:t>(meziroční změna, v %)</w:t>
            </w:r>
          </w:p>
        </w:tc>
      </w:tr>
      <w:tr w:rsidR="009005E4" w:rsidRPr="009110F7" w14:paraId="731BCD14" w14:textId="77777777" w:rsidTr="00E5539A">
        <w:tblPrEx>
          <w:tblCellMar>
            <w:left w:w="70" w:type="dxa"/>
            <w:right w:w="70" w:type="dxa"/>
          </w:tblCellMar>
        </w:tblPrEx>
        <w:trPr>
          <w:trHeight w:val="170"/>
        </w:trPr>
        <w:tc>
          <w:tcPr>
            <w:tcW w:w="1805" w:type="dxa"/>
            <w:vMerge/>
            <w:shd w:val="clear" w:color="auto" w:fill="auto"/>
          </w:tcPr>
          <w:p w14:paraId="402EF027" w14:textId="77777777" w:rsidR="009005E4" w:rsidRDefault="009005E4" w:rsidP="009005E4">
            <w:pPr>
              <w:pStyle w:val="Marginlie"/>
              <w:rPr>
                <w:spacing w:val="0"/>
              </w:rPr>
            </w:pPr>
          </w:p>
        </w:tc>
        <w:tc>
          <w:tcPr>
            <w:tcW w:w="224" w:type="dxa"/>
            <w:vMerge/>
            <w:shd w:val="clear" w:color="auto" w:fill="auto"/>
          </w:tcPr>
          <w:p w14:paraId="63BFDC16" w14:textId="77777777" w:rsidR="009005E4" w:rsidRPr="00793D78" w:rsidRDefault="009005E4" w:rsidP="009005E4">
            <w:pPr>
              <w:pStyle w:val="Textpoznpodarou1"/>
              <w:jc w:val="both"/>
            </w:pPr>
          </w:p>
        </w:tc>
        <w:tc>
          <w:tcPr>
            <w:tcW w:w="7610" w:type="dxa"/>
            <w:shd w:val="clear" w:color="auto" w:fill="auto"/>
          </w:tcPr>
          <w:p w14:paraId="526B229D" w14:textId="5DB5415B" w:rsidR="009005E4" w:rsidRDefault="009005E4" w:rsidP="009005E4">
            <w:r>
              <w:rPr>
                <w:noProof/>
              </w:rPr>
              <w:drawing>
                <wp:inline distT="0" distB="0" distL="0" distR="0" wp14:anchorId="0D993B2B" wp14:editId="4A7FA4CE">
                  <wp:extent cx="4737600" cy="3553200"/>
                  <wp:effectExtent l="0" t="0" r="6350" b="0"/>
                  <wp:docPr id="4" name="Graf 4">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9005E4" w:rsidRPr="009110F7" w14:paraId="471AD821" w14:textId="77777777" w:rsidTr="00C715CC">
        <w:trPr>
          <w:trHeight w:val="170"/>
        </w:trPr>
        <w:tc>
          <w:tcPr>
            <w:tcW w:w="1805" w:type="dxa"/>
            <w:vMerge/>
            <w:shd w:val="clear" w:color="auto" w:fill="auto"/>
            <w:tcMar>
              <w:left w:w="0" w:type="dxa"/>
            </w:tcMar>
          </w:tcPr>
          <w:p w14:paraId="0C9775A0" w14:textId="77777777" w:rsidR="009005E4" w:rsidRDefault="009005E4" w:rsidP="009005E4">
            <w:pPr>
              <w:pStyle w:val="Marginlie"/>
              <w:rPr>
                <w:spacing w:val="0"/>
              </w:rPr>
            </w:pPr>
          </w:p>
        </w:tc>
        <w:tc>
          <w:tcPr>
            <w:tcW w:w="224" w:type="dxa"/>
            <w:vMerge/>
            <w:shd w:val="clear" w:color="auto" w:fill="auto"/>
            <w:tcMar>
              <w:left w:w="0" w:type="dxa"/>
            </w:tcMar>
          </w:tcPr>
          <w:p w14:paraId="29882A42" w14:textId="77777777" w:rsidR="009005E4" w:rsidRPr="00793D78" w:rsidRDefault="009005E4" w:rsidP="009005E4">
            <w:pPr>
              <w:pStyle w:val="Textpoznpodarou1"/>
              <w:jc w:val="both"/>
            </w:pPr>
          </w:p>
        </w:tc>
        <w:tc>
          <w:tcPr>
            <w:tcW w:w="7610" w:type="dxa"/>
            <w:shd w:val="clear" w:color="auto" w:fill="auto"/>
            <w:tcMar>
              <w:left w:w="0" w:type="dxa"/>
            </w:tcMar>
          </w:tcPr>
          <w:p w14:paraId="67C9E31E" w14:textId="0F538720" w:rsidR="009005E4" w:rsidRDefault="009005E4" w:rsidP="009005E4">
            <w:r w:rsidRPr="00793D78">
              <w:rPr>
                <w:sz w:val="14"/>
                <w:szCs w:val="14"/>
              </w:rPr>
              <w:t>Zdroj: ČSÚ</w:t>
            </w:r>
          </w:p>
        </w:tc>
      </w:tr>
      <w:tr w:rsidR="009005E4" w:rsidRPr="009110F7" w14:paraId="6B4E0C32" w14:textId="77777777" w:rsidTr="00C715CC">
        <w:trPr>
          <w:trHeight w:val="145"/>
        </w:trPr>
        <w:tc>
          <w:tcPr>
            <w:tcW w:w="1805" w:type="dxa"/>
            <w:shd w:val="clear" w:color="auto" w:fill="auto"/>
            <w:tcMar>
              <w:left w:w="0" w:type="dxa"/>
            </w:tcMar>
          </w:tcPr>
          <w:p w14:paraId="6BE248D8" w14:textId="74CDE164" w:rsidR="009005E4" w:rsidRPr="00793D78" w:rsidRDefault="009005E4" w:rsidP="009005E4">
            <w:pPr>
              <w:pStyle w:val="Marginlie"/>
              <w:rPr>
                <w:spacing w:val="0"/>
              </w:rPr>
            </w:pPr>
            <w:r>
              <w:rPr>
                <w:spacing w:val="0"/>
              </w:rPr>
              <w:t>Ceny průmyslových výrobců ve 4. čtvrtletí rostly nižším tempem než ve zbytku roku.</w:t>
            </w:r>
          </w:p>
        </w:tc>
        <w:tc>
          <w:tcPr>
            <w:tcW w:w="224" w:type="dxa"/>
            <w:shd w:val="clear" w:color="auto" w:fill="auto"/>
            <w:tcMar>
              <w:left w:w="0" w:type="dxa"/>
            </w:tcMar>
          </w:tcPr>
          <w:p w14:paraId="63118505" w14:textId="77777777" w:rsidR="009005E4" w:rsidRPr="00793D78" w:rsidRDefault="009005E4" w:rsidP="009005E4">
            <w:pPr>
              <w:pStyle w:val="Textpoznpodarou1"/>
              <w:jc w:val="both"/>
            </w:pPr>
          </w:p>
        </w:tc>
        <w:tc>
          <w:tcPr>
            <w:tcW w:w="7610" w:type="dxa"/>
            <w:shd w:val="clear" w:color="auto" w:fill="auto"/>
            <w:tcMar>
              <w:left w:w="0" w:type="dxa"/>
            </w:tcMar>
          </w:tcPr>
          <w:p w14:paraId="32290914" w14:textId="2EAD3135" w:rsidR="009005E4" w:rsidRDefault="009005E4" w:rsidP="009005E4">
            <w:r>
              <w:t>Ceny průmyslových výrobců ve 4. čtvrtletí meziročně vzrostly o 1,3 %. To je výrazně méně než v předchozím kvartálu (2,0 %) a 1. pololetí roku 2019 (3,5 %). Důvodem propadu meziročního tempa byl mimo jiné meziroční pokles cen zpracovatelského průmyslu (–0,1 %), které zejména v 1. pololetí tvořily základ růstu celého indexu. Nejvýrazněji ve směru poklesu působily ceny koksu a rafinovaných ropných výrobků</w:t>
            </w:r>
            <w:r>
              <w:rPr>
                <w:rStyle w:val="Znakapoznpodarou"/>
              </w:rPr>
              <w:footnoteReference w:id="2"/>
            </w:r>
            <w:r>
              <w:t xml:space="preserve">, dále chemické látky a výrobky (pokles o 6,0 %), obecné kovy a kovodělné výrobky </w:t>
            </w:r>
            <w:r>
              <w:br/>
              <w:t xml:space="preserve">(–1,6 %) a dopravní prostředky (–1,0 %). Naopak silně </w:t>
            </w:r>
            <w:proofErr w:type="spellStart"/>
            <w:r>
              <w:t>prorůstově</w:t>
            </w:r>
            <w:proofErr w:type="spellEnd"/>
            <w:r>
              <w:t xml:space="preserve"> působily potravinářské výrobky, nápoje a tabák (meziroční přírůstek 3,7 %) a dále nábytek a ostatní výrobky zpracovatelského průmyslu (4,6 %). Poměrně silný byl i růst cen textilu, oděvů a usní (3,4 %). Meziroční přírůstek cen těžby a dobývání ve 4. čtvrtletí také zvolnil (na 3,7 %). Naopak posílila dynamika cen elektřiny, plynu, páry a klimatizovaného vzduchu (8,3 %).</w:t>
            </w:r>
          </w:p>
        </w:tc>
      </w:tr>
      <w:tr w:rsidR="009005E4" w:rsidRPr="009110F7" w14:paraId="40351871" w14:textId="77777777" w:rsidTr="00C715CC">
        <w:trPr>
          <w:trHeight w:val="145"/>
        </w:trPr>
        <w:tc>
          <w:tcPr>
            <w:tcW w:w="1805" w:type="dxa"/>
            <w:shd w:val="clear" w:color="auto" w:fill="auto"/>
            <w:tcMar>
              <w:left w:w="0" w:type="dxa"/>
            </w:tcMar>
          </w:tcPr>
          <w:p w14:paraId="2C36C264" w14:textId="0EEEEB1B" w:rsidR="009005E4" w:rsidRPr="00793D78" w:rsidRDefault="009005E4" w:rsidP="009005E4">
            <w:pPr>
              <w:pStyle w:val="Marginlie"/>
              <w:rPr>
                <w:spacing w:val="0"/>
              </w:rPr>
            </w:pPr>
            <w:r>
              <w:rPr>
                <w:spacing w:val="0"/>
              </w:rPr>
              <w:t>Ceny průmyslových výrobců byly ovlivněny rostoucími cenami elektřiny.</w:t>
            </w:r>
          </w:p>
        </w:tc>
        <w:tc>
          <w:tcPr>
            <w:tcW w:w="224" w:type="dxa"/>
            <w:shd w:val="clear" w:color="auto" w:fill="auto"/>
            <w:tcMar>
              <w:left w:w="0" w:type="dxa"/>
            </w:tcMar>
          </w:tcPr>
          <w:p w14:paraId="4BCC4347" w14:textId="77777777" w:rsidR="009005E4" w:rsidRPr="00793D78" w:rsidRDefault="009005E4" w:rsidP="009005E4">
            <w:pPr>
              <w:pStyle w:val="Textpoznpodarou1"/>
              <w:jc w:val="both"/>
            </w:pPr>
          </w:p>
        </w:tc>
        <w:tc>
          <w:tcPr>
            <w:tcW w:w="7610" w:type="dxa"/>
            <w:shd w:val="clear" w:color="auto" w:fill="auto"/>
            <w:tcMar>
              <w:left w:w="0" w:type="dxa"/>
            </w:tcMar>
          </w:tcPr>
          <w:p w14:paraId="763DE989" w14:textId="5F715E9F" w:rsidR="009005E4" w:rsidRDefault="009005E4" w:rsidP="009005E4">
            <w:r>
              <w:t xml:space="preserve">V roce 2019 dosáhl přírůstek cen průmyslových výrobců 2,6 %. Šlo o nejvyšší hodnotu od roku 2011. K růstu stejnou měrou přispěly dvě sekce. Tou první byly výrobky a služby zpracovatelského průmyslu, které tvoří výraznou většinu domácí výroby. Jejich ceny se loni zvýšily o 1,5 %. Dalším výrazným hybatelem vývoje indexu cen výrobců byly ceny elektřiny, plynu, páry a klimatizovaného vzduchu, které nižší váhu </w:t>
            </w:r>
            <w:r>
              <w:lastRenderedPageBreak/>
              <w:t>v českém průmyslu nahrazovaly velmi vysokým růstem (8,0 %). Ceny těžby a dobývání loni vzrostly o 6,4 %, hlavně pod vlivem černého a hnědého uhlí a lignitu (8,5 %), ale také kamene, písku a jílu (5,1 %). Ceny elektřiny, plynu, páry a klimatizovaného vzduchu byly zcela ovlivněny prudkým růstem u elektřiny (22,7 %), přitom náklady na samotný přenos a rozvod elektřiny mírně klesly (–1,1 %). O 2,9 % se zvýšily ceny zásobování vodou a služeb souvisejících s odpadními vodami.</w:t>
            </w:r>
          </w:p>
        </w:tc>
      </w:tr>
      <w:tr w:rsidR="009005E4" w:rsidRPr="009110F7" w14:paraId="4F9C0215" w14:textId="77777777" w:rsidTr="00C715CC">
        <w:trPr>
          <w:trHeight w:val="145"/>
        </w:trPr>
        <w:tc>
          <w:tcPr>
            <w:tcW w:w="1805" w:type="dxa"/>
            <w:shd w:val="clear" w:color="auto" w:fill="auto"/>
            <w:tcMar>
              <w:left w:w="0" w:type="dxa"/>
            </w:tcMar>
          </w:tcPr>
          <w:p w14:paraId="4FF781A3" w14:textId="2DC70A08" w:rsidR="009005E4" w:rsidRPr="00793D78" w:rsidRDefault="009005E4" w:rsidP="009005E4">
            <w:pPr>
              <w:pStyle w:val="Marginlie"/>
              <w:rPr>
                <w:spacing w:val="0"/>
              </w:rPr>
            </w:pPr>
            <w:r>
              <w:rPr>
                <w:spacing w:val="0"/>
              </w:rPr>
              <w:lastRenderedPageBreak/>
              <w:t>Potravinářské výrobky byly jednou ze skupin, u kterých ceny rostly nejrychleji.</w:t>
            </w:r>
          </w:p>
        </w:tc>
        <w:tc>
          <w:tcPr>
            <w:tcW w:w="224" w:type="dxa"/>
            <w:shd w:val="clear" w:color="auto" w:fill="auto"/>
            <w:tcMar>
              <w:left w:w="0" w:type="dxa"/>
            </w:tcMar>
          </w:tcPr>
          <w:p w14:paraId="65353B34" w14:textId="77777777" w:rsidR="009005E4" w:rsidRPr="00793D78" w:rsidRDefault="009005E4" w:rsidP="009005E4">
            <w:pPr>
              <w:pStyle w:val="Textpoznpodarou1"/>
              <w:jc w:val="both"/>
            </w:pPr>
          </w:p>
        </w:tc>
        <w:tc>
          <w:tcPr>
            <w:tcW w:w="7610" w:type="dxa"/>
            <w:shd w:val="clear" w:color="auto" w:fill="auto"/>
            <w:tcMar>
              <w:left w:w="0" w:type="dxa"/>
            </w:tcMar>
          </w:tcPr>
          <w:p w14:paraId="462D36CC" w14:textId="5DC8F1A9" w:rsidR="009005E4" w:rsidRDefault="009005E4" w:rsidP="009005E4">
            <w:r>
              <w:t>Mezi výrobky zpracovatelského průmyslu po celý rok výrazně rostly ceny potravinářských výrobků, nápojů a tabáku (celkem o 3,5 %), zejména zpracované a konzervované maso a výrobky z masa (7,0 %), mlýnské a škrobárenské výrobky (6,4 %) a pekařské, cukrářské a jiné moučné výrobky (5,1 %). Poměrně silně se zvýšily ceny textilu, oděvů a usní (3,7 %), a to zejména kvůli oděvům (6,5 %). Dřevo, papír a tisk zdražily jen o 0,7 %. Stagnovaly ceny dřeva a výrobků z něj (0,4 %), klesly ceny papíru a papírových výrobků (–0,4 %). Růst ale zaznamenaly tiskařské a nahrávací služby (2,8 %). Pod vlivem klesajících cen ropy došlo ke snížení u chemických látek a výrobků (o 1,6 %). Ceny základních farmaceutických výrobků se zvýšily o 2,1 %. Pryžové a plastové výrobky a ostatní nekovové materiály zdražily o 2,9 %, přitom však u samotných pryžových a plastových výrobků byl zaznamenán pokles o 0,2 %. Rostly zejména ceny ostatních nekovových minerálních výrobků (6,7 %), především výrobků používaných ve stavebnictví</w:t>
            </w:r>
            <w:r>
              <w:rPr>
                <w:rStyle w:val="Znakapoznpodarou"/>
              </w:rPr>
              <w:footnoteReference w:id="3"/>
            </w:r>
            <w:r>
              <w:t>. Jen mírně rostly ceny obecných kovů a kovodělných výrobků (0,8 %), počítačů, elektronických a optických přístrojů (1,9 %) a stagnovaly ceny elektrických zařízení (0,2 %). Ceny strojů a zařízení se zvýšily o 2,0 %. Jen drobné zvýšení ale zaznamenaly dopravní prostředky (0,2 %). Nábytek a ostatní výrobky zpracovatelského průmyslu celkem zdražily o 4,3 %. Ceny nábytku vzrostly o 1,7 %, ale opravy, údržba a instalace strojů a zařízení o 4,9 %.</w:t>
            </w:r>
          </w:p>
        </w:tc>
      </w:tr>
      <w:tr w:rsidR="009005E4" w:rsidRPr="009110F7" w14:paraId="2EA0DD6B" w14:textId="77777777" w:rsidTr="00C715CC">
        <w:trPr>
          <w:trHeight w:val="170"/>
        </w:trPr>
        <w:tc>
          <w:tcPr>
            <w:tcW w:w="1805" w:type="dxa"/>
            <w:vMerge w:val="restart"/>
            <w:shd w:val="clear" w:color="auto" w:fill="auto"/>
            <w:tcMar>
              <w:left w:w="0" w:type="dxa"/>
            </w:tcMar>
          </w:tcPr>
          <w:p w14:paraId="2F08AE88" w14:textId="77777777" w:rsidR="009005E4" w:rsidRDefault="009005E4" w:rsidP="009005E4">
            <w:pPr>
              <w:pStyle w:val="Marginlie"/>
              <w:rPr>
                <w:spacing w:val="0"/>
              </w:rPr>
            </w:pPr>
          </w:p>
        </w:tc>
        <w:tc>
          <w:tcPr>
            <w:tcW w:w="224" w:type="dxa"/>
            <w:vMerge w:val="restart"/>
            <w:shd w:val="clear" w:color="auto" w:fill="auto"/>
            <w:tcMar>
              <w:left w:w="0" w:type="dxa"/>
            </w:tcMar>
          </w:tcPr>
          <w:p w14:paraId="7B1C5525" w14:textId="77777777" w:rsidR="009005E4" w:rsidRPr="00793D78" w:rsidRDefault="009005E4" w:rsidP="009005E4">
            <w:pPr>
              <w:pStyle w:val="Textpoznpodarou1"/>
              <w:jc w:val="both"/>
              <w:rPr>
                <w:highlight w:val="yellow"/>
              </w:rPr>
            </w:pPr>
          </w:p>
        </w:tc>
        <w:tc>
          <w:tcPr>
            <w:tcW w:w="7610" w:type="dxa"/>
            <w:shd w:val="clear" w:color="auto" w:fill="auto"/>
            <w:tcMar>
              <w:left w:w="0" w:type="dxa"/>
            </w:tcMar>
          </w:tcPr>
          <w:p w14:paraId="08FB600F" w14:textId="07DC349B" w:rsidR="009005E4" w:rsidRPr="00D75AC1" w:rsidRDefault="000767F5" w:rsidP="009005E4">
            <w:pPr>
              <w:spacing w:after="0"/>
              <w:rPr>
                <w:b/>
                <w:szCs w:val="20"/>
              </w:rPr>
            </w:pPr>
            <w:r>
              <w:rPr>
                <w:b/>
                <w:sz w:val="18"/>
                <w:szCs w:val="18"/>
              </w:rPr>
              <w:t>Graf č. 11</w:t>
            </w:r>
            <w:r w:rsidR="009005E4" w:rsidRPr="00793D78">
              <w:rPr>
                <w:b/>
                <w:sz w:val="18"/>
                <w:szCs w:val="18"/>
              </w:rPr>
              <w:t xml:space="preserve">  </w:t>
            </w:r>
            <w:r w:rsidR="009005E4" w:rsidRPr="00793D78">
              <w:rPr>
                <w:b/>
                <w:sz w:val="18"/>
                <w:szCs w:val="18"/>
                <w:lang w:eastAsia="en-US"/>
              </w:rPr>
              <w:t xml:space="preserve">Ceny hlavních skupin průmyslových výrobců </w:t>
            </w:r>
            <w:r w:rsidR="009005E4" w:rsidRPr="009067EA">
              <w:rPr>
                <w:sz w:val="18"/>
                <w:szCs w:val="18"/>
                <w:lang w:eastAsia="en-US"/>
              </w:rPr>
              <w:t>(meziroční změna, v %, podle klasifikace CPA)</w:t>
            </w:r>
          </w:p>
        </w:tc>
      </w:tr>
      <w:tr w:rsidR="009005E4" w:rsidRPr="009110F7" w14:paraId="129684CB" w14:textId="77777777" w:rsidTr="00C715CC">
        <w:tblPrEx>
          <w:tblCellMar>
            <w:left w:w="70" w:type="dxa"/>
            <w:right w:w="70" w:type="dxa"/>
          </w:tblCellMar>
        </w:tblPrEx>
        <w:trPr>
          <w:trHeight w:val="170"/>
        </w:trPr>
        <w:tc>
          <w:tcPr>
            <w:tcW w:w="1805" w:type="dxa"/>
            <w:vMerge/>
            <w:shd w:val="clear" w:color="auto" w:fill="auto"/>
          </w:tcPr>
          <w:p w14:paraId="6C5B0DA9" w14:textId="77777777" w:rsidR="009005E4" w:rsidRPr="00793D78" w:rsidRDefault="009005E4" w:rsidP="009005E4">
            <w:pPr>
              <w:pStyle w:val="Marginlie"/>
              <w:rPr>
                <w:spacing w:val="0"/>
              </w:rPr>
            </w:pPr>
          </w:p>
        </w:tc>
        <w:tc>
          <w:tcPr>
            <w:tcW w:w="224" w:type="dxa"/>
            <w:vMerge/>
            <w:shd w:val="clear" w:color="auto" w:fill="auto"/>
          </w:tcPr>
          <w:p w14:paraId="7C280AA5" w14:textId="77777777" w:rsidR="009005E4" w:rsidRPr="00793D78" w:rsidRDefault="009005E4" w:rsidP="009005E4">
            <w:pPr>
              <w:pStyle w:val="Textpoznpodarou1"/>
              <w:jc w:val="both"/>
            </w:pPr>
          </w:p>
        </w:tc>
        <w:tc>
          <w:tcPr>
            <w:tcW w:w="7610" w:type="dxa"/>
            <w:shd w:val="clear" w:color="auto" w:fill="auto"/>
          </w:tcPr>
          <w:p w14:paraId="272D5EB1" w14:textId="504A4843" w:rsidR="009005E4" w:rsidRPr="00793D78" w:rsidRDefault="009005E4" w:rsidP="009005E4">
            <w:pPr>
              <w:spacing w:after="0"/>
            </w:pPr>
            <w:r>
              <w:rPr>
                <w:noProof/>
              </w:rPr>
              <w:drawing>
                <wp:inline distT="0" distB="0" distL="0" distR="0" wp14:anchorId="4CC30D4D" wp14:editId="71E23071">
                  <wp:extent cx="4737600" cy="3553200"/>
                  <wp:effectExtent l="0" t="0" r="6350" b="0"/>
                  <wp:docPr id="34" name="Graf 34">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9005E4" w:rsidRPr="009110F7" w14:paraId="1C612973" w14:textId="77777777" w:rsidTr="00C715CC">
        <w:trPr>
          <w:trHeight w:val="170"/>
        </w:trPr>
        <w:tc>
          <w:tcPr>
            <w:tcW w:w="1805" w:type="dxa"/>
            <w:vMerge/>
            <w:shd w:val="clear" w:color="auto" w:fill="auto"/>
            <w:tcMar>
              <w:left w:w="0" w:type="dxa"/>
            </w:tcMar>
          </w:tcPr>
          <w:p w14:paraId="33712714" w14:textId="77777777" w:rsidR="009005E4" w:rsidRPr="00793D78" w:rsidRDefault="009005E4" w:rsidP="009005E4">
            <w:pPr>
              <w:pStyle w:val="Marginlie"/>
              <w:rPr>
                <w:spacing w:val="0"/>
              </w:rPr>
            </w:pPr>
          </w:p>
        </w:tc>
        <w:tc>
          <w:tcPr>
            <w:tcW w:w="224" w:type="dxa"/>
            <w:vMerge/>
            <w:shd w:val="clear" w:color="auto" w:fill="auto"/>
            <w:tcMar>
              <w:left w:w="0" w:type="dxa"/>
            </w:tcMar>
          </w:tcPr>
          <w:p w14:paraId="16F5011C" w14:textId="77777777" w:rsidR="009005E4" w:rsidRPr="00793D78" w:rsidRDefault="009005E4" w:rsidP="009005E4">
            <w:pPr>
              <w:pStyle w:val="Textpoznpodarou1"/>
              <w:jc w:val="both"/>
            </w:pPr>
          </w:p>
        </w:tc>
        <w:tc>
          <w:tcPr>
            <w:tcW w:w="7610" w:type="dxa"/>
            <w:shd w:val="clear" w:color="auto" w:fill="auto"/>
            <w:tcMar>
              <w:left w:w="0" w:type="dxa"/>
            </w:tcMar>
          </w:tcPr>
          <w:p w14:paraId="503856A7" w14:textId="1AE31B8B" w:rsidR="009005E4" w:rsidRPr="00793D78" w:rsidRDefault="009005E4" w:rsidP="009005E4">
            <w:r w:rsidRPr="00793D78">
              <w:rPr>
                <w:sz w:val="14"/>
                <w:szCs w:val="14"/>
              </w:rPr>
              <w:t>Zdroj: ČSÚ</w:t>
            </w:r>
          </w:p>
        </w:tc>
      </w:tr>
      <w:tr w:rsidR="009005E4" w:rsidRPr="009110F7" w14:paraId="67DF58B4" w14:textId="77777777" w:rsidTr="00C715CC">
        <w:trPr>
          <w:trHeight w:val="145"/>
        </w:trPr>
        <w:tc>
          <w:tcPr>
            <w:tcW w:w="1805" w:type="dxa"/>
            <w:shd w:val="clear" w:color="auto" w:fill="auto"/>
            <w:tcMar>
              <w:left w:w="0" w:type="dxa"/>
            </w:tcMar>
          </w:tcPr>
          <w:p w14:paraId="567FE004" w14:textId="5E21EF30" w:rsidR="009005E4" w:rsidRDefault="009005E4" w:rsidP="009005E4">
            <w:pPr>
              <w:pStyle w:val="Marginlie"/>
              <w:rPr>
                <w:spacing w:val="0"/>
              </w:rPr>
            </w:pPr>
            <w:r>
              <w:rPr>
                <w:spacing w:val="0"/>
              </w:rPr>
              <w:lastRenderedPageBreak/>
              <w:t>Ceny ropy negativně ovlivňovaly vývoj cen výrobců v EU.</w:t>
            </w:r>
          </w:p>
        </w:tc>
        <w:tc>
          <w:tcPr>
            <w:tcW w:w="224" w:type="dxa"/>
            <w:shd w:val="clear" w:color="auto" w:fill="auto"/>
            <w:tcMar>
              <w:left w:w="0" w:type="dxa"/>
            </w:tcMar>
          </w:tcPr>
          <w:p w14:paraId="02C1DEFC" w14:textId="77777777" w:rsidR="009005E4" w:rsidRPr="00793D78" w:rsidRDefault="009005E4" w:rsidP="009005E4">
            <w:pPr>
              <w:pStyle w:val="Textpoznpodarou1"/>
              <w:jc w:val="both"/>
            </w:pPr>
          </w:p>
        </w:tc>
        <w:tc>
          <w:tcPr>
            <w:tcW w:w="7610" w:type="dxa"/>
            <w:shd w:val="clear" w:color="auto" w:fill="auto"/>
            <w:tcMar>
              <w:left w:w="0" w:type="dxa"/>
            </w:tcMar>
          </w:tcPr>
          <w:p w14:paraId="629421BE" w14:textId="319D8107" w:rsidR="009005E4" w:rsidRDefault="009005E4" w:rsidP="009005E4">
            <w:r>
              <w:t>Ceny průmyslových výrobců v EU se v roce 2019 zvýšily o 0,9 %. Poměrně nízký přírůstek byl způsoben meziročním propadem cen ve 2. pololetí roku, zejména pod vlivem cen ropy, které byly v uvedeném období výrazně pod úrovní předchozího roku. Projevilo se to na loňském propadu cen těžby a dobývání o 2,8 % a dále na cenách ve zpracovatelském průmyslu, které se zvýšily jen o 0,9 %, hlavně kvůli stagnaci ve 2. pololetí. O 2,4 % se loni zvýšily ceny elektřiny, plynu, páry a klimatizovaného vzduchu. Po silných meziročních nárůstech v 1. pololetí se dynamika neudržela a ceny v této sekci se propadaly (na rozdíl od Česka, kde se udržoval velmi silný růst). Ceny výrobců loni nejvýrazněji vzrostly v Rumunsku (5,0 %), Maďarsku (3,9 %) a Bulharsku (3,8 %). Pokles nastal u cen výrobců v Portugalsku (–0,9 %), v Dánsku (–0,6 %) a Španělsku (–0,5 %).</w:t>
            </w:r>
          </w:p>
        </w:tc>
      </w:tr>
      <w:tr w:rsidR="009005E4" w:rsidRPr="009110F7" w14:paraId="6B93A0A8" w14:textId="77777777" w:rsidTr="00C715CC">
        <w:trPr>
          <w:trHeight w:val="145"/>
        </w:trPr>
        <w:tc>
          <w:tcPr>
            <w:tcW w:w="1805" w:type="dxa"/>
            <w:shd w:val="clear" w:color="auto" w:fill="auto"/>
            <w:tcMar>
              <w:left w:w="0" w:type="dxa"/>
            </w:tcMar>
          </w:tcPr>
          <w:p w14:paraId="7E5AEAB2" w14:textId="78F19244" w:rsidR="009005E4" w:rsidRPr="00793D78" w:rsidRDefault="009005E4" w:rsidP="009005E4">
            <w:pPr>
              <w:pStyle w:val="Marginlie"/>
              <w:rPr>
                <w:spacing w:val="0"/>
              </w:rPr>
            </w:pPr>
            <w:r>
              <w:rPr>
                <w:spacing w:val="0"/>
              </w:rPr>
              <w:t>Ceny tržních služeb ovlivňovala vysoká dynamika mzdových nákladů.</w:t>
            </w:r>
          </w:p>
        </w:tc>
        <w:tc>
          <w:tcPr>
            <w:tcW w:w="224" w:type="dxa"/>
            <w:shd w:val="clear" w:color="auto" w:fill="auto"/>
            <w:tcMar>
              <w:left w:w="0" w:type="dxa"/>
            </w:tcMar>
          </w:tcPr>
          <w:p w14:paraId="00EAB1CB" w14:textId="77777777" w:rsidR="009005E4" w:rsidRPr="00793D78" w:rsidRDefault="009005E4" w:rsidP="009005E4">
            <w:pPr>
              <w:pStyle w:val="Textpoznpodarou1"/>
              <w:jc w:val="both"/>
            </w:pPr>
          </w:p>
        </w:tc>
        <w:tc>
          <w:tcPr>
            <w:tcW w:w="7610" w:type="dxa"/>
            <w:shd w:val="clear" w:color="auto" w:fill="auto"/>
            <w:tcMar>
              <w:left w:w="0" w:type="dxa"/>
            </w:tcMar>
          </w:tcPr>
          <w:p w14:paraId="46B3676D" w14:textId="1DC7BAD7" w:rsidR="009005E4" w:rsidRPr="00793D78" w:rsidRDefault="009005E4" w:rsidP="009005E4">
            <w:r>
              <w:t xml:space="preserve">Ceny tržních služeb se ve 4. čtvrtletí meziročně zvýšily o 2,3 %. Jejich dynamika tak mírně zvolnila v porovnání s 1. až 3. čtvrtletím roku. Nejvíce k růstu přispěly ceny služeb v oblasti programování a poradenství (meziroční růst o 4,9 %), dále pozemní a potrubní doprava (2,2 %) a pojištění, zajištění a penzijní financování (5,6 %). Zpomalení celkového růstu bylo způsobeno redukcí tempa u některých důležitých služeb – například cen reklamních služeb a průzkumu trhu (z 5,5 % ve 3. čtvrtletí na 3,6 % ve 4. čtvrtletí) nebo architektonických a inženýrských služeb (z 1,6 % na </w:t>
            </w:r>
            <w:r>
              <w:br/>
              <w:t>–0,2 %). Za celý rok 2019 se ceny tržních služeb zvýšily o 2,6 %, nejvíce od roku 2008. Zrychlení dynamiky bylo spojeno zejména se stále silně rostoucími mzdovými náklady, které se do cen služeb promítaly napříč celou ekonomikou. To je přímo vidět na službách v oblasti zaměstnání, jejichž ceny se loni zvýšily o 9,2 % (zpomalení oproti roku 2018 bylo jen drobné). Nejvíce k celkovému růstu loni přispěly ceny pozemní a potrubní dopravy (vzrostly o 2,4 %, hlavně kvůli cenám železniční nákladní dopravy), dále služby v oblasti programování (4,2 %), pojištění, zajištění a penzijní financování (6,5 %). Výrazný příspěvek měly rovněž reklamní služby a průzkum trhu (4,5 %). Pokles cen se odehrál jen u skladování a podpůrných služeb v dopravě (–1,5 %).</w:t>
            </w:r>
          </w:p>
        </w:tc>
      </w:tr>
      <w:tr w:rsidR="009005E4" w:rsidRPr="009110F7" w14:paraId="58470AB7" w14:textId="77777777" w:rsidTr="00C715CC">
        <w:trPr>
          <w:trHeight w:val="145"/>
        </w:trPr>
        <w:tc>
          <w:tcPr>
            <w:tcW w:w="1805" w:type="dxa"/>
            <w:shd w:val="clear" w:color="auto" w:fill="auto"/>
            <w:tcMar>
              <w:left w:w="0" w:type="dxa"/>
            </w:tcMar>
          </w:tcPr>
          <w:p w14:paraId="19872D18" w14:textId="41A4ACDC" w:rsidR="009005E4" w:rsidRPr="00793D78" w:rsidRDefault="009005E4" w:rsidP="009005E4">
            <w:pPr>
              <w:pStyle w:val="Marginlie"/>
              <w:rPr>
                <w:spacing w:val="0"/>
              </w:rPr>
            </w:pPr>
            <w:r>
              <w:rPr>
                <w:spacing w:val="0"/>
              </w:rPr>
              <w:t>Ceny zemědělských výrobců ve 4. čtvrtletí klesly. Zrychlil růst cen prasat.</w:t>
            </w:r>
          </w:p>
        </w:tc>
        <w:tc>
          <w:tcPr>
            <w:tcW w:w="224" w:type="dxa"/>
            <w:shd w:val="clear" w:color="auto" w:fill="auto"/>
            <w:tcMar>
              <w:left w:w="0" w:type="dxa"/>
            </w:tcMar>
          </w:tcPr>
          <w:p w14:paraId="71D9A019" w14:textId="77777777" w:rsidR="009005E4" w:rsidRPr="00793D78" w:rsidRDefault="009005E4" w:rsidP="009005E4">
            <w:pPr>
              <w:pStyle w:val="Textpoznpodarou1"/>
              <w:jc w:val="both"/>
            </w:pPr>
          </w:p>
        </w:tc>
        <w:tc>
          <w:tcPr>
            <w:tcW w:w="7610" w:type="dxa"/>
            <w:shd w:val="clear" w:color="auto" w:fill="auto"/>
            <w:tcMar>
              <w:left w:w="0" w:type="dxa"/>
            </w:tcMar>
          </w:tcPr>
          <w:p w14:paraId="44DFC9A1" w14:textId="3B46CA8D" w:rsidR="009005E4" w:rsidRPr="00CB64E1" w:rsidRDefault="009005E4" w:rsidP="009005E4">
            <w:pPr>
              <w:rPr>
                <w:spacing w:val="-2"/>
              </w:rPr>
            </w:pPr>
            <w:r>
              <w:rPr>
                <w:spacing w:val="-2"/>
              </w:rPr>
              <w:t>Ceny zemědělských výrobců ve 4. čtvrtletí 2019 meziročně poklesly o 1,6 %. Ceny rostlinné výroby klesly o 5,6 %. Propad nastal u obilovin (–9,5 %), a to napříč všemi druhy (pšenice –10,9 %, ječmen –6,0 %, kukuřice na zrno –9,5 %). Zčásti za to může vysoká srovnávací základna roku 2018, loňská lepší úroda vedla i k poklesu cen na nižší úroveň. Poklesly i ceny průmyslových plodin (–8,7 %), z toho olejnin o 4,5 % (kvůli máku, který zlevnil o 30,9 %) a cukrové řepy o 18,5 %. Růst cen brambor zvolnil na 9,4 %. Po propadu v sezóně 2018 opět zdražilo ovoce (48,3 %), zejména jablka (49,3 %) a hrušky (43,6 %). Ceny živočišné výroby ve 4. čtvrtletí meziročně vzrostly o 5,6 %, zejména kvůli zrychlující dynamice cen prasat (30,9 % ve 4. čtvrtletí). Stagnovaly ceny mléka (0,1 %) a mírně rostly ceny vajec (3,4 %). Za celý rok 2019 se ceny zemědělské výroby zvýšily o 4,9 %. Přírůstku dosáhla rostlinná (5,9 %) i živočišná výroba (3,9 %). U rostlinné výroby dozníval vliv výsledků úrody z roku 2018, které byly horší ve srovnání s předchozími lety. Zdražila většina skupin plodin – obiloviny o 6,4 %, průmyslové plodiny o 1,7 %, krmné plodiny o 2,0 %, zelenina a zahradnické produkty o 6,8 %. Nejmarkantnější nárůst prodělaly ceny brambor (37,3 %), z toho konzumní brambory zdražily o 51,8 % a sadba o 16,5 %. Cenami živočišné výroby hýbala zejména veterinární situace</w:t>
            </w:r>
            <w:r>
              <w:rPr>
                <w:rStyle w:val="Znakapoznpodarou"/>
                <w:spacing w:val="-2"/>
              </w:rPr>
              <w:footnoteReference w:id="4"/>
            </w:r>
            <w:r>
              <w:rPr>
                <w:spacing w:val="-2"/>
              </w:rPr>
              <w:t>, která se promítala do cen prasat a selat (nárůst o 16,2 %). Ceny mléka se zvýšily o 2,7 % a ceny vajec klesly o 6,6 %.</w:t>
            </w:r>
          </w:p>
        </w:tc>
      </w:tr>
      <w:tr w:rsidR="009005E4" w:rsidRPr="009110F7" w14:paraId="27056E5D" w14:textId="77777777" w:rsidTr="00C715CC">
        <w:trPr>
          <w:trHeight w:val="145"/>
        </w:trPr>
        <w:tc>
          <w:tcPr>
            <w:tcW w:w="1805" w:type="dxa"/>
            <w:shd w:val="clear" w:color="auto" w:fill="auto"/>
            <w:tcMar>
              <w:left w:w="0" w:type="dxa"/>
            </w:tcMar>
          </w:tcPr>
          <w:p w14:paraId="3872F788" w14:textId="3D079E1D" w:rsidR="009005E4" w:rsidRPr="00793D78" w:rsidRDefault="009005E4" w:rsidP="009005E4">
            <w:pPr>
              <w:pStyle w:val="Marginlie"/>
              <w:rPr>
                <w:spacing w:val="0"/>
              </w:rPr>
            </w:pPr>
            <w:r>
              <w:rPr>
                <w:spacing w:val="0"/>
              </w:rPr>
              <w:t>Meziroční růst cen vývozu během roku postupně zpomaloval.</w:t>
            </w:r>
          </w:p>
        </w:tc>
        <w:tc>
          <w:tcPr>
            <w:tcW w:w="224" w:type="dxa"/>
            <w:shd w:val="clear" w:color="auto" w:fill="auto"/>
            <w:tcMar>
              <w:left w:w="0" w:type="dxa"/>
            </w:tcMar>
          </w:tcPr>
          <w:p w14:paraId="2D8EE936" w14:textId="77777777" w:rsidR="009005E4" w:rsidRPr="00793D78" w:rsidRDefault="009005E4" w:rsidP="009005E4">
            <w:pPr>
              <w:pStyle w:val="Textpoznpodarou1"/>
              <w:jc w:val="both"/>
            </w:pPr>
          </w:p>
        </w:tc>
        <w:tc>
          <w:tcPr>
            <w:tcW w:w="7610" w:type="dxa"/>
            <w:shd w:val="clear" w:color="auto" w:fill="auto"/>
            <w:tcMar>
              <w:left w:w="0" w:type="dxa"/>
            </w:tcMar>
          </w:tcPr>
          <w:p w14:paraId="5E95770F" w14:textId="6A44EE19" w:rsidR="009005E4" w:rsidRPr="00793D78" w:rsidRDefault="009005E4" w:rsidP="009005E4">
            <w:r>
              <w:t xml:space="preserve">Ceny vývozu loni vzrostly o 0,9 %. Meziroční dynamika ale v průběhu roku postupně zpomalovala a ve 4. čtvrtletí došlo k propadu o 1,4 %. V roce 2019 vzrostly ceny vývozu průmyslového spotřebního zboží (3,4 %), nápojů a tabáku (2,1 %), potravin </w:t>
            </w:r>
            <w:r>
              <w:lastRenderedPageBreak/>
              <w:t>a živých zvířat (1,7 %), strojů a dopravních prostředků (1,2 %) a polotovarů</w:t>
            </w:r>
            <w:r>
              <w:rPr>
                <w:rStyle w:val="Znakapoznpodarou"/>
              </w:rPr>
              <w:footnoteReference w:id="5"/>
            </w:r>
            <w:r>
              <w:t xml:space="preserve"> (0,4 %). Klesly ceny surovin – minerálních paliv (–2,0 %) i ostatních surovin</w:t>
            </w:r>
            <w:r>
              <w:rPr>
                <w:rStyle w:val="Znakapoznpodarou"/>
              </w:rPr>
              <w:footnoteReference w:id="6"/>
            </w:r>
            <w:r>
              <w:t xml:space="preserve"> (–5,6 %) a také chemikálií a příbuzných výrobků (–1,0 %). Ve 4. čtvrtletí se meziročně snižovaly ceny u většiny skupin výrobků. Největší propad zaznamenaly ostatní suroviny (–13,4 %), minerální paliva (–8,5 %) a chemikálie a příbuzné výrobky (–3,5 %). Nejvíce meziročně vzrostly ceny nápojů a tabáku (1,5 %) a průmyslového spotřebního zboží (1,1 %). Stagnovaly ceny strojů a dopravních prostředků (0,1 %).</w:t>
            </w:r>
          </w:p>
        </w:tc>
      </w:tr>
      <w:tr w:rsidR="009005E4" w:rsidRPr="009110F7" w14:paraId="417CA986" w14:textId="77777777" w:rsidTr="00C715CC">
        <w:trPr>
          <w:trHeight w:val="145"/>
        </w:trPr>
        <w:tc>
          <w:tcPr>
            <w:tcW w:w="1805" w:type="dxa"/>
            <w:shd w:val="clear" w:color="auto" w:fill="auto"/>
            <w:tcMar>
              <w:left w:w="0" w:type="dxa"/>
            </w:tcMar>
          </w:tcPr>
          <w:p w14:paraId="1667BF8D" w14:textId="01D96302" w:rsidR="009005E4" w:rsidRPr="00793D78" w:rsidRDefault="009005E4" w:rsidP="009005E4">
            <w:pPr>
              <w:pStyle w:val="Marginlie"/>
              <w:rPr>
                <w:spacing w:val="0"/>
              </w:rPr>
            </w:pPr>
            <w:r>
              <w:rPr>
                <w:spacing w:val="0"/>
              </w:rPr>
              <w:lastRenderedPageBreak/>
              <w:t>Ceny dovozu loni rostly poměrně slabě, a směnné relace tak byly kladné.</w:t>
            </w:r>
          </w:p>
        </w:tc>
        <w:tc>
          <w:tcPr>
            <w:tcW w:w="224" w:type="dxa"/>
            <w:shd w:val="clear" w:color="auto" w:fill="auto"/>
            <w:tcMar>
              <w:left w:w="0" w:type="dxa"/>
            </w:tcMar>
          </w:tcPr>
          <w:p w14:paraId="252C4EEE" w14:textId="77777777" w:rsidR="009005E4" w:rsidRPr="00793D78" w:rsidRDefault="009005E4" w:rsidP="009005E4">
            <w:pPr>
              <w:pStyle w:val="Textpoznpodarou1"/>
              <w:jc w:val="both"/>
            </w:pPr>
          </w:p>
        </w:tc>
        <w:tc>
          <w:tcPr>
            <w:tcW w:w="7610" w:type="dxa"/>
            <w:shd w:val="clear" w:color="auto" w:fill="auto"/>
            <w:tcMar>
              <w:left w:w="0" w:type="dxa"/>
            </w:tcMar>
          </w:tcPr>
          <w:p w14:paraId="2FDCB79C" w14:textId="00D2986B" w:rsidR="009005E4" w:rsidRDefault="009005E4" w:rsidP="009005E4">
            <w:r>
              <w:t xml:space="preserve">Ceny importu loni celkově rovněž vzrostly (0,3 %). Zvýšily se ceny dovozu ostatních surovin (6,9 %), </w:t>
            </w:r>
            <w:r w:rsidR="005A0A03">
              <w:t xml:space="preserve">potravin a </w:t>
            </w:r>
            <w:r>
              <w:t>živých zvířat (2,7 %), strojů a dopravních prostředků (1,6 %) a průmyslového spotřebního zboží (0,2 %). Výrazně loni klesly ceny nápojů a tabáku (–5,2 %) a rovněž minerálních paliv (–4,7 %). Mírně se snížily ceny chemikálií a příbuzných výrobků (–0,9 %) a polotovarů (–0,6 %). V samotném 4. čtvrtletí došlo u cen dovozu k meziročnímu propadu o 1,8 %. Nejsilnější pokles zaznamenala minerální paliva (–11,8 %), nápoje a tabák (–7,7 %) a chemikálie a příbuzné</w:t>
            </w:r>
            <w:r w:rsidR="005A0A03">
              <w:t xml:space="preserve"> </w:t>
            </w:r>
            <w:r>
              <w:t>výrobky</w:t>
            </w:r>
            <w:r w:rsidR="005A0A03">
              <w:t xml:space="preserve"> </w:t>
            </w:r>
            <w:r>
              <w:t xml:space="preserve">(–5,8 %). Poměrně silně rostly ceny dovezených potravin a živých zvířat (5,4 %). Směnné relace byly v roce 2019 celkově kladné (100,6 %). Kladně působily směnné relace obchodu s nápoji a tabákem (107,7 %), průmyslovým spotřebním zbožím (103,2 %), minerálními palivy (102,8 %) a polotovary (101,0 %). Naopak záporné byly směnné relace u ostatních surovin (88,3 %), potravin a živých zvířat (99,0 %), strojů a dopravních prostředků (99,6 %) a chemikálií a příbuzných výrobků (99,9 %). Ve 4. čtvrtletí činily směnné relace 100,4 %. Kladně působily zejména nápoje a tabák (110,0 %), minerální paliva (103,7 %) a chemikálie a příbuzné </w:t>
            </w:r>
            <w:r w:rsidR="005A0A03">
              <w:t>výrobky</w:t>
            </w:r>
            <w:r>
              <w:t xml:space="preserve"> (102,4 %). Záporně ovlivňovaly celkový index zejména směnné relace obchodu s ostatními surovinami (85,5 %).</w:t>
            </w:r>
          </w:p>
        </w:tc>
      </w:tr>
      <w:bookmarkEnd w:id="1"/>
    </w:tbl>
    <w:p w14:paraId="400EECF4" w14:textId="1D3BCF3A" w:rsidR="00965797" w:rsidRPr="00485E82" w:rsidRDefault="00965797" w:rsidP="00495BEF">
      <w:pPr>
        <w:spacing w:after="0" w:line="240" w:lineRule="auto"/>
        <w:jc w:val="left"/>
        <w:rPr>
          <w:b/>
          <w:sz w:val="2"/>
          <w:szCs w:val="2"/>
          <w:highlight w:val="yellow"/>
        </w:rPr>
      </w:pPr>
    </w:p>
    <w:sectPr w:rsidR="00965797" w:rsidRPr="00485E82" w:rsidSect="00495BEF">
      <w:headerReference w:type="even" r:id="rId12"/>
      <w:headerReference w:type="default" r:id="rId13"/>
      <w:footerReference w:type="even" r:id="rId14"/>
      <w:footerReference w:type="default" r:id="rId15"/>
      <w:pgSz w:w="11906" w:h="16838" w:code="9"/>
      <w:pgMar w:top="1134" w:right="1134" w:bottom="1418" w:left="1134" w:header="680" w:footer="737"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D2585" w14:textId="77777777" w:rsidR="00C831E7" w:rsidRDefault="00C831E7" w:rsidP="00E71A58">
      <w:r>
        <w:separator/>
      </w:r>
    </w:p>
  </w:endnote>
  <w:endnote w:type="continuationSeparator" w:id="0">
    <w:p w14:paraId="62146C34" w14:textId="77777777" w:rsidR="00C831E7" w:rsidRDefault="00C831E7"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51A0D" w14:textId="68C31C39" w:rsidR="003474B6" w:rsidRPr="00932443" w:rsidRDefault="003474B6"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4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Pr>
        <w:szCs w:val="16"/>
      </w:rPr>
      <w:t>22</w:t>
    </w:r>
    <w:r w:rsidRPr="00932443">
      <w:rPr>
        <w:szCs w:val="16"/>
      </w:rPr>
      <w:fldChar w:fldCharType="end"/>
    </w:r>
    <w:r w:rsidRPr="00932443">
      <w:rPr>
        <w:szCs w:val="16"/>
      </w:rPr>
      <w:tab/>
    </w:r>
    <w:r>
      <w:rPr>
        <w:szCs w:val="16"/>
      </w:rPr>
      <w:t>Rok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7E4B" w14:textId="540E6951" w:rsidR="003474B6" w:rsidRPr="00932443" w:rsidRDefault="003474B6" w:rsidP="00FA6CB6">
    <w:pPr>
      <w:pStyle w:val="Zpat"/>
      <w:rPr>
        <w:szCs w:val="16"/>
      </w:rPr>
    </w:pPr>
    <w:r w:rsidRPr="00FA6CB6">
      <w:rPr>
        <w:szCs w:val="16"/>
      </w:rPr>
      <w:tab/>
    </w:r>
    <w:r>
      <w:rPr>
        <w:szCs w:val="16"/>
      </w:rPr>
      <w:t xml:space="preserve">Rok </w:t>
    </w:r>
    <w:r>
      <w:rPr>
        <w:szCs w:val="16"/>
        <w:lang w:eastAsia="cs-CZ"/>
      </w:rPr>
      <w:drawing>
        <wp:anchor distT="0" distB="0" distL="114300" distR="114300" simplePos="0" relativeHeight="251658752" behindDoc="0" locked="0" layoutInCell="1" allowOverlap="1" wp14:anchorId="6ADC9B20" wp14:editId="2C3814E9">
          <wp:simplePos x="0" y="0"/>
          <wp:positionH relativeFrom="column">
            <wp:align>left</wp:align>
          </wp:positionH>
          <wp:positionV relativeFrom="paragraph">
            <wp:posOffset>-122555</wp:posOffset>
          </wp:positionV>
          <wp:extent cx="510540" cy="272415"/>
          <wp:effectExtent l="0" t="0" r="0" b="6985"/>
          <wp:wrapNone/>
          <wp:docPr id="45"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2</w:t>
    </w:r>
    <w:r>
      <w:t>019</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Pr>
        <w:rStyle w:val="ZpatChar"/>
        <w:szCs w:val="16"/>
      </w:rPr>
      <w:t>23</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9B6B6" w14:textId="77777777" w:rsidR="00C831E7" w:rsidRDefault="00C831E7" w:rsidP="00A21B4D">
      <w:pPr>
        <w:spacing w:after="0"/>
      </w:pPr>
      <w:r>
        <w:separator/>
      </w:r>
    </w:p>
  </w:footnote>
  <w:footnote w:type="continuationSeparator" w:id="0">
    <w:p w14:paraId="0072FE5B" w14:textId="77777777" w:rsidR="00C831E7" w:rsidRDefault="00C831E7" w:rsidP="00E71A58">
      <w:r>
        <w:continuationSeparator/>
      </w:r>
    </w:p>
  </w:footnote>
  <w:footnote w:id="1">
    <w:p w14:paraId="0B1A72E3" w14:textId="77777777" w:rsidR="003474B6" w:rsidRPr="00771080" w:rsidRDefault="003474B6" w:rsidP="00C715CC">
      <w:pPr>
        <w:pStyle w:val="Textpoznpodarou"/>
        <w:rPr>
          <w:sz w:val="16"/>
          <w:szCs w:val="16"/>
        </w:rPr>
      </w:pPr>
      <w:r w:rsidRPr="00771080">
        <w:rPr>
          <w:rStyle w:val="Znakapoznpodarou"/>
          <w:sz w:val="16"/>
          <w:szCs w:val="16"/>
        </w:rPr>
        <w:footnoteRef/>
      </w:r>
      <w:r w:rsidRPr="00771080">
        <w:rPr>
          <w:sz w:val="16"/>
          <w:szCs w:val="16"/>
        </w:rPr>
        <w:t xml:space="preserve"> Měřeno deflátorem HDP.</w:t>
      </w:r>
    </w:p>
  </w:footnote>
  <w:footnote w:id="2">
    <w:p w14:paraId="45458C2E" w14:textId="77777777" w:rsidR="003474B6" w:rsidRPr="0069077E" w:rsidRDefault="003474B6" w:rsidP="00C715CC">
      <w:pPr>
        <w:pStyle w:val="Textpoznpodarou"/>
        <w:rPr>
          <w:sz w:val="16"/>
          <w:szCs w:val="16"/>
        </w:rPr>
      </w:pPr>
      <w:r w:rsidRPr="0069077E">
        <w:rPr>
          <w:rStyle w:val="Znakapoznpodarou"/>
          <w:sz w:val="16"/>
          <w:szCs w:val="16"/>
        </w:rPr>
        <w:footnoteRef/>
      </w:r>
      <w:r w:rsidRPr="0069077E">
        <w:rPr>
          <w:sz w:val="16"/>
          <w:szCs w:val="16"/>
        </w:rPr>
        <w:t xml:space="preserve"> Individuální data.</w:t>
      </w:r>
    </w:p>
  </w:footnote>
  <w:footnote w:id="3">
    <w:p w14:paraId="00EBD8CF" w14:textId="77777777" w:rsidR="003474B6" w:rsidRPr="00C534AE" w:rsidRDefault="003474B6" w:rsidP="00C715CC">
      <w:pPr>
        <w:pStyle w:val="Textpoznpodarou"/>
        <w:rPr>
          <w:sz w:val="16"/>
          <w:szCs w:val="16"/>
        </w:rPr>
      </w:pPr>
      <w:r w:rsidRPr="00C534AE">
        <w:rPr>
          <w:rStyle w:val="Znakapoznpodarou"/>
          <w:sz w:val="16"/>
          <w:szCs w:val="16"/>
        </w:rPr>
        <w:footnoteRef/>
      </w:r>
      <w:r w:rsidRPr="00C534AE">
        <w:rPr>
          <w:sz w:val="16"/>
          <w:szCs w:val="16"/>
        </w:rPr>
        <w:t xml:space="preserve"> </w:t>
      </w:r>
      <w:r>
        <w:rPr>
          <w:sz w:val="16"/>
          <w:szCs w:val="16"/>
        </w:rPr>
        <w:t>S</w:t>
      </w:r>
      <w:r w:rsidRPr="00C534AE">
        <w:rPr>
          <w:sz w:val="16"/>
          <w:szCs w:val="16"/>
        </w:rPr>
        <w:t>tavební výrobky z jílovitých materiálů, cement, vápno</w:t>
      </w:r>
      <w:r>
        <w:rPr>
          <w:sz w:val="16"/>
          <w:szCs w:val="16"/>
        </w:rPr>
        <w:t>,</w:t>
      </w:r>
      <w:r w:rsidRPr="00C534AE">
        <w:rPr>
          <w:sz w:val="16"/>
          <w:szCs w:val="16"/>
        </w:rPr>
        <w:t xml:space="preserve"> sádra a</w:t>
      </w:r>
      <w:r>
        <w:rPr>
          <w:sz w:val="16"/>
          <w:szCs w:val="16"/>
        </w:rPr>
        <w:t> </w:t>
      </w:r>
      <w:r w:rsidRPr="00C534AE">
        <w:rPr>
          <w:sz w:val="16"/>
          <w:szCs w:val="16"/>
        </w:rPr>
        <w:t>výrobky z nich a</w:t>
      </w:r>
      <w:r>
        <w:rPr>
          <w:sz w:val="16"/>
          <w:szCs w:val="16"/>
        </w:rPr>
        <w:t> </w:t>
      </w:r>
      <w:r w:rsidRPr="00C534AE">
        <w:rPr>
          <w:sz w:val="16"/>
          <w:szCs w:val="16"/>
        </w:rPr>
        <w:t>řezaný, tvarovaný a</w:t>
      </w:r>
      <w:r>
        <w:rPr>
          <w:sz w:val="16"/>
          <w:szCs w:val="16"/>
        </w:rPr>
        <w:t> </w:t>
      </w:r>
      <w:r w:rsidRPr="00C534AE">
        <w:rPr>
          <w:sz w:val="16"/>
          <w:szCs w:val="16"/>
        </w:rPr>
        <w:t>upravený kámen</w:t>
      </w:r>
      <w:r>
        <w:rPr>
          <w:sz w:val="16"/>
          <w:szCs w:val="16"/>
        </w:rPr>
        <w:t>.</w:t>
      </w:r>
    </w:p>
  </w:footnote>
  <w:footnote w:id="4">
    <w:p w14:paraId="25D566E1" w14:textId="77777777" w:rsidR="003474B6" w:rsidRPr="009549E7" w:rsidRDefault="003474B6" w:rsidP="00C715CC">
      <w:pPr>
        <w:pStyle w:val="Textpoznpodarou"/>
        <w:rPr>
          <w:sz w:val="16"/>
          <w:szCs w:val="16"/>
        </w:rPr>
      </w:pPr>
      <w:r w:rsidRPr="009549E7">
        <w:rPr>
          <w:rStyle w:val="Znakapoznpodarou"/>
          <w:sz w:val="16"/>
          <w:szCs w:val="16"/>
        </w:rPr>
        <w:footnoteRef/>
      </w:r>
      <w:r w:rsidRPr="009549E7">
        <w:rPr>
          <w:sz w:val="16"/>
          <w:szCs w:val="16"/>
        </w:rPr>
        <w:t xml:space="preserve"> Africký mor prasat. Podle údajů Státní veterinární správy byl ke dni 13. 8. 2019 hlášen výskyt na Ukrajině, v Srbsku a v 10</w:t>
      </w:r>
      <w:r>
        <w:rPr>
          <w:sz w:val="16"/>
          <w:szCs w:val="16"/>
        </w:rPr>
        <w:t> </w:t>
      </w:r>
      <w:r w:rsidRPr="009549E7">
        <w:rPr>
          <w:sz w:val="16"/>
          <w:szCs w:val="16"/>
        </w:rPr>
        <w:t>členských státech EU: Belgii, Bulharsku, Estonsku, Itálii (výskyt pouze na Sardinii), Litvě, Lotyšsku, Maďarsku, Polsku, Rumunsku a Slovensku.</w:t>
      </w:r>
    </w:p>
  </w:footnote>
  <w:footnote w:id="5">
    <w:p w14:paraId="716F198F" w14:textId="77777777" w:rsidR="003474B6" w:rsidRPr="00940B11" w:rsidRDefault="003474B6" w:rsidP="00C715CC">
      <w:pPr>
        <w:pStyle w:val="Textpoznpodarou"/>
        <w:rPr>
          <w:sz w:val="16"/>
          <w:szCs w:val="16"/>
        </w:rPr>
      </w:pPr>
      <w:r w:rsidRPr="00940B11">
        <w:rPr>
          <w:rStyle w:val="Znakapoznpodarou"/>
          <w:sz w:val="16"/>
          <w:szCs w:val="16"/>
        </w:rPr>
        <w:footnoteRef/>
      </w:r>
      <w:r w:rsidRPr="00940B11">
        <w:rPr>
          <w:sz w:val="16"/>
          <w:szCs w:val="16"/>
        </w:rPr>
        <w:t xml:space="preserve"> SITC</w:t>
      </w:r>
      <w:r>
        <w:rPr>
          <w:sz w:val="16"/>
          <w:szCs w:val="16"/>
        </w:rPr>
        <w:t> </w:t>
      </w:r>
      <w:r w:rsidRPr="00940B11">
        <w:rPr>
          <w:sz w:val="16"/>
          <w:szCs w:val="16"/>
        </w:rPr>
        <w:t>6</w:t>
      </w:r>
      <w:r>
        <w:rPr>
          <w:sz w:val="16"/>
          <w:szCs w:val="16"/>
        </w:rPr>
        <w:t> </w:t>
      </w:r>
      <w:r w:rsidRPr="00940B11">
        <w:rPr>
          <w:sz w:val="16"/>
          <w:szCs w:val="16"/>
        </w:rPr>
        <w:t>– tržní výrobky tříděné hlavně podle materiálu.</w:t>
      </w:r>
    </w:p>
  </w:footnote>
  <w:footnote w:id="6">
    <w:p w14:paraId="4E34730B" w14:textId="77777777" w:rsidR="003474B6" w:rsidRPr="00940B11" w:rsidRDefault="003474B6" w:rsidP="00C715CC">
      <w:pPr>
        <w:pStyle w:val="Textpoznpodarou"/>
        <w:rPr>
          <w:sz w:val="16"/>
          <w:szCs w:val="16"/>
        </w:rPr>
      </w:pPr>
      <w:r w:rsidRPr="00940B11">
        <w:rPr>
          <w:rStyle w:val="Znakapoznpodarou"/>
          <w:sz w:val="16"/>
          <w:szCs w:val="16"/>
        </w:rPr>
        <w:footnoteRef/>
      </w:r>
      <w:r w:rsidRPr="00940B11">
        <w:rPr>
          <w:sz w:val="16"/>
          <w:szCs w:val="16"/>
        </w:rPr>
        <w:t xml:space="preserve"> SITC</w:t>
      </w:r>
      <w:r>
        <w:rPr>
          <w:sz w:val="16"/>
          <w:szCs w:val="16"/>
        </w:rPr>
        <w:t> </w:t>
      </w:r>
      <w:r w:rsidRPr="00940B11">
        <w:rPr>
          <w:sz w:val="16"/>
          <w:szCs w:val="16"/>
        </w:rPr>
        <w:t>2</w:t>
      </w:r>
      <w:r>
        <w:rPr>
          <w:sz w:val="16"/>
          <w:szCs w:val="16"/>
        </w:rPr>
        <w:t> </w:t>
      </w:r>
      <w:r w:rsidRPr="00940B11">
        <w:rPr>
          <w:sz w:val="16"/>
          <w:szCs w:val="16"/>
        </w:rPr>
        <w:t>– suroviny nepoživatelné s výjimkou paliv.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985C8" w14:textId="77777777" w:rsidR="003474B6" w:rsidRDefault="003474B6" w:rsidP="00937AE2">
    <w:pPr>
      <w:pStyle w:val="Zhlav"/>
    </w:pPr>
    <w:r>
      <w:t>Vývoj ekonomiky České republiky</w:t>
    </w:r>
  </w:p>
  <w:p w14:paraId="675E4C41" w14:textId="77777777" w:rsidR="003474B6" w:rsidRPr="006F5416" w:rsidRDefault="003474B6"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812FB" w14:textId="77777777" w:rsidR="003474B6" w:rsidRDefault="003474B6" w:rsidP="00937AE2">
    <w:pPr>
      <w:pStyle w:val="Zhlav"/>
    </w:pPr>
    <w:r>
      <w:t>Vývoj ekonomiky České republiky</w:t>
    </w:r>
  </w:p>
  <w:p w14:paraId="0CDCFD48" w14:textId="77777777" w:rsidR="003474B6" w:rsidRPr="006F5416" w:rsidRDefault="003474B6"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4"/>
  </w:num>
  <w:num w:numId="14">
    <w:abstractNumId w:val="12"/>
  </w:num>
  <w:num w:numId="15">
    <w:abstractNumId w:val="18"/>
  </w:num>
  <w:num w:numId="16">
    <w:abstractNumId w:val="14"/>
  </w:num>
  <w:num w:numId="17">
    <w:abstractNumId w:val="25"/>
  </w:num>
  <w:num w:numId="18">
    <w:abstractNumId w:val="19"/>
  </w:num>
  <w:num w:numId="19">
    <w:abstractNumId w:val="26"/>
  </w:num>
  <w:num w:numId="20">
    <w:abstractNumId w:val="27"/>
  </w:num>
  <w:num w:numId="21">
    <w:abstractNumId w:val="23"/>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28"/>
    <w:rsid w:val="000005AF"/>
    <w:rsid w:val="00000B55"/>
    <w:rsid w:val="0000209D"/>
    <w:rsid w:val="00002566"/>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128E"/>
    <w:rsid w:val="00011912"/>
    <w:rsid w:val="0001387D"/>
    <w:rsid w:val="00016420"/>
    <w:rsid w:val="00017B01"/>
    <w:rsid w:val="000205D1"/>
    <w:rsid w:val="00020F22"/>
    <w:rsid w:val="0002195D"/>
    <w:rsid w:val="000228AE"/>
    <w:rsid w:val="000233D1"/>
    <w:rsid w:val="000234D6"/>
    <w:rsid w:val="00023D29"/>
    <w:rsid w:val="00024348"/>
    <w:rsid w:val="00026389"/>
    <w:rsid w:val="000279E5"/>
    <w:rsid w:val="00031AE0"/>
    <w:rsid w:val="00031BB2"/>
    <w:rsid w:val="000322EF"/>
    <w:rsid w:val="00033FCD"/>
    <w:rsid w:val="00034DF7"/>
    <w:rsid w:val="00034E68"/>
    <w:rsid w:val="000350C8"/>
    <w:rsid w:val="00036195"/>
    <w:rsid w:val="000374B2"/>
    <w:rsid w:val="000376C0"/>
    <w:rsid w:val="000403A7"/>
    <w:rsid w:val="00040632"/>
    <w:rsid w:val="00041AFC"/>
    <w:rsid w:val="00041CEC"/>
    <w:rsid w:val="00044183"/>
    <w:rsid w:val="0004431D"/>
    <w:rsid w:val="0004694F"/>
    <w:rsid w:val="00046F2F"/>
    <w:rsid w:val="00047AD4"/>
    <w:rsid w:val="00047D54"/>
    <w:rsid w:val="00051506"/>
    <w:rsid w:val="000522E4"/>
    <w:rsid w:val="00053713"/>
    <w:rsid w:val="0005434E"/>
    <w:rsid w:val="00055CB6"/>
    <w:rsid w:val="000572DD"/>
    <w:rsid w:val="00057B1E"/>
    <w:rsid w:val="000610E1"/>
    <w:rsid w:val="000616AD"/>
    <w:rsid w:val="000622A6"/>
    <w:rsid w:val="00062EC5"/>
    <w:rsid w:val="00062F22"/>
    <w:rsid w:val="00063975"/>
    <w:rsid w:val="00063CEA"/>
    <w:rsid w:val="0006444D"/>
    <w:rsid w:val="000645FC"/>
    <w:rsid w:val="0006533F"/>
    <w:rsid w:val="00065348"/>
    <w:rsid w:val="00065A75"/>
    <w:rsid w:val="00066558"/>
    <w:rsid w:val="00070A87"/>
    <w:rsid w:val="000712B3"/>
    <w:rsid w:val="00072FF5"/>
    <w:rsid w:val="0007474E"/>
    <w:rsid w:val="00074988"/>
    <w:rsid w:val="0007512B"/>
    <w:rsid w:val="00075551"/>
    <w:rsid w:val="000767F5"/>
    <w:rsid w:val="00076D90"/>
    <w:rsid w:val="00077FF0"/>
    <w:rsid w:val="00081A55"/>
    <w:rsid w:val="0008263E"/>
    <w:rsid w:val="00082C19"/>
    <w:rsid w:val="00082F89"/>
    <w:rsid w:val="000837CD"/>
    <w:rsid w:val="00084BFF"/>
    <w:rsid w:val="00085395"/>
    <w:rsid w:val="00086896"/>
    <w:rsid w:val="00086AC1"/>
    <w:rsid w:val="00086D19"/>
    <w:rsid w:val="00087634"/>
    <w:rsid w:val="00087F2B"/>
    <w:rsid w:val="00090694"/>
    <w:rsid w:val="00090FC6"/>
    <w:rsid w:val="000913B1"/>
    <w:rsid w:val="00093241"/>
    <w:rsid w:val="00094A84"/>
    <w:rsid w:val="00095025"/>
    <w:rsid w:val="00095135"/>
    <w:rsid w:val="0009626E"/>
    <w:rsid w:val="00097191"/>
    <w:rsid w:val="000974D1"/>
    <w:rsid w:val="0009799E"/>
    <w:rsid w:val="000A07CB"/>
    <w:rsid w:val="000A0BC0"/>
    <w:rsid w:val="000A1183"/>
    <w:rsid w:val="000A212B"/>
    <w:rsid w:val="000A242D"/>
    <w:rsid w:val="000A256D"/>
    <w:rsid w:val="000A3A2C"/>
    <w:rsid w:val="000A3D9E"/>
    <w:rsid w:val="000A4A54"/>
    <w:rsid w:val="000A4ED9"/>
    <w:rsid w:val="000A5DB7"/>
    <w:rsid w:val="000A6D94"/>
    <w:rsid w:val="000A7377"/>
    <w:rsid w:val="000A7FF4"/>
    <w:rsid w:val="000B03CC"/>
    <w:rsid w:val="000B4212"/>
    <w:rsid w:val="000C0EA8"/>
    <w:rsid w:val="000C13A2"/>
    <w:rsid w:val="000C21E7"/>
    <w:rsid w:val="000C23EC"/>
    <w:rsid w:val="000C30C3"/>
    <w:rsid w:val="000C3408"/>
    <w:rsid w:val="000C35AB"/>
    <w:rsid w:val="000C3F7B"/>
    <w:rsid w:val="000C4769"/>
    <w:rsid w:val="000C4D56"/>
    <w:rsid w:val="000C5DFA"/>
    <w:rsid w:val="000C6AFD"/>
    <w:rsid w:val="000C6C90"/>
    <w:rsid w:val="000D0A26"/>
    <w:rsid w:val="000D3058"/>
    <w:rsid w:val="000D310A"/>
    <w:rsid w:val="000D3EF4"/>
    <w:rsid w:val="000D5637"/>
    <w:rsid w:val="000D6F4E"/>
    <w:rsid w:val="000E0E96"/>
    <w:rsid w:val="000E298B"/>
    <w:rsid w:val="000E2C7D"/>
    <w:rsid w:val="000E440D"/>
    <w:rsid w:val="000E4AC5"/>
    <w:rsid w:val="000E6253"/>
    <w:rsid w:val="000E6E4D"/>
    <w:rsid w:val="000E6FBD"/>
    <w:rsid w:val="000E6FCB"/>
    <w:rsid w:val="000F090B"/>
    <w:rsid w:val="000F3F3B"/>
    <w:rsid w:val="000F47E8"/>
    <w:rsid w:val="000F70E4"/>
    <w:rsid w:val="000F76EA"/>
    <w:rsid w:val="00100F5C"/>
    <w:rsid w:val="00101CDA"/>
    <w:rsid w:val="00102037"/>
    <w:rsid w:val="00103DCB"/>
    <w:rsid w:val="00104C4C"/>
    <w:rsid w:val="00105015"/>
    <w:rsid w:val="001055D2"/>
    <w:rsid w:val="001057C2"/>
    <w:rsid w:val="0011038E"/>
    <w:rsid w:val="001125EF"/>
    <w:rsid w:val="00112CAB"/>
    <w:rsid w:val="00116D3F"/>
    <w:rsid w:val="00117474"/>
    <w:rsid w:val="00117623"/>
    <w:rsid w:val="00117FEA"/>
    <w:rsid w:val="001200CF"/>
    <w:rsid w:val="001208E3"/>
    <w:rsid w:val="0012192F"/>
    <w:rsid w:val="00122994"/>
    <w:rsid w:val="00124B46"/>
    <w:rsid w:val="001257E0"/>
    <w:rsid w:val="00125D69"/>
    <w:rsid w:val="0012799C"/>
    <w:rsid w:val="00127BC2"/>
    <w:rsid w:val="00127E15"/>
    <w:rsid w:val="00130ADC"/>
    <w:rsid w:val="00130D9F"/>
    <w:rsid w:val="00132C4D"/>
    <w:rsid w:val="00133FC1"/>
    <w:rsid w:val="00134659"/>
    <w:rsid w:val="001405FA"/>
    <w:rsid w:val="00140D1A"/>
    <w:rsid w:val="00141184"/>
    <w:rsid w:val="00141315"/>
    <w:rsid w:val="00141AA0"/>
    <w:rsid w:val="001425C3"/>
    <w:rsid w:val="0014262D"/>
    <w:rsid w:val="00144588"/>
    <w:rsid w:val="001447DD"/>
    <w:rsid w:val="001459BC"/>
    <w:rsid w:val="00152F4F"/>
    <w:rsid w:val="001544A1"/>
    <w:rsid w:val="001553B8"/>
    <w:rsid w:val="001554C2"/>
    <w:rsid w:val="001571C0"/>
    <w:rsid w:val="0015753D"/>
    <w:rsid w:val="00157CC9"/>
    <w:rsid w:val="00160C21"/>
    <w:rsid w:val="001612F4"/>
    <w:rsid w:val="00161553"/>
    <w:rsid w:val="0016256B"/>
    <w:rsid w:val="00162F81"/>
    <w:rsid w:val="00163793"/>
    <w:rsid w:val="00165313"/>
    <w:rsid w:val="00167485"/>
    <w:rsid w:val="00167CB9"/>
    <w:rsid w:val="00167DD8"/>
    <w:rsid w:val="001705AD"/>
    <w:rsid w:val="001706D6"/>
    <w:rsid w:val="001714F2"/>
    <w:rsid w:val="00171FEA"/>
    <w:rsid w:val="00175B9F"/>
    <w:rsid w:val="001762F4"/>
    <w:rsid w:val="00181BBC"/>
    <w:rsid w:val="0018385F"/>
    <w:rsid w:val="00184017"/>
    <w:rsid w:val="001847BB"/>
    <w:rsid w:val="00184B08"/>
    <w:rsid w:val="00185010"/>
    <w:rsid w:val="00185C22"/>
    <w:rsid w:val="00186BA9"/>
    <w:rsid w:val="0019196C"/>
    <w:rsid w:val="00192F05"/>
    <w:rsid w:val="00194729"/>
    <w:rsid w:val="00194850"/>
    <w:rsid w:val="00195234"/>
    <w:rsid w:val="00196016"/>
    <w:rsid w:val="00196117"/>
    <w:rsid w:val="00197A70"/>
    <w:rsid w:val="00197C0F"/>
    <w:rsid w:val="001A0487"/>
    <w:rsid w:val="001A1F68"/>
    <w:rsid w:val="001A21FA"/>
    <w:rsid w:val="001A4EF0"/>
    <w:rsid w:val="001A552F"/>
    <w:rsid w:val="001B2CA9"/>
    <w:rsid w:val="001B3110"/>
    <w:rsid w:val="001B3E38"/>
    <w:rsid w:val="001B40F5"/>
    <w:rsid w:val="001B4729"/>
    <w:rsid w:val="001B4F0E"/>
    <w:rsid w:val="001B6310"/>
    <w:rsid w:val="001B6C09"/>
    <w:rsid w:val="001B6E12"/>
    <w:rsid w:val="001C05CD"/>
    <w:rsid w:val="001C0F17"/>
    <w:rsid w:val="001C1B24"/>
    <w:rsid w:val="001C1B66"/>
    <w:rsid w:val="001C31A2"/>
    <w:rsid w:val="001C4BB8"/>
    <w:rsid w:val="001C4FD0"/>
    <w:rsid w:val="001C5E46"/>
    <w:rsid w:val="001C6B3B"/>
    <w:rsid w:val="001C7E3F"/>
    <w:rsid w:val="001D0EF1"/>
    <w:rsid w:val="001D22C2"/>
    <w:rsid w:val="001D2C99"/>
    <w:rsid w:val="001D452E"/>
    <w:rsid w:val="001D54C1"/>
    <w:rsid w:val="001D556E"/>
    <w:rsid w:val="001D5DF2"/>
    <w:rsid w:val="001D68B2"/>
    <w:rsid w:val="001D7EFD"/>
    <w:rsid w:val="001D7F60"/>
    <w:rsid w:val="001E3306"/>
    <w:rsid w:val="001E504C"/>
    <w:rsid w:val="001E5A17"/>
    <w:rsid w:val="001E74C5"/>
    <w:rsid w:val="001F1236"/>
    <w:rsid w:val="001F2F90"/>
    <w:rsid w:val="001F4597"/>
    <w:rsid w:val="001F4826"/>
    <w:rsid w:val="001F7CE0"/>
    <w:rsid w:val="00200085"/>
    <w:rsid w:val="00203332"/>
    <w:rsid w:val="00203CD5"/>
    <w:rsid w:val="00203D8F"/>
    <w:rsid w:val="00203DA4"/>
    <w:rsid w:val="00205186"/>
    <w:rsid w:val="00206516"/>
    <w:rsid w:val="002071D5"/>
    <w:rsid w:val="002111E5"/>
    <w:rsid w:val="002118B9"/>
    <w:rsid w:val="002142C0"/>
    <w:rsid w:val="00217C5B"/>
    <w:rsid w:val="00220A43"/>
    <w:rsid w:val="0022139E"/>
    <w:rsid w:val="00222729"/>
    <w:rsid w:val="00223185"/>
    <w:rsid w:val="002233D6"/>
    <w:rsid w:val="0022441D"/>
    <w:rsid w:val="00224574"/>
    <w:rsid w:val="00224E3F"/>
    <w:rsid w:val="002252E0"/>
    <w:rsid w:val="002255F6"/>
    <w:rsid w:val="00226032"/>
    <w:rsid w:val="0022738D"/>
    <w:rsid w:val="00227605"/>
    <w:rsid w:val="00227850"/>
    <w:rsid w:val="00227A53"/>
    <w:rsid w:val="00227E2E"/>
    <w:rsid w:val="00227F53"/>
    <w:rsid w:val="00230C6E"/>
    <w:rsid w:val="00230E21"/>
    <w:rsid w:val="002316A8"/>
    <w:rsid w:val="002320C9"/>
    <w:rsid w:val="0023288F"/>
    <w:rsid w:val="00233603"/>
    <w:rsid w:val="002340EF"/>
    <w:rsid w:val="00234B82"/>
    <w:rsid w:val="00236443"/>
    <w:rsid w:val="00236700"/>
    <w:rsid w:val="00240391"/>
    <w:rsid w:val="00240AF3"/>
    <w:rsid w:val="002418D5"/>
    <w:rsid w:val="00241B06"/>
    <w:rsid w:val="002436BA"/>
    <w:rsid w:val="00244652"/>
    <w:rsid w:val="00244A15"/>
    <w:rsid w:val="002452D9"/>
    <w:rsid w:val="00247319"/>
    <w:rsid w:val="0024799E"/>
    <w:rsid w:val="00247E60"/>
    <w:rsid w:val="00251C53"/>
    <w:rsid w:val="00252AB9"/>
    <w:rsid w:val="00253C0F"/>
    <w:rsid w:val="002558C1"/>
    <w:rsid w:val="00256207"/>
    <w:rsid w:val="002575F3"/>
    <w:rsid w:val="002603E1"/>
    <w:rsid w:val="0026120E"/>
    <w:rsid w:val="00262582"/>
    <w:rsid w:val="0026291D"/>
    <w:rsid w:val="00264309"/>
    <w:rsid w:val="0026564B"/>
    <w:rsid w:val="00265C83"/>
    <w:rsid w:val="00265E85"/>
    <w:rsid w:val="00267B49"/>
    <w:rsid w:val="002700D9"/>
    <w:rsid w:val="0027025F"/>
    <w:rsid w:val="002709CC"/>
    <w:rsid w:val="00270D25"/>
    <w:rsid w:val="00271022"/>
    <w:rsid w:val="00271465"/>
    <w:rsid w:val="00271E47"/>
    <w:rsid w:val="002721F5"/>
    <w:rsid w:val="00272DF4"/>
    <w:rsid w:val="0027583D"/>
    <w:rsid w:val="00275DEF"/>
    <w:rsid w:val="002763A2"/>
    <w:rsid w:val="00276B33"/>
    <w:rsid w:val="002812E3"/>
    <w:rsid w:val="0028341F"/>
    <w:rsid w:val="002837AE"/>
    <w:rsid w:val="00283C13"/>
    <w:rsid w:val="00283F7B"/>
    <w:rsid w:val="0028431A"/>
    <w:rsid w:val="002853FA"/>
    <w:rsid w:val="00285412"/>
    <w:rsid w:val="00286220"/>
    <w:rsid w:val="00291640"/>
    <w:rsid w:val="0029237E"/>
    <w:rsid w:val="00292997"/>
    <w:rsid w:val="00293D24"/>
    <w:rsid w:val="0029509B"/>
    <w:rsid w:val="0029588F"/>
    <w:rsid w:val="00297256"/>
    <w:rsid w:val="00297A5C"/>
    <w:rsid w:val="00297D51"/>
    <w:rsid w:val="002A0122"/>
    <w:rsid w:val="002A016B"/>
    <w:rsid w:val="002A16D4"/>
    <w:rsid w:val="002A1E4F"/>
    <w:rsid w:val="002A230C"/>
    <w:rsid w:val="002A2AF7"/>
    <w:rsid w:val="002A3209"/>
    <w:rsid w:val="002A3EA2"/>
    <w:rsid w:val="002A51AC"/>
    <w:rsid w:val="002A532A"/>
    <w:rsid w:val="002A5846"/>
    <w:rsid w:val="002A5D97"/>
    <w:rsid w:val="002A603E"/>
    <w:rsid w:val="002A63B9"/>
    <w:rsid w:val="002A7089"/>
    <w:rsid w:val="002B1619"/>
    <w:rsid w:val="002B3EF4"/>
    <w:rsid w:val="002B4845"/>
    <w:rsid w:val="002B5567"/>
    <w:rsid w:val="002B5812"/>
    <w:rsid w:val="002B72AA"/>
    <w:rsid w:val="002C1110"/>
    <w:rsid w:val="002C1F09"/>
    <w:rsid w:val="002C22A4"/>
    <w:rsid w:val="002C260B"/>
    <w:rsid w:val="002C27A6"/>
    <w:rsid w:val="002C398D"/>
    <w:rsid w:val="002C40D2"/>
    <w:rsid w:val="002C43BD"/>
    <w:rsid w:val="002C5245"/>
    <w:rsid w:val="002C59D8"/>
    <w:rsid w:val="002D05CB"/>
    <w:rsid w:val="002D0E59"/>
    <w:rsid w:val="002D2C4F"/>
    <w:rsid w:val="002D3EBB"/>
    <w:rsid w:val="002D455C"/>
    <w:rsid w:val="002D6066"/>
    <w:rsid w:val="002E02A1"/>
    <w:rsid w:val="002E196A"/>
    <w:rsid w:val="002E20C7"/>
    <w:rsid w:val="002E20CD"/>
    <w:rsid w:val="002E222E"/>
    <w:rsid w:val="002E28D8"/>
    <w:rsid w:val="002E37D1"/>
    <w:rsid w:val="002E3BEE"/>
    <w:rsid w:val="002E4E4C"/>
    <w:rsid w:val="002E4EA7"/>
    <w:rsid w:val="002E5846"/>
    <w:rsid w:val="002E792B"/>
    <w:rsid w:val="002F1B09"/>
    <w:rsid w:val="002F1D56"/>
    <w:rsid w:val="002F1DCB"/>
    <w:rsid w:val="002F1DE4"/>
    <w:rsid w:val="002F333D"/>
    <w:rsid w:val="002F351A"/>
    <w:rsid w:val="002F46D6"/>
    <w:rsid w:val="002F498A"/>
    <w:rsid w:val="002F4AD8"/>
    <w:rsid w:val="002F5285"/>
    <w:rsid w:val="002F5820"/>
    <w:rsid w:val="002F64BB"/>
    <w:rsid w:val="00300C31"/>
    <w:rsid w:val="003017EC"/>
    <w:rsid w:val="00302165"/>
    <w:rsid w:val="00304771"/>
    <w:rsid w:val="003052D4"/>
    <w:rsid w:val="003060E9"/>
    <w:rsid w:val="00306C5B"/>
    <w:rsid w:val="00307529"/>
    <w:rsid w:val="00307DB3"/>
    <w:rsid w:val="00307ED2"/>
    <w:rsid w:val="0031076D"/>
    <w:rsid w:val="00311AA6"/>
    <w:rsid w:val="00311C4D"/>
    <w:rsid w:val="003121AB"/>
    <w:rsid w:val="00315169"/>
    <w:rsid w:val="003153C8"/>
    <w:rsid w:val="00315524"/>
    <w:rsid w:val="0032058C"/>
    <w:rsid w:val="003208D0"/>
    <w:rsid w:val="003209D6"/>
    <w:rsid w:val="003217B9"/>
    <w:rsid w:val="00321924"/>
    <w:rsid w:val="00321EB6"/>
    <w:rsid w:val="003220A5"/>
    <w:rsid w:val="00323A1C"/>
    <w:rsid w:val="00324B59"/>
    <w:rsid w:val="0032656E"/>
    <w:rsid w:val="0032788F"/>
    <w:rsid w:val="00332190"/>
    <w:rsid w:val="00332A98"/>
    <w:rsid w:val="00333973"/>
    <w:rsid w:val="00333CD0"/>
    <w:rsid w:val="0033448D"/>
    <w:rsid w:val="00334AD2"/>
    <w:rsid w:val="0033709C"/>
    <w:rsid w:val="003370C5"/>
    <w:rsid w:val="003373C6"/>
    <w:rsid w:val="00340BF3"/>
    <w:rsid w:val="00341D26"/>
    <w:rsid w:val="00341F05"/>
    <w:rsid w:val="0034335E"/>
    <w:rsid w:val="00344668"/>
    <w:rsid w:val="00346234"/>
    <w:rsid w:val="003462D9"/>
    <w:rsid w:val="0034723F"/>
    <w:rsid w:val="00347247"/>
    <w:rsid w:val="003474B6"/>
    <w:rsid w:val="00347DD4"/>
    <w:rsid w:val="00352B43"/>
    <w:rsid w:val="00352C28"/>
    <w:rsid w:val="0036077F"/>
    <w:rsid w:val="00360C86"/>
    <w:rsid w:val="00360F7A"/>
    <w:rsid w:val="00360FBC"/>
    <w:rsid w:val="00361537"/>
    <w:rsid w:val="0036242A"/>
    <w:rsid w:val="00362C23"/>
    <w:rsid w:val="00362E90"/>
    <w:rsid w:val="00364FA0"/>
    <w:rsid w:val="003657F3"/>
    <w:rsid w:val="00365844"/>
    <w:rsid w:val="00367F84"/>
    <w:rsid w:val="003712BC"/>
    <w:rsid w:val="00372164"/>
    <w:rsid w:val="003738BD"/>
    <w:rsid w:val="00374263"/>
    <w:rsid w:val="003746F0"/>
    <w:rsid w:val="00374A20"/>
    <w:rsid w:val="00374E21"/>
    <w:rsid w:val="00377B2E"/>
    <w:rsid w:val="003810F0"/>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6739"/>
    <w:rsid w:val="003A04F6"/>
    <w:rsid w:val="003A0837"/>
    <w:rsid w:val="003A2B4D"/>
    <w:rsid w:val="003A2D12"/>
    <w:rsid w:val="003A2EBA"/>
    <w:rsid w:val="003A45E3"/>
    <w:rsid w:val="003A478C"/>
    <w:rsid w:val="003A4A38"/>
    <w:rsid w:val="003A5525"/>
    <w:rsid w:val="003A5889"/>
    <w:rsid w:val="003A6B38"/>
    <w:rsid w:val="003A6B83"/>
    <w:rsid w:val="003A6C97"/>
    <w:rsid w:val="003A722F"/>
    <w:rsid w:val="003A7373"/>
    <w:rsid w:val="003A7D09"/>
    <w:rsid w:val="003B039F"/>
    <w:rsid w:val="003B0DF4"/>
    <w:rsid w:val="003B1F9D"/>
    <w:rsid w:val="003B2A8D"/>
    <w:rsid w:val="003B2AD1"/>
    <w:rsid w:val="003B2D2E"/>
    <w:rsid w:val="003B461F"/>
    <w:rsid w:val="003B483F"/>
    <w:rsid w:val="003B4998"/>
    <w:rsid w:val="003B5A32"/>
    <w:rsid w:val="003B7B50"/>
    <w:rsid w:val="003C0B07"/>
    <w:rsid w:val="003C2CE7"/>
    <w:rsid w:val="003C3490"/>
    <w:rsid w:val="003C3608"/>
    <w:rsid w:val="003C3AE8"/>
    <w:rsid w:val="003C3D2C"/>
    <w:rsid w:val="003C4E13"/>
    <w:rsid w:val="003C6221"/>
    <w:rsid w:val="003C63D7"/>
    <w:rsid w:val="003C68CC"/>
    <w:rsid w:val="003C7E62"/>
    <w:rsid w:val="003D12B9"/>
    <w:rsid w:val="003D1E7A"/>
    <w:rsid w:val="003D242B"/>
    <w:rsid w:val="003D2492"/>
    <w:rsid w:val="003D29AA"/>
    <w:rsid w:val="003D2A99"/>
    <w:rsid w:val="003D6920"/>
    <w:rsid w:val="003E1EF8"/>
    <w:rsid w:val="003E2DFB"/>
    <w:rsid w:val="003E4C91"/>
    <w:rsid w:val="003E52D8"/>
    <w:rsid w:val="003E62F1"/>
    <w:rsid w:val="003F313C"/>
    <w:rsid w:val="003F37FC"/>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5318"/>
    <w:rsid w:val="004059D2"/>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20880"/>
    <w:rsid w:val="00421179"/>
    <w:rsid w:val="00430C96"/>
    <w:rsid w:val="00431BFF"/>
    <w:rsid w:val="00432199"/>
    <w:rsid w:val="00432A58"/>
    <w:rsid w:val="004331C3"/>
    <w:rsid w:val="00433C17"/>
    <w:rsid w:val="00434617"/>
    <w:rsid w:val="00435051"/>
    <w:rsid w:val="00435C69"/>
    <w:rsid w:val="004360FB"/>
    <w:rsid w:val="00437CED"/>
    <w:rsid w:val="004407BF"/>
    <w:rsid w:val="00440900"/>
    <w:rsid w:val="0044121D"/>
    <w:rsid w:val="00441BF6"/>
    <w:rsid w:val="00441D2B"/>
    <w:rsid w:val="0044279E"/>
    <w:rsid w:val="004441A0"/>
    <w:rsid w:val="00445861"/>
    <w:rsid w:val="00445A8E"/>
    <w:rsid w:val="00446D44"/>
    <w:rsid w:val="0045078A"/>
    <w:rsid w:val="0045086D"/>
    <w:rsid w:val="00450DAB"/>
    <w:rsid w:val="00451EF1"/>
    <w:rsid w:val="00452E60"/>
    <w:rsid w:val="0045321B"/>
    <w:rsid w:val="00456FE5"/>
    <w:rsid w:val="00457490"/>
    <w:rsid w:val="00457953"/>
    <w:rsid w:val="004604D8"/>
    <w:rsid w:val="00460656"/>
    <w:rsid w:val="00460FB3"/>
    <w:rsid w:val="00463D3C"/>
    <w:rsid w:val="00464851"/>
    <w:rsid w:val="0046746A"/>
    <w:rsid w:val="00467B14"/>
    <w:rsid w:val="004707FE"/>
    <w:rsid w:val="00470EDC"/>
    <w:rsid w:val="0047276D"/>
    <w:rsid w:val="00472AF6"/>
    <w:rsid w:val="00473482"/>
    <w:rsid w:val="00474A04"/>
    <w:rsid w:val="00476240"/>
    <w:rsid w:val="00476439"/>
    <w:rsid w:val="004769E1"/>
    <w:rsid w:val="0047735C"/>
    <w:rsid w:val="004776BC"/>
    <w:rsid w:val="00477820"/>
    <w:rsid w:val="00477B96"/>
    <w:rsid w:val="00480BAE"/>
    <w:rsid w:val="0048139F"/>
    <w:rsid w:val="00481E40"/>
    <w:rsid w:val="00482405"/>
    <w:rsid w:val="004826A7"/>
    <w:rsid w:val="0048368C"/>
    <w:rsid w:val="0048372F"/>
    <w:rsid w:val="00484ECE"/>
    <w:rsid w:val="00485E82"/>
    <w:rsid w:val="00486132"/>
    <w:rsid w:val="0048686D"/>
    <w:rsid w:val="00486A4D"/>
    <w:rsid w:val="004915CB"/>
    <w:rsid w:val="004924DC"/>
    <w:rsid w:val="00492879"/>
    <w:rsid w:val="00493E85"/>
    <w:rsid w:val="00495145"/>
    <w:rsid w:val="00495BEF"/>
    <w:rsid w:val="004979A5"/>
    <w:rsid w:val="004A0144"/>
    <w:rsid w:val="004A036E"/>
    <w:rsid w:val="004A14E4"/>
    <w:rsid w:val="004A204E"/>
    <w:rsid w:val="004A26A5"/>
    <w:rsid w:val="004A27F0"/>
    <w:rsid w:val="004A3212"/>
    <w:rsid w:val="004A37CD"/>
    <w:rsid w:val="004A40D9"/>
    <w:rsid w:val="004A49A5"/>
    <w:rsid w:val="004A4F8A"/>
    <w:rsid w:val="004A5494"/>
    <w:rsid w:val="004A5D4E"/>
    <w:rsid w:val="004A61C5"/>
    <w:rsid w:val="004A62A0"/>
    <w:rsid w:val="004A77DF"/>
    <w:rsid w:val="004B1417"/>
    <w:rsid w:val="004B305C"/>
    <w:rsid w:val="004B339A"/>
    <w:rsid w:val="004B4C83"/>
    <w:rsid w:val="004B55B7"/>
    <w:rsid w:val="004B5BFA"/>
    <w:rsid w:val="004B6468"/>
    <w:rsid w:val="004B6EF8"/>
    <w:rsid w:val="004B7125"/>
    <w:rsid w:val="004B756A"/>
    <w:rsid w:val="004B7FB1"/>
    <w:rsid w:val="004C0B3F"/>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2E03"/>
    <w:rsid w:val="004D3296"/>
    <w:rsid w:val="004D4056"/>
    <w:rsid w:val="004D4CB0"/>
    <w:rsid w:val="004D5B0F"/>
    <w:rsid w:val="004D7626"/>
    <w:rsid w:val="004E186A"/>
    <w:rsid w:val="004E1A40"/>
    <w:rsid w:val="004E200A"/>
    <w:rsid w:val="004E23FC"/>
    <w:rsid w:val="004E2409"/>
    <w:rsid w:val="004E261D"/>
    <w:rsid w:val="004E57BF"/>
    <w:rsid w:val="004E5F41"/>
    <w:rsid w:val="004E6DE6"/>
    <w:rsid w:val="004E765E"/>
    <w:rsid w:val="004E7815"/>
    <w:rsid w:val="004F06F5"/>
    <w:rsid w:val="004F12A4"/>
    <w:rsid w:val="004F253F"/>
    <w:rsid w:val="004F33A0"/>
    <w:rsid w:val="004F3BD2"/>
    <w:rsid w:val="004F46ED"/>
    <w:rsid w:val="004F4C99"/>
    <w:rsid w:val="004F6539"/>
    <w:rsid w:val="00503D54"/>
    <w:rsid w:val="005048E2"/>
    <w:rsid w:val="00505FC8"/>
    <w:rsid w:val="00506603"/>
    <w:rsid w:val="0050689D"/>
    <w:rsid w:val="005077F5"/>
    <w:rsid w:val="005108C0"/>
    <w:rsid w:val="0051094F"/>
    <w:rsid w:val="00511873"/>
    <w:rsid w:val="00512461"/>
    <w:rsid w:val="00512585"/>
    <w:rsid w:val="00512A2F"/>
    <w:rsid w:val="00513B7E"/>
    <w:rsid w:val="00513E9D"/>
    <w:rsid w:val="0051475D"/>
    <w:rsid w:val="00514B11"/>
    <w:rsid w:val="00515485"/>
    <w:rsid w:val="00515BE9"/>
    <w:rsid w:val="00515C74"/>
    <w:rsid w:val="0051630F"/>
    <w:rsid w:val="00517113"/>
    <w:rsid w:val="0052007E"/>
    <w:rsid w:val="00521CAD"/>
    <w:rsid w:val="0052200D"/>
    <w:rsid w:val="00522E01"/>
    <w:rsid w:val="0052337A"/>
    <w:rsid w:val="00524385"/>
    <w:rsid w:val="005246BE"/>
    <w:rsid w:val="00525137"/>
    <w:rsid w:val="005251DD"/>
    <w:rsid w:val="0053012B"/>
    <w:rsid w:val="005301A6"/>
    <w:rsid w:val="00530A68"/>
    <w:rsid w:val="00530AD4"/>
    <w:rsid w:val="00531C5A"/>
    <w:rsid w:val="00532CE7"/>
    <w:rsid w:val="00532D8B"/>
    <w:rsid w:val="0053324C"/>
    <w:rsid w:val="00534A28"/>
    <w:rsid w:val="00535018"/>
    <w:rsid w:val="0053595E"/>
    <w:rsid w:val="00537571"/>
    <w:rsid w:val="00540056"/>
    <w:rsid w:val="005410E2"/>
    <w:rsid w:val="00541508"/>
    <w:rsid w:val="00541AE3"/>
    <w:rsid w:val="00543498"/>
    <w:rsid w:val="00544011"/>
    <w:rsid w:val="00544BE5"/>
    <w:rsid w:val="005455F6"/>
    <w:rsid w:val="0054582F"/>
    <w:rsid w:val="005500F9"/>
    <w:rsid w:val="00550160"/>
    <w:rsid w:val="005523A8"/>
    <w:rsid w:val="00552F2C"/>
    <w:rsid w:val="00553A25"/>
    <w:rsid w:val="005547EB"/>
    <w:rsid w:val="005555E0"/>
    <w:rsid w:val="0055599F"/>
    <w:rsid w:val="00556D68"/>
    <w:rsid w:val="005570D6"/>
    <w:rsid w:val="00557E45"/>
    <w:rsid w:val="00561F44"/>
    <w:rsid w:val="00562B4D"/>
    <w:rsid w:val="00563EB8"/>
    <w:rsid w:val="005647BF"/>
    <w:rsid w:val="00564AF1"/>
    <w:rsid w:val="005655DB"/>
    <w:rsid w:val="00565E88"/>
    <w:rsid w:val="00570270"/>
    <w:rsid w:val="00570464"/>
    <w:rsid w:val="00570BC3"/>
    <w:rsid w:val="0057182A"/>
    <w:rsid w:val="00571E59"/>
    <w:rsid w:val="00572079"/>
    <w:rsid w:val="00572900"/>
    <w:rsid w:val="00573602"/>
    <w:rsid w:val="0057364B"/>
    <w:rsid w:val="00574773"/>
    <w:rsid w:val="005761EC"/>
    <w:rsid w:val="00577C07"/>
    <w:rsid w:val="00577DB1"/>
    <w:rsid w:val="00580AD3"/>
    <w:rsid w:val="00580DE7"/>
    <w:rsid w:val="005810E1"/>
    <w:rsid w:val="00583E52"/>
    <w:rsid w:val="00583FFD"/>
    <w:rsid w:val="0058519A"/>
    <w:rsid w:val="005856BD"/>
    <w:rsid w:val="00586BCA"/>
    <w:rsid w:val="00587038"/>
    <w:rsid w:val="00590B28"/>
    <w:rsid w:val="005911BE"/>
    <w:rsid w:val="00591273"/>
    <w:rsid w:val="00591E9E"/>
    <w:rsid w:val="005927A4"/>
    <w:rsid w:val="00593152"/>
    <w:rsid w:val="005956A3"/>
    <w:rsid w:val="00595958"/>
    <w:rsid w:val="00595CAB"/>
    <w:rsid w:val="0059622E"/>
    <w:rsid w:val="00597671"/>
    <w:rsid w:val="00597BBF"/>
    <w:rsid w:val="005A0948"/>
    <w:rsid w:val="005A0A03"/>
    <w:rsid w:val="005A10F2"/>
    <w:rsid w:val="005A21E0"/>
    <w:rsid w:val="005A28FF"/>
    <w:rsid w:val="005A2C09"/>
    <w:rsid w:val="005A3778"/>
    <w:rsid w:val="005A3DF8"/>
    <w:rsid w:val="005A5549"/>
    <w:rsid w:val="005A7CF8"/>
    <w:rsid w:val="005B0EDA"/>
    <w:rsid w:val="005B121D"/>
    <w:rsid w:val="005B26B0"/>
    <w:rsid w:val="005B41C9"/>
    <w:rsid w:val="005B44E6"/>
    <w:rsid w:val="005B4853"/>
    <w:rsid w:val="005B6CA1"/>
    <w:rsid w:val="005B770C"/>
    <w:rsid w:val="005C06ED"/>
    <w:rsid w:val="005C11B8"/>
    <w:rsid w:val="005C216C"/>
    <w:rsid w:val="005C2609"/>
    <w:rsid w:val="005C2B30"/>
    <w:rsid w:val="005C412B"/>
    <w:rsid w:val="005C43EC"/>
    <w:rsid w:val="005C45DD"/>
    <w:rsid w:val="005C4CB1"/>
    <w:rsid w:val="005D3F06"/>
    <w:rsid w:val="005D4B73"/>
    <w:rsid w:val="005D5645"/>
    <w:rsid w:val="005D5802"/>
    <w:rsid w:val="005D5AA9"/>
    <w:rsid w:val="005D66E6"/>
    <w:rsid w:val="005D7119"/>
    <w:rsid w:val="005D76C8"/>
    <w:rsid w:val="005D7890"/>
    <w:rsid w:val="005E19C1"/>
    <w:rsid w:val="005E2194"/>
    <w:rsid w:val="005E24F0"/>
    <w:rsid w:val="005E36FE"/>
    <w:rsid w:val="005E3F66"/>
    <w:rsid w:val="005E490F"/>
    <w:rsid w:val="005E4BC9"/>
    <w:rsid w:val="005E5314"/>
    <w:rsid w:val="005E7C78"/>
    <w:rsid w:val="005F04A7"/>
    <w:rsid w:val="005F114F"/>
    <w:rsid w:val="005F18C5"/>
    <w:rsid w:val="005F2A08"/>
    <w:rsid w:val="005F36CC"/>
    <w:rsid w:val="005F3EB1"/>
    <w:rsid w:val="005F413E"/>
    <w:rsid w:val="005F466B"/>
    <w:rsid w:val="005F46D8"/>
    <w:rsid w:val="005F480F"/>
    <w:rsid w:val="005F5469"/>
    <w:rsid w:val="005F63F3"/>
    <w:rsid w:val="005F6D7F"/>
    <w:rsid w:val="005F7174"/>
    <w:rsid w:val="00601ADE"/>
    <w:rsid w:val="00601EEF"/>
    <w:rsid w:val="0060255A"/>
    <w:rsid w:val="00604307"/>
    <w:rsid w:val="0060487F"/>
    <w:rsid w:val="00604EAD"/>
    <w:rsid w:val="0060513F"/>
    <w:rsid w:val="0060694B"/>
    <w:rsid w:val="006104FB"/>
    <w:rsid w:val="0061176D"/>
    <w:rsid w:val="0061200F"/>
    <w:rsid w:val="00612756"/>
    <w:rsid w:val="00612A2F"/>
    <w:rsid w:val="00612AAE"/>
    <w:rsid w:val="00612FD9"/>
    <w:rsid w:val="006139E0"/>
    <w:rsid w:val="00614D35"/>
    <w:rsid w:val="006156B4"/>
    <w:rsid w:val="00615DAF"/>
    <w:rsid w:val="00616E05"/>
    <w:rsid w:val="00617985"/>
    <w:rsid w:val="00620B77"/>
    <w:rsid w:val="0062131B"/>
    <w:rsid w:val="00621E26"/>
    <w:rsid w:val="0062263A"/>
    <w:rsid w:val="006227DF"/>
    <w:rsid w:val="006236C8"/>
    <w:rsid w:val="00624093"/>
    <w:rsid w:val="00625A84"/>
    <w:rsid w:val="00626079"/>
    <w:rsid w:val="00631698"/>
    <w:rsid w:val="00631E44"/>
    <w:rsid w:val="00634C57"/>
    <w:rsid w:val="00634CE7"/>
    <w:rsid w:val="006350D5"/>
    <w:rsid w:val="0063642C"/>
    <w:rsid w:val="00637858"/>
    <w:rsid w:val="006404A7"/>
    <w:rsid w:val="00640A38"/>
    <w:rsid w:val="00641787"/>
    <w:rsid w:val="0064179B"/>
    <w:rsid w:val="00642489"/>
    <w:rsid w:val="00644055"/>
    <w:rsid w:val="00644137"/>
    <w:rsid w:val="0064478C"/>
    <w:rsid w:val="00645160"/>
    <w:rsid w:val="006451E4"/>
    <w:rsid w:val="00645B33"/>
    <w:rsid w:val="006516CB"/>
    <w:rsid w:val="00653BD0"/>
    <w:rsid w:val="00654110"/>
    <w:rsid w:val="00656C5D"/>
    <w:rsid w:val="00656CFB"/>
    <w:rsid w:val="00657E87"/>
    <w:rsid w:val="00660D2D"/>
    <w:rsid w:val="00661C41"/>
    <w:rsid w:val="00661EC9"/>
    <w:rsid w:val="00662469"/>
    <w:rsid w:val="0066411C"/>
    <w:rsid w:val="00664205"/>
    <w:rsid w:val="00664647"/>
    <w:rsid w:val="00664803"/>
    <w:rsid w:val="006653CC"/>
    <w:rsid w:val="00665982"/>
    <w:rsid w:val="00665BA4"/>
    <w:rsid w:val="00666BF3"/>
    <w:rsid w:val="00667856"/>
    <w:rsid w:val="00667AF2"/>
    <w:rsid w:val="00670489"/>
    <w:rsid w:val="006710C9"/>
    <w:rsid w:val="00672586"/>
    <w:rsid w:val="006741CD"/>
    <w:rsid w:val="00674D89"/>
    <w:rsid w:val="0067514E"/>
    <w:rsid w:val="00675E37"/>
    <w:rsid w:val="00676736"/>
    <w:rsid w:val="006769A4"/>
    <w:rsid w:val="00676D76"/>
    <w:rsid w:val="00676F9F"/>
    <w:rsid w:val="00677591"/>
    <w:rsid w:val="00677594"/>
    <w:rsid w:val="0068032F"/>
    <w:rsid w:val="00680D37"/>
    <w:rsid w:val="0068174E"/>
    <w:rsid w:val="00681DCE"/>
    <w:rsid w:val="0068260E"/>
    <w:rsid w:val="006846B3"/>
    <w:rsid w:val="00684D59"/>
    <w:rsid w:val="00684E25"/>
    <w:rsid w:val="006858A4"/>
    <w:rsid w:val="00686718"/>
    <w:rsid w:val="00686BFA"/>
    <w:rsid w:val="00686DED"/>
    <w:rsid w:val="006875A0"/>
    <w:rsid w:val="00687D27"/>
    <w:rsid w:val="00691943"/>
    <w:rsid w:val="00693550"/>
    <w:rsid w:val="00695065"/>
    <w:rsid w:val="00695BEF"/>
    <w:rsid w:val="00696251"/>
    <w:rsid w:val="006966C7"/>
    <w:rsid w:val="006968C1"/>
    <w:rsid w:val="006977F6"/>
    <w:rsid w:val="00697A13"/>
    <w:rsid w:val="006A109C"/>
    <w:rsid w:val="006A5F4B"/>
    <w:rsid w:val="006A65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28CA"/>
    <w:rsid w:val="006C2BBF"/>
    <w:rsid w:val="006C2FBD"/>
    <w:rsid w:val="006C4355"/>
    <w:rsid w:val="006C469D"/>
    <w:rsid w:val="006C46B5"/>
    <w:rsid w:val="006C484F"/>
    <w:rsid w:val="006C52EC"/>
    <w:rsid w:val="006C56D4"/>
    <w:rsid w:val="006C6681"/>
    <w:rsid w:val="006C683C"/>
    <w:rsid w:val="006C6924"/>
    <w:rsid w:val="006C6C1E"/>
    <w:rsid w:val="006C7076"/>
    <w:rsid w:val="006C7AEC"/>
    <w:rsid w:val="006C7CA6"/>
    <w:rsid w:val="006D18B3"/>
    <w:rsid w:val="006D1E89"/>
    <w:rsid w:val="006D317E"/>
    <w:rsid w:val="006D3E8A"/>
    <w:rsid w:val="006D61F6"/>
    <w:rsid w:val="006E1332"/>
    <w:rsid w:val="006E279A"/>
    <w:rsid w:val="006E313B"/>
    <w:rsid w:val="006E3A45"/>
    <w:rsid w:val="006E4078"/>
    <w:rsid w:val="006E53AD"/>
    <w:rsid w:val="006E58CB"/>
    <w:rsid w:val="006E7227"/>
    <w:rsid w:val="006E761A"/>
    <w:rsid w:val="006F0741"/>
    <w:rsid w:val="006F1C27"/>
    <w:rsid w:val="006F2A65"/>
    <w:rsid w:val="006F3DD6"/>
    <w:rsid w:val="006F40DF"/>
    <w:rsid w:val="006F42BB"/>
    <w:rsid w:val="006F438E"/>
    <w:rsid w:val="006F440B"/>
    <w:rsid w:val="006F48A3"/>
    <w:rsid w:val="006F5416"/>
    <w:rsid w:val="006F624B"/>
    <w:rsid w:val="006F6D87"/>
    <w:rsid w:val="0070398A"/>
    <w:rsid w:val="00705242"/>
    <w:rsid w:val="007055E0"/>
    <w:rsid w:val="007056ED"/>
    <w:rsid w:val="00705F4E"/>
    <w:rsid w:val="007065C5"/>
    <w:rsid w:val="007068E1"/>
    <w:rsid w:val="00706AA0"/>
    <w:rsid w:val="00706AD4"/>
    <w:rsid w:val="00707150"/>
    <w:rsid w:val="007124D7"/>
    <w:rsid w:val="00712C20"/>
    <w:rsid w:val="00713549"/>
    <w:rsid w:val="007140BE"/>
    <w:rsid w:val="007147AB"/>
    <w:rsid w:val="00715502"/>
    <w:rsid w:val="00715E4D"/>
    <w:rsid w:val="0071677A"/>
    <w:rsid w:val="00716F48"/>
    <w:rsid w:val="00717114"/>
    <w:rsid w:val="0071779F"/>
    <w:rsid w:val="007211F5"/>
    <w:rsid w:val="00721601"/>
    <w:rsid w:val="00722777"/>
    <w:rsid w:val="00723435"/>
    <w:rsid w:val="00723436"/>
    <w:rsid w:val="007240E2"/>
    <w:rsid w:val="0072454C"/>
    <w:rsid w:val="0072583E"/>
    <w:rsid w:val="00725BB5"/>
    <w:rsid w:val="00727C02"/>
    <w:rsid w:val="0073008E"/>
    <w:rsid w:val="00730AE8"/>
    <w:rsid w:val="00730F1B"/>
    <w:rsid w:val="0073186D"/>
    <w:rsid w:val="0073333D"/>
    <w:rsid w:val="007343D9"/>
    <w:rsid w:val="00734F71"/>
    <w:rsid w:val="00735448"/>
    <w:rsid w:val="007377BD"/>
    <w:rsid w:val="00737DEC"/>
    <w:rsid w:val="0074004D"/>
    <w:rsid w:val="00741493"/>
    <w:rsid w:val="007434E5"/>
    <w:rsid w:val="0074499B"/>
    <w:rsid w:val="007450BF"/>
    <w:rsid w:val="007471A1"/>
    <w:rsid w:val="007477BD"/>
    <w:rsid w:val="00747EE9"/>
    <w:rsid w:val="00752180"/>
    <w:rsid w:val="00752323"/>
    <w:rsid w:val="007532B7"/>
    <w:rsid w:val="00753CAB"/>
    <w:rsid w:val="00754A70"/>
    <w:rsid w:val="00754BC9"/>
    <w:rsid w:val="00755202"/>
    <w:rsid w:val="00755D3A"/>
    <w:rsid w:val="0075751D"/>
    <w:rsid w:val="0075763E"/>
    <w:rsid w:val="007578D3"/>
    <w:rsid w:val="007602CF"/>
    <w:rsid w:val="00760391"/>
    <w:rsid w:val="007609C6"/>
    <w:rsid w:val="007615F3"/>
    <w:rsid w:val="0076175D"/>
    <w:rsid w:val="00761CB5"/>
    <w:rsid w:val="007629D5"/>
    <w:rsid w:val="007635F8"/>
    <w:rsid w:val="00763B85"/>
    <w:rsid w:val="00764974"/>
    <w:rsid w:val="00764D18"/>
    <w:rsid w:val="0076521E"/>
    <w:rsid w:val="00765BCC"/>
    <w:rsid w:val="0076600D"/>
    <w:rsid w:val="007661E9"/>
    <w:rsid w:val="00766460"/>
    <w:rsid w:val="00767062"/>
    <w:rsid w:val="00767777"/>
    <w:rsid w:val="0077130E"/>
    <w:rsid w:val="007715EE"/>
    <w:rsid w:val="00771972"/>
    <w:rsid w:val="00772279"/>
    <w:rsid w:val="00772DAB"/>
    <w:rsid w:val="00772FF9"/>
    <w:rsid w:val="00774D2C"/>
    <w:rsid w:val="0077605B"/>
    <w:rsid w:val="00776169"/>
    <w:rsid w:val="00776527"/>
    <w:rsid w:val="00777040"/>
    <w:rsid w:val="00777CE6"/>
    <w:rsid w:val="00780EF1"/>
    <w:rsid w:val="00781A91"/>
    <w:rsid w:val="00781F36"/>
    <w:rsid w:val="00785778"/>
    <w:rsid w:val="00786C87"/>
    <w:rsid w:val="0078755E"/>
    <w:rsid w:val="007877C9"/>
    <w:rsid w:val="00790764"/>
    <w:rsid w:val="0079085F"/>
    <w:rsid w:val="00790E96"/>
    <w:rsid w:val="00791005"/>
    <w:rsid w:val="00793D78"/>
    <w:rsid w:val="0079453C"/>
    <w:rsid w:val="00794677"/>
    <w:rsid w:val="00795759"/>
    <w:rsid w:val="007A170B"/>
    <w:rsid w:val="007A20EB"/>
    <w:rsid w:val="007A282C"/>
    <w:rsid w:val="007A293C"/>
    <w:rsid w:val="007A2A3A"/>
    <w:rsid w:val="007A33E2"/>
    <w:rsid w:val="007A3CAF"/>
    <w:rsid w:val="007A4782"/>
    <w:rsid w:val="007A516D"/>
    <w:rsid w:val="007A5E65"/>
    <w:rsid w:val="007A65E1"/>
    <w:rsid w:val="007A6AAA"/>
    <w:rsid w:val="007A7033"/>
    <w:rsid w:val="007A775D"/>
    <w:rsid w:val="007B0834"/>
    <w:rsid w:val="007B0E83"/>
    <w:rsid w:val="007B11FA"/>
    <w:rsid w:val="007B1396"/>
    <w:rsid w:val="007B16D6"/>
    <w:rsid w:val="007B2011"/>
    <w:rsid w:val="007B2CFE"/>
    <w:rsid w:val="007B309B"/>
    <w:rsid w:val="007B3D5E"/>
    <w:rsid w:val="007B3DCB"/>
    <w:rsid w:val="007B5725"/>
    <w:rsid w:val="007B5C1F"/>
    <w:rsid w:val="007B6689"/>
    <w:rsid w:val="007B6747"/>
    <w:rsid w:val="007B6F72"/>
    <w:rsid w:val="007C10BD"/>
    <w:rsid w:val="007C1F0C"/>
    <w:rsid w:val="007C1FFB"/>
    <w:rsid w:val="007C2D94"/>
    <w:rsid w:val="007C5F92"/>
    <w:rsid w:val="007C6227"/>
    <w:rsid w:val="007C6BBD"/>
    <w:rsid w:val="007C6D89"/>
    <w:rsid w:val="007C6F5E"/>
    <w:rsid w:val="007D0382"/>
    <w:rsid w:val="007D1A1F"/>
    <w:rsid w:val="007D2E18"/>
    <w:rsid w:val="007D40DF"/>
    <w:rsid w:val="007D42E5"/>
    <w:rsid w:val="007D4458"/>
    <w:rsid w:val="007D6AF9"/>
    <w:rsid w:val="007E0535"/>
    <w:rsid w:val="007E0D4A"/>
    <w:rsid w:val="007E1788"/>
    <w:rsid w:val="007E1EE3"/>
    <w:rsid w:val="007E29B4"/>
    <w:rsid w:val="007E2F12"/>
    <w:rsid w:val="007E435A"/>
    <w:rsid w:val="007E445C"/>
    <w:rsid w:val="007E49F7"/>
    <w:rsid w:val="007E4C70"/>
    <w:rsid w:val="007E5B5F"/>
    <w:rsid w:val="007E78B6"/>
    <w:rsid w:val="007E7E61"/>
    <w:rsid w:val="007F0845"/>
    <w:rsid w:val="007F20F3"/>
    <w:rsid w:val="007F2353"/>
    <w:rsid w:val="007F2390"/>
    <w:rsid w:val="007F2CAC"/>
    <w:rsid w:val="007F4740"/>
    <w:rsid w:val="007F595A"/>
    <w:rsid w:val="007F708D"/>
    <w:rsid w:val="008006B3"/>
    <w:rsid w:val="0080158A"/>
    <w:rsid w:val="00801E13"/>
    <w:rsid w:val="00803008"/>
    <w:rsid w:val="00803069"/>
    <w:rsid w:val="0080346B"/>
    <w:rsid w:val="00804155"/>
    <w:rsid w:val="0080559E"/>
    <w:rsid w:val="00805AF3"/>
    <w:rsid w:val="0080734C"/>
    <w:rsid w:val="00807C82"/>
    <w:rsid w:val="008117CC"/>
    <w:rsid w:val="00813D58"/>
    <w:rsid w:val="00813DCA"/>
    <w:rsid w:val="008161A6"/>
    <w:rsid w:val="008165B8"/>
    <w:rsid w:val="00816905"/>
    <w:rsid w:val="00816D98"/>
    <w:rsid w:val="00816E42"/>
    <w:rsid w:val="00817040"/>
    <w:rsid w:val="00817A17"/>
    <w:rsid w:val="00817EC1"/>
    <w:rsid w:val="0082112D"/>
    <w:rsid w:val="00821FF6"/>
    <w:rsid w:val="00822574"/>
    <w:rsid w:val="00822980"/>
    <w:rsid w:val="00822F08"/>
    <w:rsid w:val="00825C4D"/>
    <w:rsid w:val="00826A08"/>
    <w:rsid w:val="00826AC0"/>
    <w:rsid w:val="00827186"/>
    <w:rsid w:val="00827C8E"/>
    <w:rsid w:val="00830569"/>
    <w:rsid w:val="00830AEA"/>
    <w:rsid w:val="00830E86"/>
    <w:rsid w:val="0083143E"/>
    <w:rsid w:val="008315B8"/>
    <w:rsid w:val="008315D5"/>
    <w:rsid w:val="00831CDE"/>
    <w:rsid w:val="00832F77"/>
    <w:rsid w:val="00834304"/>
    <w:rsid w:val="00834FAA"/>
    <w:rsid w:val="008354FB"/>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6C6"/>
    <w:rsid w:val="0084708F"/>
    <w:rsid w:val="008477C8"/>
    <w:rsid w:val="008478A6"/>
    <w:rsid w:val="008502F6"/>
    <w:rsid w:val="0085114D"/>
    <w:rsid w:val="008520A8"/>
    <w:rsid w:val="00852217"/>
    <w:rsid w:val="00853282"/>
    <w:rsid w:val="00855408"/>
    <w:rsid w:val="00855D03"/>
    <w:rsid w:val="00856D65"/>
    <w:rsid w:val="00861B41"/>
    <w:rsid w:val="00861B9F"/>
    <w:rsid w:val="00861BE3"/>
    <w:rsid w:val="008625D3"/>
    <w:rsid w:val="00863434"/>
    <w:rsid w:val="0086344F"/>
    <w:rsid w:val="008641AC"/>
    <w:rsid w:val="00865E4C"/>
    <w:rsid w:val="0086796D"/>
    <w:rsid w:val="00867DAB"/>
    <w:rsid w:val="0087000B"/>
    <w:rsid w:val="008701E4"/>
    <w:rsid w:val="008704E9"/>
    <w:rsid w:val="00870ECD"/>
    <w:rsid w:val="0087347C"/>
    <w:rsid w:val="008734E7"/>
    <w:rsid w:val="0087368D"/>
    <w:rsid w:val="008740CC"/>
    <w:rsid w:val="00874FE8"/>
    <w:rsid w:val="00875A32"/>
    <w:rsid w:val="00876086"/>
    <w:rsid w:val="00876E83"/>
    <w:rsid w:val="008772BC"/>
    <w:rsid w:val="00880A0E"/>
    <w:rsid w:val="00881CD7"/>
    <w:rsid w:val="00882911"/>
    <w:rsid w:val="00882F6E"/>
    <w:rsid w:val="00884E02"/>
    <w:rsid w:val="00885D40"/>
    <w:rsid w:val="008873D4"/>
    <w:rsid w:val="00891EDF"/>
    <w:rsid w:val="00892872"/>
    <w:rsid w:val="0089296D"/>
    <w:rsid w:val="00893E85"/>
    <w:rsid w:val="00893EBE"/>
    <w:rsid w:val="00894031"/>
    <w:rsid w:val="00894C5D"/>
    <w:rsid w:val="00895508"/>
    <w:rsid w:val="008967E9"/>
    <w:rsid w:val="00896A5C"/>
    <w:rsid w:val="008972D2"/>
    <w:rsid w:val="0089754C"/>
    <w:rsid w:val="008A0ADD"/>
    <w:rsid w:val="008A0D27"/>
    <w:rsid w:val="008A1C59"/>
    <w:rsid w:val="008A37E2"/>
    <w:rsid w:val="008A388E"/>
    <w:rsid w:val="008A394E"/>
    <w:rsid w:val="008A3CBA"/>
    <w:rsid w:val="008A4B59"/>
    <w:rsid w:val="008A63E1"/>
    <w:rsid w:val="008A66B7"/>
    <w:rsid w:val="008A68BB"/>
    <w:rsid w:val="008A6AA5"/>
    <w:rsid w:val="008A7127"/>
    <w:rsid w:val="008B3537"/>
    <w:rsid w:val="008B3690"/>
    <w:rsid w:val="008B3A80"/>
    <w:rsid w:val="008B3AEC"/>
    <w:rsid w:val="008B3C07"/>
    <w:rsid w:val="008B3F7B"/>
    <w:rsid w:val="008B5324"/>
    <w:rsid w:val="008B6106"/>
    <w:rsid w:val="008B7C02"/>
    <w:rsid w:val="008B7D2B"/>
    <w:rsid w:val="008B7EF9"/>
    <w:rsid w:val="008C0049"/>
    <w:rsid w:val="008C0E88"/>
    <w:rsid w:val="008C1717"/>
    <w:rsid w:val="008C4B50"/>
    <w:rsid w:val="008C5A37"/>
    <w:rsid w:val="008C7569"/>
    <w:rsid w:val="008D033D"/>
    <w:rsid w:val="008D0DBD"/>
    <w:rsid w:val="008D117E"/>
    <w:rsid w:val="008D127E"/>
    <w:rsid w:val="008D1CA8"/>
    <w:rsid w:val="008D1E0A"/>
    <w:rsid w:val="008D1E6A"/>
    <w:rsid w:val="008D2A16"/>
    <w:rsid w:val="008D33F5"/>
    <w:rsid w:val="008D35E4"/>
    <w:rsid w:val="008D6C3A"/>
    <w:rsid w:val="008E0001"/>
    <w:rsid w:val="008E292B"/>
    <w:rsid w:val="008E2C57"/>
    <w:rsid w:val="008E31FF"/>
    <w:rsid w:val="008E3287"/>
    <w:rsid w:val="008E6DCB"/>
    <w:rsid w:val="008E6F06"/>
    <w:rsid w:val="008E7B8E"/>
    <w:rsid w:val="008E7FC9"/>
    <w:rsid w:val="008F0107"/>
    <w:rsid w:val="008F029B"/>
    <w:rsid w:val="008F0589"/>
    <w:rsid w:val="008F2A5D"/>
    <w:rsid w:val="008F3636"/>
    <w:rsid w:val="008F3FC9"/>
    <w:rsid w:val="008F5383"/>
    <w:rsid w:val="008F585B"/>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2437"/>
    <w:rsid w:val="00912A92"/>
    <w:rsid w:val="00915D07"/>
    <w:rsid w:val="009162AE"/>
    <w:rsid w:val="00917251"/>
    <w:rsid w:val="0091728D"/>
    <w:rsid w:val="009203CC"/>
    <w:rsid w:val="00920EC4"/>
    <w:rsid w:val="0092180B"/>
    <w:rsid w:val="00921F14"/>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443"/>
    <w:rsid w:val="00932B32"/>
    <w:rsid w:val="00933F4A"/>
    <w:rsid w:val="009341F1"/>
    <w:rsid w:val="00934FF2"/>
    <w:rsid w:val="009358D7"/>
    <w:rsid w:val="00935BD4"/>
    <w:rsid w:val="00935DFE"/>
    <w:rsid w:val="00935F70"/>
    <w:rsid w:val="009373B2"/>
    <w:rsid w:val="00937AE2"/>
    <w:rsid w:val="0094061F"/>
    <w:rsid w:val="00940F0F"/>
    <w:rsid w:val="0094416B"/>
    <w:rsid w:val="0094427A"/>
    <w:rsid w:val="00944C7C"/>
    <w:rsid w:val="00945245"/>
    <w:rsid w:val="00945523"/>
    <w:rsid w:val="00950921"/>
    <w:rsid w:val="00951D68"/>
    <w:rsid w:val="00951E5B"/>
    <w:rsid w:val="00952B7B"/>
    <w:rsid w:val="00954F39"/>
    <w:rsid w:val="009555FD"/>
    <w:rsid w:val="0095664B"/>
    <w:rsid w:val="009568DC"/>
    <w:rsid w:val="00957445"/>
    <w:rsid w:val="0095759C"/>
    <w:rsid w:val="009618EE"/>
    <w:rsid w:val="009624D2"/>
    <w:rsid w:val="009628D9"/>
    <w:rsid w:val="009637AE"/>
    <w:rsid w:val="00963A06"/>
    <w:rsid w:val="00964068"/>
    <w:rsid w:val="009640F6"/>
    <w:rsid w:val="0096469D"/>
    <w:rsid w:val="00964776"/>
    <w:rsid w:val="00964A4E"/>
    <w:rsid w:val="00964B35"/>
    <w:rsid w:val="009651C7"/>
    <w:rsid w:val="00965797"/>
    <w:rsid w:val="00965A10"/>
    <w:rsid w:val="009670A3"/>
    <w:rsid w:val="009674BE"/>
    <w:rsid w:val="00970FB5"/>
    <w:rsid w:val="00971710"/>
    <w:rsid w:val="00971B87"/>
    <w:rsid w:val="00971C77"/>
    <w:rsid w:val="00972FCD"/>
    <w:rsid w:val="00973324"/>
    <w:rsid w:val="009741AE"/>
    <w:rsid w:val="009741FC"/>
    <w:rsid w:val="00974782"/>
    <w:rsid w:val="00974923"/>
    <w:rsid w:val="00975909"/>
    <w:rsid w:val="00977C3D"/>
    <w:rsid w:val="00980D3D"/>
    <w:rsid w:val="0098103E"/>
    <w:rsid w:val="0098157D"/>
    <w:rsid w:val="00983101"/>
    <w:rsid w:val="00983E41"/>
    <w:rsid w:val="009845E1"/>
    <w:rsid w:val="00986246"/>
    <w:rsid w:val="00987A30"/>
    <w:rsid w:val="00990312"/>
    <w:rsid w:val="0099182E"/>
    <w:rsid w:val="00992CF3"/>
    <w:rsid w:val="00993194"/>
    <w:rsid w:val="0099321E"/>
    <w:rsid w:val="00994868"/>
    <w:rsid w:val="00994D28"/>
    <w:rsid w:val="00994F2C"/>
    <w:rsid w:val="009957CC"/>
    <w:rsid w:val="009968D6"/>
    <w:rsid w:val="00997953"/>
    <w:rsid w:val="009A0BFF"/>
    <w:rsid w:val="009A10A0"/>
    <w:rsid w:val="009A1CAB"/>
    <w:rsid w:val="009A2359"/>
    <w:rsid w:val="009A24F1"/>
    <w:rsid w:val="009A27E0"/>
    <w:rsid w:val="009A4D57"/>
    <w:rsid w:val="009A51A5"/>
    <w:rsid w:val="009A60D1"/>
    <w:rsid w:val="009A6225"/>
    <w:rsid w:val="009A64F5"/>
    <w:rsid w:val="009B00D2"/>
    <w:rsid w:val="009B05B3"/>
    <w:rsid w:val="009B284F"/>
    <w:rsid w:val="009B3764"/>
    <w:rsid w:val="009B52AC"/>
    <w:rsid w:val="009B59EA"/>
    <w:rsid w:val="009B66CE"/>
    <w:rsid w:val="009B6FD3"/>
    <w:rsid w:val="009B72BE"/>
    <w:rsid w:val="009B78A4"/>
    <w:rsid w:val="009B7DB2"/>
    <w:rsid w:val="009C03DB"/>
    <w:rsid w:val="009C1750"/>
    <w:rsid w:val="009C2E29"/>
    <w:rsid w:val="009C3E8F"/>
    <w:rsid w:val="009C554B"/>
    <w:rsid w:val="009C5E83"/>
    <w:rsid w:val="009C7126"/>
    <w:rsid w:val="009C719E"/>
    <w:rsid w:val="009C7799"/>
    <w:rsid w:val="009D07A9"/>
    <w:rsid w:val="009D0AE2"/>
    <w:rsid w:val="009D0D9F"/>
    <w:rsid w:val="009D0EBB"/>
    <w:rsid w:val="009D3ACD"/>
    <w:rsid w:val="009D4F21"/>
    <w:rsid w:val="009D587D"/>
    <w:rsid w:val="009D7731"/>
    <w:rsid w:val="009E1120"/>
    <w:rsid w:val="009E1393"/>
    <w:rsid w:val="009E1922"/>
    <w:rsid w:val="009E1A3D"/>
    <w:rsid w:val="009E4715"/>
    <w:rsid w:val="009E4A58"/>
    <w:rsid w:val="009E5273"/>
    <w:rsid w:val="009E57A8"/>
    <w:rsid w:val="009E5B85"/>
    <w:rsid w:val="009E5DDB"/>
    <w:rsid w:val="009F2921"/>
    <w:rsid w:val="009F4982"/>
    <w:rsid w:val="009F4CA7"/>
    <w:rsid w:val="009F4F6A"/>
    <w:rsid w:val="009F55BA"/>
    <w:rsid w:val="009F7D36"/>
    <w:rsid w:val="00A00E71"/>
    <w:rsid w:val="00A0306F"/>
    <w:rsid w:val="00A03B10"/>
    <w:rsid w:val="00A03E2E"/>
    <w:rsid w:val="00A04616"/>
    <w:rsid w:val="00A04717"/>
    <w:rsid w:val="00A05D8F"/>
    <w:rsid w:val="00A05EE4"/>
    <w:rsid w:val="00A06F99"/>
    <w:rsid w:val="00A1053B"/>
    <w:rsid w:val="00A10D66"/>
    <w:rsid w:val="00A113A4"/>
    <w:rsid w:val="00A14114"/>
    <w:rsid w:val="00A16413"/>
    <w:rsid w:val="00A16545"/>
    <w:rsid w:val="00A16AED"/>
    <w:rsid w:val="00A16C37"/>
    <w:rsid w:val="00A16E1D"/>
    <w:rsid w:val="00A171D5"/>
    <w:rsid w:val="00A17A15"/>
    <w:rsid w:val="00A17D5B"/>
    <w:rsid w:val="00A201E1"/>
    <w:rsid w:val="00A20FE1"/>
    <w:rsid w:val="00A21B4D"/>
    <w:rsid w:val="00A22073"/>
    <w:rsid w:val="00A223E0"/>
    <w:rsid w:val="00A23E43"/>
    <w:rsid w:val="00A24726"/>
    <w:rsid w:val="00A24DEB"/>
    <w:rsid w:val="00A24ED9"/>
    <w:rsid w:val="00A25216"/>
    <w:rsid w:val="00A2597D"/>
    <w:rsid w:val="00A2628E"/>
    <w:rsid w:val="00A266BF"/>
    <w:rsid w:val="00A2731E"/>
    <w:rsid w:val="00A309AC"/>
    <w:rsid w:val="00A30F65"/>
    <w:rsid w:val="00A3279E"/>
    <w:rsid w:val="00A35900"/>
    <w:rsid w:val="00A40EAC"/>
    <w:rsid w:val="00A418BC"/>
    <w:rsid w:val="00A41FCF"/>
    <w:rsid w:val="00A42936"/>
    <w:rsid w:val="00A43CF8"/>
    <w:rsid w:val="00A43DF2"/>
    <w:rsid w:val="00A445A8"/>
    <w:rsid w:val="00A44B0D"/>
    <w:rsid w:val="00A44D21"/>
    <w:rsid w:val="00A45087"/>
    <w:rsid w:val="00A45489"/>
    <w:rsid w:val="00A45CED"/>
    <w:rsid w:val="00A465E9"/>
    <w:rsid w:val="00A468E7"/>
    <w:rsid w:val="00A46DE0"/>
    <w:rsid w:val="00A478BA"/>
    <w:rsid w:val="00A50D73"/>
    <w:rsid w:val="00A52A88"/>
    <w:rsid w:val="00A52CAD"/>
    <w:rsid w:val="00A53FC7"/>
    <w:rsid w:val="00A55569"/>
    <w:rsid w:val="00A566A0"/>
    <w:rsid w:val="00A601E7"/>
    <w:rsid w:val="00A60AC1"/>
    <w:rsid w:val="00A626FF"/>
    <w:rsid w:val="00A62CE1"/>
    <w:rsid w:val="00A65469"/>
    <w:rsid w:val="00A65528"/>
    <w:rsid w:val="00A655D3"/>
    <w:rsid w:val="00A662D9"/>
    <w:rsid w:val="00A6741E"/>
    <w:rsid w:val="00A67E29"/>
    <w:rsid w:val="00A7016A"/>
    <w:rsid w:val="00A7018D"/>
    <w:rsid w:val="00A7191D"/>
    <w:rsid w:val="00A722F9"/>
    <w:rsid w:val="00A72D42"/>
    <w:rsid w:val="00A746C9"/>
    <w:rsid w:val="00A74C2A"/>
    <w:rsid w:val="00A75E40"/>
    <w:rsid w:val="00A77D1D"/>
    <w:rsid w:val="00A81652"/>
    <w:rsid w:val="00A83150"/>
    <w:rsid w:val="00A83398"/>
    <w:rsid w:val="00A83D6E"/>
    <w:rsid w:val="00A8521A"/>
    <w:rsid w:val="00A857C0"/>
    <w:rsid w:val="00A85ACB"/>
    <w:rsid w:val="00A90F2C"/>
    <w:rsid w:val="00A90FED"/>
    <w:rsid w:val="00A91482"/>
    <w:rsid w:val="00A9189D"/>
    <w:rsid w:val="00A91E71"/>
    <w:rsid w:val="00A925B1"/>
    <w:rsid w:val="00A92A3E"/>
    <w:rsid w:val="00A934F9"/>
    <w:rsid w:val="00A940E3"/>
    <w:rsid w:val="00A95F1A"/>
    <w:rsid w:val="00A96116"/>
    <w:rsid w:val="00A9614E"/>
    <w:rsid w:val="00A96C0F"/>
    <w:rsid w:val="00AA0E80"/>
    <w:rsid w:val="00AA17CD"/>
    <w:rsid w:val="00AA1D85"/>
    <w:rsid w:val="00AA212F"/>
    <w:rsid w:val="00AA2996"/>
    <w:rsid w:val="00AA2AF4"/>
    <w:rsid w:val="00AA4282"/>
    <w:rsid w:val="00AA4790"/>
    <w:rsid w:val="00AA52BF"/>
    <w:rsid w:val="00AA559A"/>
    <w:rsid w:val="00AA6C31"/>
    <w:rsid w:val="00AA7752"/>
    <w:rsid w:val="00AA7CE8"/>
    <w:rsid w:val="00AB1457"/>
    <w:rsid w:val="00AB2AF1"/>
    <w:rsid w:val="00AB3EC7"/>
    <w:rsid w:val="00AB5A64"/>
    <w:rsid w:val="00AB5CA1"/>
    <w:rsid w:val="00AB6456"/>
    <w:rsid w:val="00AC044E"/>
    <w:rsid w:val="00AC2118"/>
    <w:rsid w:val="00AC2395"/>
    <w:rsid w:val="00AC2960"/>
    <w:rsid w:val="00AC2AC4"/>
    <w:rsid w:val="00AC4284"/>
    <w:rsid w:val="00AC45BD"/>
    <w:rsid w:val="00AC50BB"/>
    <w:rsid w:val="00AD0B22"/>
    <w:rsid w:val="00AD0EE7"/>
    <w:rsid w:val="00AD168E"/>
    <w:rsid w:val="00AD306C"/>
    <w:rsid w:val="00AD44CD"/>
    <w:rsid w:val="00AD5AD2"/>
    <w:rsid w:val="00AD6462"/>
    <w:rsid w:val="00AD66C5"/>
    <w:rsid w:val="00AD68C4"/>
    <w:rsid w:val="00AD71F9"/>
    <w:rsid w:val="00AE09B3"/>
    <w:rsid w:val="00AE1A83"/>
    <w:rsid w:val="00AE30BE"/>
    <w:rsid w:val="00AE3E6A"/>
    <w:rsid w:val="00AE6414"/>
    <w:rsid w:val="00AE7269"/>
    <w:rsid w:val="00AE797C"/>
    <w:rsid w:val="00AE7CE7"/>
    <w:rsid w:val="00AE7FAB"/>
    <w:rsid w:val="00AF0DE4"/>
    <w:rsid w:val="00AF1E87"/>
    <w:rsid w:val="00AF436B"/>
    <w:rsid w:val="00AF5179"/>
    <w:rsid w:val="00AF5CC2"/>
    <w:rsid w:val="00AF6776"/>
    <w:rsid w:val="00AF6F98"/>
    <w:rsid w:val="00B00913"/>
    <w:rsid w:val="00B01593"/>
    <w:rsid w:val="00B01FF9"/>
    <w:rsid w:val="00B023F2"/>
    <w:rsid w:val="00B038CA"/>
    <w:rsid w:val="00B06DB4"/>
    <w:rsid w:val="00B0799C"/>
    <w:rsid w:val="00B102CE"/>
    <w:rsid w:val="00B10A4D"/>
    <w:rsid w:val="00B10C90"/>
    <w:rsid w:val="00B11002"/>
    <w:rsid w:val="00B121B2"/>
    <w:rsid w:val="00B141B6"/>
    <w:rsid w:val="00B14BC1"/>
    <w:rsid w:val="00B16DD1"/>
    <w:rsid w:val="00B16EB8"/>
    <w:rsid w:val="00B17E71"/>
    <w:rsid w:val="00B17FDE"/>
    <w:rsid w:val="00B20632"/>
    <w:rsid w:val="00B2379C"/>
    <w:rsid w:val="00B23D5D"/>
    <w:rsid w:val="00B2687D"/>
    <w:rsid w:val="00B3108D"/>
    <w:rsid w:val="00B32DDB"/>
    <w:rsid w:val="00B32F57"/>
    <w:rsid w:val="00B3345C"/>
    <w:rsid w:val="00B34528"/>
    <w:rsid w:val="00B34CC9"/>
    <w:rsid w:val="00B3563B"/>
    <w:rsid w:val="00B36BDC"/>
    <w:rsid w:val="00B37D3A"/>
    <w:rsid w:val="00B37D96"/>
    <w:rsid w:val="00B402FC"/>
    <w:rsid w:val="00B422E2"/>
    <w:rsid w:val="00B42D5F"/>
    <w:rsid w:val="00B43216"/>
    <w:rsid w:val="00B439DA"/>
    <w:rsid w:val="00B4411A"/>
    <w:rsid w:val="00B45FE8"/>
    <w:rsid w:val="00B46604"/>
    <w:rsid w:val="00B47089"/>
    <w:rsid w:val="00B47587"/>
    <w:rsid w:val="00B52151"/>
    <w:rsid w:val="00B530CD"/>
    <w:rsid w:val="00B53C7D"/>
    <w:rsid w:val="00B53E56"/>
    <w:rsid w:val="00B55A97"/>
    <w:rsid w:val="00B55F5E"/>
    <w:rsid w:val="00B5642C"/>
    <w:rsid w:val="00B56B6F"/>
    <w:rsid w:val="00B5752E"/>
    <w:rsid w:val="00B60AC1"/>
    <w:rsid w:val="00B61FF6"/>
    <w:rsid w:val="00B62316"/>
    <w:rsid w:val="00B63A11"/>
    <w:rsid w:val="00B64425"/>
    <w:rsid w:val="00B64C24"/>
    <w:rsid w:val="00B65CEF"/>
    <w:rsid w:val="00B6608F"/>
    <w:rsid w:val="00B67749"/>
    <w:rsid w:val="00B679FB"/>
    <w:rsid w:val="00B71FBF"/>
    <w:rsid w:val="00B734A0"/>
    <w:rsid w:val="00B73A14"/>
    <w:rsid w:val="00B748BD"/>
    <w:rsid w:val="00B7680F"/>
    <w:rsid w:val="00B76B48"/>
    <w:rsid w:val="00B76D1E"/>
    <w:rsid w:val="00B77543"/>
    <w:rsid w:val="00B77584"/>
    <w:rsid w:val="00B80EC6"/>
    <w:rsid w:val="00B81288"/>
    <w:rsid w:val="00B81D70"/>
    <w:rsid w:val="00B833B9"/>
    <w:rsid w:val="00B83E07"/>
    <w:rsid w:val="00B84CF6"/>
    <w:rsid w:val="00B85016"/>
    <w:rsid w:val="00B8561A"/>
    <w:rsid w:val="00B86643"/>
    <w:rsid w:val="00B868F7"/>
    <w:rsid w:val="00B90131"/>
    <w:rsid w:val="00B92951"/>
    <w:rsid w:val="00B92D1D"/>
    <w:rsid w:val="00B92D7E"/>
    <w:rsid w:val="00B930CE"/>
    <w:rsid w:val="00B938C5"/>
    <w:rsid w:val="00B940A8"/>
    <w:rsid w:val="00B9554A"/>
    <w:rsid w:val="00B95940"/>
    <w:rsid w:val="00B95ACA"/>
    <w:rsid w:val="00B97ACC"/>
    <w:rsid w:val="00B97FE2"/>
    <w:rsid w:val="00BA0E0B"/>
    <w:rsid w:val="00BA201A"/>
    <w:rsid w:val="00BA3787"/>
    <w:rsid w:val="00BA46E8"/>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AB2"/>
    <w:rsid w:val="00BB5ABF"/>
    <w:rsid w:val="00BB6EA2"/>
    <w:rsid w:val="00BB7B5B"/>
    <w:rsid w:val="00BB7EB1"/>
    <w:rsid w:val="00BC003F"/>
    <w:rsid w:val="00BC327F"/>
    <w:rsid w:val="00BC3512"/>
    <w:rsid w:val="00BC50BE"/>
    <w:rsid w:val="00BC5332"/>
    <w:rsid w:val="00BC5715"/>
    <w:rsid w:val="00BC5C12"/>
    <w:rsid w:val="00BC7154"/>
    <w:rsid w:val="00BC731E"/>
    <w:rsid w:val="00BC7614"/>
    <w:rsid w:val="00BD25BB"/>
    <w:rsid w:val="00BD2AF8"/>
    <w:rsid w:val="00BD366B"/>
    <w:rsid w:val="00BD3C09"/>
    <w:rsid w:val="00BD410B"/>
    <w:rsid w:val="00BD4A73"/>
    <w:rsid w:val="00BD6C75"/>
    <w:rsid w:val="00BD6D50"/>
    <w:rsid w:val="00BD73D2"/>
    <w:rsid w:val="00BE0AD1"/>
    <w:rsid w:val="00BE0EF9"/>
    <w:rsid w:val="00BE10A1"/>
    <w:rsid w:val="00BE18B9"/>
    <w:rsid w:val="00BE190A"/>
    <w:rsid w:val="00BE2495"/>
    <w:rsid w:val="00BE24DD"/>
    <w:rsid w:val="00BE386D"/>
    <w:rsid w:val="00BE557B"/>
    <w:rsid w:val="00BE7F5F"/>
    <w:rsid w:val="00BF02C8"/>
    <w:rsid w:val="00BF1578"/>
    <w:rsid w:val="00BF15CA"/>
    <w:rsid w:val="00BF1D12"/>
    <w:rsid w:val="00BF1D3A"/>
    <w:rsid w:val="00BF2B5B"/>
    <w:rsid w:val="00BF2D41"/>
    <w:rsid w:val="00BF3274"/>
    <w:rsid w:val="00BF32DC"/>
    <w:rsid w:val="00BF4329"/>
    <w:rsid w:val="00BF4E43"/>
    <w:rsid w:val="00BF5C4C"/>
    <w:rsid w:val="00BF77FC"/>
    <w:rsid w:val="00C006D6"/>
    <w:rsid w:val="00C00BD7"/>
    <w:rsid w:val="00C01410"/>
    <w:rsid w:val="00C04B78"/>
    <w:rsid w:val="00C052AA"/>
    <w:rsid w:val="00C06EE3"/>
    <w:rsid w:val="00C07749"/>
    <w:rsid w:val="00C11244"/>
    <w:rsid w:val="00C11D48"/>
    <w:rsid w:val="00C1493E"/>
    <w:rsid w:val="00C15DBD"/>
    <w:rsid w:val="00C2010D"/>
    <w:rsid w:val="00C20CB5"/>
    <w:rsid w:val="00C21430"/>
    <w:rsid w:val="00C21E61"/>
    <w:rsid w:val="00C21F94"/>
    <w:rsid w:val="00C234DB"/>
    <w:rsid w:val="00C2479A"/>
    <w:rsid w:val="00C24903"/>
    <w:rsid w:val="00C2590D"/>
    <w:rsid w:val="00C25D9C"/>
    <w:rsid w:val="00C27913"/>
    <w:rsid w:val="00C300E2"/>
    <w:rsid w:val="00C31F21"/>
    <w:rsid w:val="00C32631"/>
    <w:rsid w:val="00C33301"/>
    <w:rsid w:val="00C33311"/>
    <w:rsid w:val="00C33B68"/>
    <w:rsid w:val="00C35570"/>
    <w:rsid w:val="00C35A2A"/>
    <w:rsid w:val="00C36A79"/>
    <w:rsid w:val="00C401A9"/>
    <w:rsid w:val="00C401D2"/>
    <w:rsid w:val="00C4031A"/>
    <w:rsid w:val="00C405D4"/>
    <w:rsid w:val="00C419D5"/>
    <w:rsid w:val="00C42EBB"/>
    <w:rsid w:val="00C4513B"/>
    <w:rsid w:val="00C475E8"/>
    <w:rsid w:val="00C50E79"/>
    <w:rsid w:val="00C5197D"/>
    <w:rsid w:val="00C525FB"/>
    <w:rsid w:val="00C5390B"/>
    <w:rsid w:val="00C54257"/>
    <w:rsid w:val="00C54697"/>
    <w:rsid w:val="00C550CE"/>
    <w:rsid w:val="00C553A5"/>
    <w:rsid w:val="00C55402"/>
    <w:rsid w:val="00C5603B"/>
    <w:rsid w:val="00C61F47"/>
    <w:rsid w:val="00C62828"/>
    <w:rsid w:val="00C715CC"/>
    <w:rsid w:val="00C719A3"/>
    <w:rsid w:val="00C71D2F"/>
    <w:rsid w:val="00C72984"/>
    <w:rsid w:val="00C73885"/>
    <w:rsid w:val="00C73C93"/>
    <w:rsid w:val="00C7435A"/>
    <w:rsid w:val="00C747B1"/>
    <w:rsid w:val="00C75510"/>
    <w:rsid w:val="00C755F9"/>
    <w:rsid w:val="00C75752"/>
    <w:rsid w:val="00C770C9"/>
    <w:rsid w:val="00C81070"/>
    <w:rsid w:val="00C8174E"/>
    <w:rsid w:val="00C82191"/>
    <w:rsid w:val="00C83134"/>
    <w:rsid w:val="00C831E7"/>
    <w:rsid w:val="00C832F3"/>
    <w:rsid w:val="00C845A4"/>
    <w:rsid w:val="00C85545"/>
    <w:rsid w:val="00C855B5"/>
    <w:rsid w:val="00C85F0E"/>
    <w:rsid w:val="00C90CF4"/>
    <w:rsid w:val="00C91C20"/>
    <w:rsid w:val="00C922DE"/>
    <w:rsid w:val="00C92843"/>
    <w:rsid w:val="00C92EB6"/>
    <w:rsid w:val="00C93389"/>
    <w:rsid w:val="00C948E6"/>
    <w:rsid w:val="00C94CDD"/>
    <w:rsid w:val="00CA0346"/>
    <w:rsid w:val="00CA1BD6"/>
    <w:rsid w:val="00CA37FF"/>
    <w:rsid w:val="00CA423A"/>
    <w:rsid w:val="00CA47BC"/>
    <w:rsid w:val="00CA5EAD"/>
    <w:rsid w:val="00CA6AB4"/>
    <w:rsid w:val="00CA7255"/>
    <w:rsid w:val="00CB2351"/>
    <w:rsid w:val="00CB4930"/>
    <w:rsid w:val="00CB4BA9"/>
    <w:rsid w:val="00CB4C63"/>
    <w:rsid w:val="00CB5A48"/>
    <w:rsid w:val="00CB5E10"/>
    <w:rsid w:val="00CB613B"/>
    <w:rsid w:val="00CB6152"/>
    <w:rsid w:val="00CB64E1"/>
    <w:rsid w:val="00CB6E4D"/>
    <w:rsid w:val="00CC0834"/>
    <w:rsid w:val="00CC20FE"/>
    <w:rsid w:val="00CC2E7D"/>
    <w:rsid w:val="00CC612B"/>
    <w:rsid w:val="00CC655F"/>
    <w:rsid w:val="00CC66F9"/>
    <w:rsid w:val="00CC6FE5"/>
    <w:rsid w:val="00CC7458"/>
    <w:rsid w:val="00CC76BD"/>
    <w:rsid w:val="00CC7A87"/>
    <w:rsid w:val="00CD10A5"/>
    <w:rsid w:val="00CD1129"/>
    <w:rsid w:val="00CD1A80"/>
    <w:rsid w:val="00CD1CB5"/>
    <w:rsid w:val="00CD2076"/>
    <w:rsid w:val="00CD24CE"/>
    <w:rsid w:val="00CD29B5"/>
    <w:rsid w:val="00CD2B78"/>
    <w:rsid w:val="00CD3FAB"/>
    <w:rsid w:val="00CD5456"/>
    <w:rsid w:val="00CD5C3E"/>
    <w:rsid w:val="00CD6331"/>
    <w:rsid w:val="00CE14BE"/>
    <w:rsid w:val="00CE17A4"/>
    <w:rsid w:val="00CE1BA9"/>
    <w:rsid w:val="00CE2D8F"/>
    <w:rsid w:val="00CE3E48"/>
    <w:rsid w:val="00CE47B8"/>
    <w:rsid w:val="00CE62FA"/>
    <w:rsid w:val="00CE670B"/>
    <w:rsid w:val="00CE6833"/>
    <w:rsid w:val="00CF020B"/>
    <w:rsid w:val="00CF2E4D"/>
    <w:rsid w:val="00CF4205"/>
    <w:rsid w:val="00CF4908"/>
    <w:rsid w:val="00CF51EC"/>
    <w:rsid w:val="00CF545D"/>
    <w:rsid w:val="00CF5873"/>
    <w:rsid w:val="00CF73AE"/>
    <w:rsid w:val="00CF7777"/>
    <w:rsid w:val="00D0085A"/>
    <w:rsid w:val="00D0197F"/>
    <w:rsid w:val="00D0242D"/>
    <w:rsid w:val="00D02716"/>
    <w:rsid w:val="00D03A72"/>
    <w:rsid w:val="00D040DD"/>
    <w:rsid w:val="00D04134"/>
    <w:rsid w:val="00D05C65"/>
    <w:rsid w:val="00D06B56"/>
    <w:rsid w:val="00D06D68"/>
    <w:rsid w:val="00D075BE"/>
    <w:rsid w:val="00D10C15"/>
    <w:rsid w:val="00D11476"/>
    <w:rsid w:val="00D12C25"/>
    <w:rsid w:val="00D133B4"/>
    <w:rsid w:val="00D13986"/>
    <w:rsid w:val="00D14C5B"/>
    <w:rsid w:val="00D15FED"/>
    <w:rsid w:val="00D16712"/>
    <w:rsid w:val="00D214EF"/>
    <w:rsid w:val="00D215B0"/>
    <w:rsid w:val="00D21D6D"/>
    <w:rsid w:val="00D21D83"/>
    <w:rsid w:val="00D235B7"/>
    <w:rsid w:val="00D23FAE"/>
    <w:rsid w:val="00D25F28"/>
    <w:rsid w:val="00D26071"/>
    <w:rsid w:val="00D269B9"/>
    <w:rsid w:val="00D27973"/>
    <w:rsid w:val="00D31537"/>
    <w:rsid w:val="00D31E1E"/>
    <w:rsid w:val="00D322A0"/>
    <w:rsid w:val="00D32824"/>
    <w:rsid w:val="00D334E2"/>
    <w:rsid w:val="00D350B1"/>
    <w:rsid w:val="00D35AD6"/>
    <w:rsid w:val="00D35BBB"/>
    <w:rsid w:val="00D35E1A"/>
    <w:rsid w:val="00D36B0A"/>
    <w:rsid w:val="00D36DFB"/>
    <w:rsid w:val="00D36E1C"/>
    <w:rsid w:val="00D373AF"/>
    <w:rsid w:val="00D40556"/>
    <w:rsid w:val="00D41F74"/>
    <w:rsid w:val="00D43034"/>
    <w:rsid w:val="00D43ED2"/>
    <w:rsid w:val="00D50F46"/>
    <w:rsid w:val="00D5384E"/>
    <w:rsid w:val="00D544E7"/>
    <w:rsid w:val="00D5499F"/>
    <w:rsid w:val="00D5560A"/>
    <w:rsid w:val="00D56FBF"/>
    <w:rsid w:val="00D57677"/>
    <w:rsid w:val="00D60415"/>
    <w:rsid w:val="00D60E3C"/>
    <w:rsid w:val="00D61FAB"/>
    <w:rsid w:val="00D63BE5"/>
    <w:rsid w:val="00D6475F"/>
    <w:rsid w:val="00D66223"/>
    <w:rsid w:val="00D667B8"/>
    <w:rsid w:val="00D70289"/>
    <w:rsid w:val="00D70822"/>
    <w:rsid w:val="00D72076"/>
    <w:rsid w:val="00D726A9"/>
    <w:rsid w:val="00D743E0"/>
    <w:rsid w:val="00D75AC1"/>
    <w:rsid w:val="00D77252"/>
    <w:rsid w:val="00D8084C"/>
    <w:rsid w:val="00D81809"/>
    <w:rsid w:val="00D82EF1"/>
    <w:rsid w:val="00D84F43"/>
    <w:rsid w:val="00D85114"/>
    <w:rsid w:val="00D85821"/>
    <w:rsid w:val="00D8598C"/>
    <w:rsid w:val="00D87C06"/>
    <w:rsid w:val="00D915EA"/>
    <w:rsid w:val="00D919ED"/>
    <w:rsid w:val="00D922A1"/>
    <w:rsid w:val="00D928BE"/>
    <w:rsid w:val="00D95302"/>
    <w:rsid w:val="00D95C5D"/>
    <w:rsid w:val="00D97D00"/>
    <w:rsid w:val="00DA096C"/>
    <w:rsid w:val="00DA1AB6"/>
    <w:rsid w:val="00DA544C"/>
    <w:rsid w:val="00DA5F8E"/>
    <w:rsid w:val="00DA6364"/>
    <w:rsid w:val="00DA7114"/>
    <w:rsid w:val="00DA7C0C"/>
    <w:rsid w:val="00DB03DD"/>
    <w:rsid w:val="00DB08A9"/>
    <w:rsid w:val="00DB2DFA"/>
    <w:rsid w:val="00DB2EC8"/>
    <w:rsid w:val="00DB321D"/>
    <w:rsid w:val="00DB459B"/>
    <w:rsid w:val="00DB47FD"/>
    <w:rsid w:val="00DB5E3A"/>
    <w:rsid w:val="00DB5E9A"/>
    <w:rsid w:val="00DB613B"/>
    <w:rsid w:val="00DB657E"/>
    <w:rsid w:val="00DB7342"/>
    <w:rsid w:val="00DB7489"/>
    <w:rsid w:val="00DC17D0"/>
    <w:rsid w:val="00DC2B41"/>
    <w:rsid w:val="00DC3128"/>
    <w:rsid w:val="00DC435B"/>
    <w:rsid w:val="00DC53D8"/>
    <w:rsid w:val="00DC56FE"/>
    <w:rsid w:val="00DC5B3B"/>
    <w:rsid w:val="00DC6C2D"/>
    <w:rsid w:val="00DC7B1A"/>
    <w:rsid w:val="00DD04B0"/>
    <w:rsid w:val="00DD129F"/>
    <w:rsid w:val="00DD13FC"/>
    <w:rsid w:val="00DD1A3F"/>
    <w:rsid w:val="00DD29B5"/>
    <w:rsid w:val="00DD32DD"/>
    <w:rsid w:val="00DD5287"/>
    <w:rsid w:val="00DD5B36"/>
    <w:rsid w:val="00DE0D8B"/>
    <w:rsid w:val="00DE1237"/>
    <w:rsid w:val="00DE140F"/>
    <w:rsid w:val="00DE2491"/>
    <w:rsid w:val="00DE5CA6"/>
    <w:rsid w:val="00DE7AC8"/>
    <w:rsid w:val="00DF2C5D"/>
    <w:rsid w:val="00DF3643"/>
    <w:rsid w:val="00DF42FF"/>
    <w:rsid w:val="00DF4369"/>
    <w:rsid w:val="00DF4423"/>
    <w:rsid w:val="00DF4ADF"/>
    <w:rsid w:val="00DF5D1E"/>
    <w:rsid w:val="00DF77E4"/>
    <w:rsid w:val="00DF7F88"/>
    <w:rsid w:val="00E01C0E"/>
    <w:rsid w:val="00E0368F"/>
    <w:rsid w:val="00E03D73"/>
    <w:rsid w:val="00E03F9A"/>
    <w:rsid w:val="00E04694"/>
    <w:rsid w:val="00E12191"/>
    <w:rsid w:val="00E129E7"/>
    <w:rsid w:val="00E12ABE"/>
    <w:rsid w:val="00E12B1E"/>
    <w:rsid w:val="00E1444C"/>
    <w:rsid w:val="00E17262"/>
    <w:rsid w:val="00E20016"/>
    <w:rsid w:val="00E2009B"/>
    <w:rsid w:val="00E20BB9"/>
    <w:rsid w:val="00E20BCC"/>
    <w:rsid w:val="00E2251C"/>
    <w:rsid w:val="00E2363D"/>
    <w:rsid w:val="00E23C6A"/>
    <w:rsid w:val="00E253A2"/>
    <w:rsid w:val="00E260F6"/>
    <w:rsid w:val="00E27127"/>
    <w:rsid w:val="00E27233"/>
    <w:rsid w:val="00E30F15"/>
    <w:rsid w:val="00E31771"/>
    <w:rsid w:val="00E3186D"/>
    <w:rsid w:val="00E31A3E"/>
    <w:rsid w:val="00E32080"/>
    <w:rsid w:val="00E3309D"/>
    <w:rsid w:val="00E35A53"/>
    <w:rsid w:val="00E3724A"/>
    <w:rsid w:val="00E378B1"/>
    <w:rsid w:val="00E417BE"/>
    <w:rsid w:val="00E41CD5"/>
    <w:rsid w:val="00E4372D"/>
    <w:rsid w:val="00E43A9E"/>
    <w:rsid w:val="00E44243"/>
    <w:rsid w:val="00E453F9"/>
    <w:rsid w:val="00E45D7D"/>
    <w:rsid w:val="00E4623F"/>
    <w:rsid w:val="00E4665D"/>
    <w:rsid w:val="00E47854"/>
    <w:rsid w:val="00E47EBA"/>
    <w:rsid w:val="00E50156"/>
    <w:rsid w:val="00E504EB"/>
    <w:rsid w:val="00E5076C"/>
    <w:rsid w:val="00E50D2E"/>
    <w:rsid w:val="00E50D7D"/>
    <w:rsid w:val="00E53470"/>
    <w:rsid w:val="00E539F6"/>
    <w:rsid w:val="00E54698"/>
    <w:rsid w:val="00E54FB4"/>
    <w:rsid w:val="00E5539A"/>
    <w:rsid w:val="00E55791"/>
    <w:rsid w:val="00E55E1A"/>
    <w:rsid w:val="00E578A2"/>
    <w:rsid w:val="00E60043"/>
    <w:rsid w:val="00E61740"/>
    <w:rsid w:val="00E61EB5"/>
    <w:rsid w:val="00E6324D"/>
    <w:rsid w:val="00E65084"/>
    <w:rsid w:val="00E6519D"/>
    <w:rsid w:val="00E66062"/>
    <w:rsid w:val="00E6660E"/>
    <w:rsid w:val="00E67305"/>
    <w:rsid w:val="00E67696"/>
    <w:rsid w:val="00E70C5F"/>
    <w:rsid w:val="00E71A58"/>
    <w:rsid w:val="00E72A26"/>
    <w:rsid w:val="00E72A7A"/>
    <w:rsid w:val="00E7335A"/>
    <w:rsid w:val="00E747DC"/>
    <w:rsid w:val="00E74A2D"/>
    <w:rsid w:val="00E75C94"/>
    <w:rsid w:val="00E76B9B"/>
    <w:rsid w:val="00E76E61"/>
    <w:rsid w:val="00E77CC0"/>
    <w:rsid w:val="00E80B3D"/>
    <w:rsid w:val="00E80CA3"/>
    <w:rsid w:val="00E82618"/>
    <w:rsid w:val="00E84E09"/>
    <w:rsid w:val="00E90CA8"/>
    <w:rsid w:val="00E930A1"/>
    <w:rsid w:val="00E93820"/>
    <w:rsid w:val="00E94A86"/>
    <w:rsid w:val="00E953F6"/>
    <w:rsid w:val="00E96143"/>
    <w:rsid w:val="00E96833"/>
    <w:rsid w:val="00E97506"/>
    <w:rsid w:val="00EA0C68"/>
    <w:rsid w:val="00EA1D0E"/>
    <w:rsid w:val="00EA2841"/>
    <w:rsid w:val="00EA32BC"/>
    <w:rsid w:val="00EA35A7"/>
    <w:rsid w:val="00EA3B32"/>
    <w:rsid w:val="00EA3D05"/>
    <w:rsid w:val="00EA4402"/>
    <w:rsid w:val="00EA4B8D"/>
    <w:rsid w:val="00EA513E"/>
    <w:rsid w:val="00EA7419"/>
    <w:rsid w:val="00EB0E32"/>
    <w:rsid w:val="00EB3E60"/>
    <w:rsid w:val="00EB4511"/>
    <w:rsid w:val="00EB48D7"/>
    <w:rsid w:val="00EB4A8E"/>
    <w:rsid w:val="00EB4BC5"/>
    <w:rsid w:val="00EB5BF7"/>
    <w:rsid w:val="00EB5E79"/>
    <w:rsid w:val="00EB6FAC"/>
    <w:rsid w:val="00EB7BAC"/>
    <w:rsid w:val="00EC03D7"/>
    <w:rsid w:val="00EC13A7"/>
    <w:rsid w:val="00EC2EB6"/>
    <w:rsid w:val="00ED0EF0"/>
    <w:rsid w:val="00ED12B9"/>
    <w:rsid w:val="00ED16B8"/>
    <w:rsid w:val="00ED1DF0"/>
    <w:rsid w:val="00ED2386"/>
    <w:rsid w:val="00ED2EA1"/>
    <w:rsid w:val="00ED3F10"/>
    <w:rsid w:val="00ED4D04"/>
    <w:rsid w:val="00ED566D"/>
    <w:rsid w:val="00ED5907"/>
    <w:rsid w:val="00ED5F5B"/>
    <w:rsid w:val="00ED62C6"/>
    <w:rsid w:val="00ED64C1"/>
    <w:rsid w:val="00EE2EB4"/>
    <w:rsid w:val="00EE3446"/>
    <w:rsid w:val="00EE3E78"/>
    <w:rsid w:val="00EE41FD"/>
    <w:rsid w:val="00EE460E"/>
    <w:rsid w:val="00EE4B1B"/>
    <w:rsid w:val="00EE5FBA"/>
    <w:rsid w:val="00EE6E06"/>
    <w:rsid w:val="00EE7179"/>
    <w:rsid w:val="00EF150D"/>
    <w:rsid w:val="00EF1F5A"/>
    <w:rsid w:val="00EF47BF"/>
    <w:rsid w:val="00EF59B1"/>
    <w:rsid w:val="00EF5A13"/>
    <w:rsid w:val="00EF5FF9"/>
    <w:rsid w:val="00EF77D4"/>
    <w:rsid w:val="00EF7CC7"/>
    <w:rsid w:val="00F00853"/>
    <w:rsid w:val="00F00866"/>
    <w:rsid w:val="00F0160B"/>
    <w:rsid w:val="00F0193E"/>
    <w:rsid w:val="00F03F8D"/>
    <w:rsid w:val="00F04811"/>
    <w:rsid w:val="00F0488C"/>
    <w:rsid w:val="00F073ED"/>
    <w:rsid w:val="00F07C4C"/>
    <w:rsid w:val="00F10F11"/>
    <w:rsid w:val="00F11159"/>
    <w:rsid w:val="00F115E4"/>
    <w:rsid w:val="00F12CFB"/>
    <w:rsid w:val="00F13E60"/>
    <w:rsid w:val="00F13FDB"/>
    <w:rsid w:val="00F15AAA"/>
    <w:rsid w:val="00F15BEF"/>
    <w:rsid w:val="00F17898"/>
    <w:rsid w:val="00F207C2"/>
    <w:rsid w:val="00F21337"/>
    <w:rsid w:val="00F219A1"/>
    <w:rsid w:val="00F23E20"/>
    <w:rsid w:val="00F24407"/>
    <w:rsid w:val="00F24FAA"/>
    <w:rsid w:val="00F25040"/>
    <w:rsid w:val="00F27071"/>
    <w:rsid w:val="00F27331"/>
    <w:rsid w:val="00F27EE5"/>
    <w:rsid w:val="00F27FD6"/>
    <w:rsid w:val="00F307CB"/>
    <w:rsid w:val="00F30C65"/>
    <w:rsid w:val="00F321D2"/>
    <w:rsid w:val="00F32649"/>
    <w:rsid w:val="00F33523"/>
    <w:rsid w:val="00F3364D"/>
    <w:rsid w:val="00F33914"/>
    <w:rsid w:val="00F349BF"/>
    <w:rsid w:val="00F34DDC"/>
    <w:rsid w:val="00F36191"/>
    <w:rsid w:val="00F37EDC"/>
    <w:rsid w:val="00F437CC"/>
    <w:rsid w:val="00F44537"/>
    <w:rsid w:val="00F46185"/>
    <w:rsid w:val="00F46423"/>
    <w:rsid w:val="00F4696A"/>
    <w:rsid w:val="00F47067"/>
    <w:rsid w:val="00F525AB"/>
    <w:rsid w:val="00F525EB"/>
    <w:rsid w:val="00F52CB5"/>
    <w:rsid w:val="00F53A68"/>
    <w:rsid w:val="00F54934"/>
    <w:rsid w:val="00F55A92"/>
    <w:rsid w:val="00F62BFF"/>
    <w:rsid w:val="00F63AAE"/>
    <w:rsid w:val="00F63DDE"/>
    <w:rsid w:val="00F63FB7"/>
    <w:rsid w:val="00F6421B"/>
    <w:rsid w:val="00F647F1"/>
    <w:rsid w:val="00F649D2"/>
    <w:rsid w:val="00F6602B"/>
    <w:rsid w:val="00F7150B"/>
    <w:rsid w:val="00F717E4"/>
    <w:rsid w:val="00F71DE6"/>
    <w:rsid w:val="00F72D71"/>
    <w:rsid w:val="00F7381C"/>
    <w:rsid w:val="00F73A0C"/>
    <w:rsid w:val="00F7549F"/>
    <w:rsid w:val="00F756DB"/>
    <w:rsid w:val="00F767A8"/>
    <w:rsid w:val="00F84E7D"/>
    <w:rsid w:val="00F85066"/>
    <w:rsid w:val="00F87A4D"/>
    <w:rsid w:val="00F93688"/>
    <w:rsid w:val="00F939F3"/>
    <w:rsid w:val="00F93C6E"/>
    <w:rsid w:val="00F93F2C"/>
    <w:rsid w:val="00F9644E"/>
    <w:rsid w:val="00FA0105"/>
    <w:rsid w:val="00FA05A0"/>
    <w:rsid w:val="00FA0AEF"/>
    <w:rsid w:val="00FA17CC"/>
    <w:rsid w:val="00FA1F01"/>
    <w:rsid w:val="00FA26DF"/>
    <w:rsid w:val="00FA32BC"/>
    <w:rsid w:val="00FA48A4"/>
    <w:rsid w:val="00FA4CB7"/>
    <w:rsid w:val="00FA5112"/>
    <w:rsid w:val="00FA5526"/>
    <w:rsid w:val="00FA5D4D"/>
    <w:rsid w:val="00FA6CB6"/>
    <w:rsid w:val="00FA70D3"/>
    <w:rsid w:val="00FA7AEC"/>
    <w:rsid w:val="00FB0AEA"/>
    <w:rsid w:val="00FB0EE2"/>
    <w:rsid w:val="00FB1A79"/>
    <w:rsid w:val="00FB208B"/>
    <w:rsid w:val="00FB2B2D"/>
    <w:rsid w:val="00FB542E"/>
    <w:rsid w:val="00FB564F"/>
    <w:rsid w:val="00FB7DBB"/>
    <w:rsid w:val="00FC05F8"/>
    <w:rsid w:val="00FC0E5F"/>
    <w:rsid w:val="00FC1266"/>
    <w:rsid w:val="00FC1A95"/>
    <w:rsid w:val="00FC1ED4"/>
    <w:rsid w:val="00FC3BEC"/>
    <w:rsid w:val="00FC440B"/>
    <w:rsid w:val="00FC56DE"/>
    <w:rsid w:val="00FC63D9"/>
    <w:rsid w:val="00FC64DE"/>
    <w:rsid w:val="00FC684B"/>
    <w:rsid w:val="00FC7D98"/>
    <w:rsid w:val="00FD1135"/>
    <w:rsid w:val="00FD3265"/>
    <w:rsid w:val="00FD3CF7"/>
    <w:rsid w:val="00FD4916"/>
    <w:rsid w:val="00FD4D12"/>
    <w:rsid w:val="00FD4F73"/>
    <w:rsid w:val="00FD595E"/>
    <w:rsid w:val="00FE27C7"/>
    <w:rsid w:val="00FE2C7E"/>
    <w:rsid w:val="00FE2F78"/>
    <w:rsid w:val="00FE3137"/>
    <w:rsid w:val="00FE346B"/>
    <w:rsid w:val="00FE346F"/>
    <w:rsid w:val="00FE48E4"/>
    <w:rsid w:val="00FE634C"/>
    <w:rsid w:val="00FE6E69"/>
    <w:rsid w:val="00FE6F59"/>
    <w:rsid w:val="00FF1136"/>
    <w:rsid w:val="00FF3D76"/>
    <w:rsid w:val="00FF5B8C"/>
    <w:rsid w:val="00FF63E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4EEB6EC"/>
  <w15:docId w15:val="{02E7EBF8-5A4E-462D-AC4B-706FC6EE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y\Anal&#253;za\Q\2019Q4\Makroanal&#253;za%20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dc6bece553a4e0ca/Plocha/Pr&#225;ce/Anal&#253;za/Q/2019Q4/Makroanal&#253;za%20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kumenty\Anal&#253;za\Q\2019Q4\Makroanal&#253;za%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568840579710145E-2"/>
          <c:y val="2.1811315924220299E-2"/>
          <c:w val="0.92237743255066085"/>
          <c:h val="0.73318107621299833"/>
        </c:manualLayout>
      </c:layout>
      <c:barChart>
        <c:barDir val="col"/>
        <c:grouping val="clustered"/>
        <c:varyColors val="0"/>
        <c:ser>
          <c:idx val="0"/>
          <c:order val="0"/>
          <c:tx>
            <c:strRef>
              <c:f>'Ceny 2'!$C$5</c:f>
              <c:strCache>
                <c:ptCount val="1"/>
                <c:pt idx="0">
                  <c:v>Celkem</c:v>
                </c:pt>
              </c:strCache>
            </c:strRef>
          </c:tx>
          <c:spPr>
            <a:solidFill>
              <a:schemeClr val="bg1">
                <a:lumMod val="65000"/>
              </a:schemeClr>
            </a:solidFill>
            <a:ln w="19050">
              <a:noFill/>
            </a:ln>
          </c:spPr>
          <c:invertIfNegative val="0"/>
          <c:cat>
            <c:multiLvlStrRef>
              <c:f>'Ceny 2'!$A$14:$B$37</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'Ceny 2'!$C$14:$C$37</c:f>
              <c:numCache>
                <c:formatCode>0.0</c:formatCode>
                <c:ptCount val="24"/>
                <c:pt idx="0">
                  <c:v>0.20000000000000284</c:v>
                </c:pt>
                <c:pt idx="1">
                  <c:v>0.20000000000000284</c:v>
                </c:pt>
                <c:pt idx="2">
                  <c:v>0.59999999999999432</c:v>
                </c:pt>
                <c:pt idx="3">
                  <c:v>0.5</c:v>
                </c:pt>
                <c:pt idx="4">
                  <c:v>9.9999999999994316E-2</c:v>
                </c:pt>
                <c:pt idx="5">
                  <c:v>0.70000000000000284</c:v>
                </c:pt>
                <c:pt idx="6">
                  <c:v>0.40000000000000568</c:v>
                </c:pt>
                <c:pt idx="7">
                  <c:v>9.9999999999994316E-2</c:v>
                </c:pt>
                <c:pt idx="8">
                  <c:v>0.5</c:v>
                </c:pt>
                <c:pt idx="9">
                  <c:v>0.20000000000000284</c:v>
                </c:pt>
                <c:pt idx="10">
                  <c:v>0.5</c:v>
                </c:pt>
                <c:pt idx="11">
                  <c:v>1.4000000000000057</c:v>
                </c:pt>
                <c:pt idx="12" formatCode="General">
                  <c:v>2.4000000000000057</c:v>
                </c:pt>
                <c:pt idx="13" formatCode="General">
                  <c:v>2.2000000000000028</c:v>
                </c:pt>
                <c:pt idx="14">
                  <c:v>2.5</c:v>
                </c:pt>
                <c:pt idx="15">
                  <c:v>2.6</c:v>
                </c:pt>
                <c:pt idx="16">
                  <c:v>1.9</c:v>
                </c:pt>
                <c:pt idx="17">
                  <c:v>2.2999999999999998</c:v>
                </c:pt>
                <c:pt idx="18">
                  <c:v>2.4</c:v>
                </c:pt>
                <c:pt idx="19">
                  <c:v>2.1</c:v>
                </c:pt>
                <c:pt idx="20">
                  <c:v>2.7</c:v>
                </c:pt>
                <c:pt idx="21">
                  <c:v>2.8</c:v>
                </c:pt>
                <c:pt idx="22">
                  <c:v>2.8</c:v>
                </c:pt>
                <c:pt idx="23">
                  <c:v>3</c:v>
                </c:pt>
              </c:numCache>
            </c:numRef>
          </c:val>
          <c:extLst>
            <c:ext xmlns:c16="http://schemas.microsoft.com/office/drawing/2014/chart" uri="{C3380CC4-5D6E-409C-BE32-E72D297353CC}">
              <c16:uniqueId val="{00000000-4213-4F7F-B503-1CCF196C0DC2}"/>
            </c:ext>
          </c:extLst>
        </c:ser>
        <c:dLbls>
          <c:showLegendKey val="0"/>
          <c:showVal val="0"/>
          <c:showCatName val="0"/>
          <c:showSerName val="0"/>
          <c:showPercent val="0"/>
          <c:showBubbleSize val="0"/>
        </c:dLbls>
        <c:gapWidth val="95"/>
        <c:axId val="270120064"/>
        <c:axId val="270121600"/>
      </c:barChart>
      <c:lineChart>
        <c:grouping val="standard"/>
        <c:varyColors val="0"/>
        <c:ser>
          <c:idx val="1"/>
          <c:order val="1"/>
          <c:tx>
            <c:strRef>
              <c:f>'Ceny 2'!$D$5</c:f>
              <c:strCache>
                <c:ptCount val="1"/>
                <c:pt idx="0">
                  <c:v>Potraviny a nealkoholické nápoje</c:v>
                </c:pt>
              </c:strCache>
            </c:strRef>
          </c:tx>
          <c:spPr>
            <a:ln w="19050">
              <a:solidFill>
                <a:srgbClr val="0071BC"/>
              </a:solidFill>
            </a:ln>
          </c:spPr>
          <c:marker>
            <c:symbol val="none"/>
          </c:marker>
          <c:cat>
            <c:multiLvlStrRef>
              <c:f>'Ceny 2'!$A$14:$B$37</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'Ceny 2'!$D$14:$D$37</c:f>
              <c:numCache>
                <c:formatCode>0.0</c:formatCode>
                <c:ptCount val="24"/>
                <c:pt idx="0">
                  <c:v>3.9000000000000057</c:v>
                </c:pt>
                <c:pt idx="1">
                  <c:v>1.5</c:v>
                </c:pt>
                <c:pt idx="2">
                  <c:v>1.4000000000000057</c:v>
                </c:pt>
                <c:pt idx="3">
                  <c:v>1.2000000000000028</c:v>
                </c:pt>
                <c:pt idx="4">
                  <c:v>-1.5999999999999943</c:v>
                </c:pt>
                <c:pt idx="5">
                  <c:v>-9.9999999999994316E-2</c:v>
                </c:pt>
                <c:pt idx="6">
                  <c:v>-0.90000000000000568</c:v>
                </c:pt>
                <c:pt idx="7">
                  <c:v>-1.5999999999999943</c:v>
                </c:pt>
                <c:pt idx="8">
                  <c:v>-1.7000000000000028</c:v>
                </c:pt>
                <c:pt idx="9">
                  <c:v>-2.4000000000000057</c:v>
                </c:pt>
                <c:pt idx="10">
                  <c:v>-0.79999999999999716</c:v>
                </c:pt>
                <c:pt idx="11">
                  <c:v>1.2000000000000028</c:v>
                </c:pt>
                <c:pt idx="12" formatCode="General">
                  <c:v>4.2000000000000028</c:v>
                </c:pt>
                <c:pt idx="13" formatCode="General">
                  <c:v>4.5</c:v>
                </c:pt>
                <c:pt idx="14">
                  <c:v>5.7</c:v>
                </c:pt>
                <c:pt idx="15">
                  <c:v>6.3</c:v>
                </c:pt>
                <c:pt idx="16">
                  <c:v>2.9</c:v>
                </c:pt>
                <c:pt idx="17" formatCode="#\ ##0.0_ ;\-#\ ##0.0\ ">
                  <c:v>2.2999999999999998</c:v>
                </c:pt>
                <c:pt idx="18">
                  <c:v>0.6</c:v>
                </c:pt>
                <c:pt idx="19">
                  <c:v>-0.5</c:v>
                </c:pt>
                <c:pt idx="20">
                  <c:v>1</c:v>
                </c:pt>
                <c:pt idx="21">
                  <c:v>2.5</c:v>
                </c:pt>
                <c:pt idx="22">
                  <c:v>3.5</c:v>
                </c:pt>
                <c:pt idx="23">
                  <c:v>4.3</c:v>
                </c:pt>
              </c:numCache>
            </c:numRef>
          </c:val>
          <c:smooth val="0"/>
          <c:extLst>
            <c:ext xmlns:c16="http://schemas.microsoft.com/office/drawing/2014/chart" uri="{C3380CC4-5D6E-409C-BE32-E72D297353CC}">
              <c16:uniqueId val="{00000001-4213-4F7F-B503-1CCF196C0DC2}"/>
            </c:ext>
          </c:extLst>
        </c:ser>
        <c:ser>
          <c:idx val="3"/>
          <c:order val="2"/>
          <c:tx>
            <c:strRef>
              <c:f>'Ceny 2'!$F$5</c:f>
              <c:strCache>
                <c:ptCount val="1"/>
                <c:pt idx="0">
                  <c:v>Bydlení a energie</c:v>
                </c:pt>
              </c:strCache>
            </c:strRef>
          </c:tx>
          <c:spPr>
            <a:ln w="19050">
              <a:solidFill>
                <a:srgbClr val="7DBB2D"/>
              </a:solidFill>
            </a:ln>
          </c:spPr>
          <c:marker>
            <c:symbol val="none"/>
          </c:marker>
          <c:cat>
            <c:multiLvlStrRef>
              <c:f>'Ceny 2'!$A$14:$B$37</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'Ceny 2'!$F$14:$F$37</c:f>
              <c:numCache>
                <c:formatCode>0.0</c:formatCode>
                <c:ptCount val="24"/>
                <c:pt idx="0">
                  <c:v>-2.4000000000000057</c:v>
                </c:pt>
                <c:pt idx="1">
                  <c:v>-1.7000000000000028</c:v>
                </c:pt>
                <c:pt idx="2">
                  <c:v>-0.70000000000000284</c:v>
                </c:pt>
                <c:pt idx="3">
                  <c:v>-0.59999999999999432</c:v>
                </c:pt>
                <c:pt idx="4">
                  <c:v>1.0999999999999943</c:v>
                </c:pt>
                <c:pt idx="5">
                  <c:v>1.2000000000000028</c:v>
                </c:pt>
                <c:pt idx="6">
                  <c:v>0.79999999999999716</c:v>
                </c:pt>
                <c:pt idx="7">
                  <c:v>0.90000000000000568</c:v>
                </c:pt>
                <c:pt idx="8">
                  <c:v>0.90000000000000568</c:v>
                </c:pt>
                <c:pt idx="9">
                  <c:v>0.5</c:v>
                </c:pt>
                <c:pt idx="10">
                  <c:v>0.40000000000000568</c:v>
                </c:pt>
                <c:pt idx="11">
                  <c:v>0.59999999999999432</c:v>
                </c:pt>
                <c:pt idx="12" formatCode="General">
                  <c:v>0.79999999999999716</c:v>
                </c:pt>
                <c:pt idx="13" formatCode="General">
                  <c:v>1.5</c:v>
                </c:pt>
                <c:pt idx="14">
                  <c:v>2.1</c:v>
                </c:pt>
                <c:pt idx="15">
                  <c:v>2.2000000000000002</c:v>
                </c:pt>
                <c:pt idx="16">
                  <c:v>2.2999999999999998</c:v>
                </c:pt>
                <c:pt idx="17">
                  <c:v>2.6</c:v>
                </c:pt>
                <c:pt idx="18">
                  <c:v>3.2</c:v>
                </c:pt>
                <c:pt idx="19">
                  <c:v>3.8</c:v>
                </c:pt>
                <c:pt idx="20">
                  <c:v>5.4</c:v>
                </c:pt>
                <c:pt idx="21">
                  <c:v>5.7</c:v>
                </c:pt>
                <c:pt idx="22">
                  <c:v>5.2</c:v>
                </c:pt>
                <c:pt idx="23">
                  <c:v>5</c:v>
                </c:pt>
              </c:numCache>
            </c:numRef>
          </c:val>
          <c:smooth val="0"/>
          <c:extLst>
            <c:ext xmlns:c16="http://schemas.microsoft.com/office/drawing/2014/chart" uri="{C3380CC4-5D6E-409C-BE32-E72D297353CC}">
              <c16:uniqueId val="{00000002-4213-4F7F-B503-1CCF196C0DC2}"/>
            </c:ext>
          </c:extLst>
        </c:ser>
        <c:ser>
          <c:idx val="4"/>
          <c:order val="3"/>
          <c:tx>
            <c:strRef>
              <c:f>'Ceny 2'!$G$5</c:f>
              <c:strCache>
                <c:ptCount val="1"/>
                <c:pt idx="0">
                  <c:v>Doprava</c:v>
                </c:pt>
              </c:strCache>
            </c:strRef>
          </c:tx>
          <c:spPr>
            <a:ln w="19050">
              <a:solidFill>
                <a:srgbClr val="FFC000"/>
              </a:solidFill>
            </a:ln>
          </c:spPr>
          <c:marker>
            <c:symbol val="none"/>
          </c:marker>
          <c:cat>
            <c:multiLvlStrRef>
              <c:f>'Ceny 2'!$A$14:$B$37</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'Ceny 2'!$G$14:$G$37</c:f>
              <c:numCache>
                <c:formatCode>General</c:formatCode>
                <c:ptCount val="24"/>
                <c:pt idx="0">
                  <c:v>9.9999999999994316E-2</c:v>
                </c:pt>
                <c:pt idx="1">
                  <c:v>0.29999999999999716</c:v>
                </c:pt>
                <c:pt idx="2">
                  <c:v>0.5</c:v>
                </c:pt>
                <c:pt idx="3">
                  <c:v>0</c:v>
                </c:pt>
                <c:pt idx="4">
                  <c:v>-4.9000000000000057</c:v>
                </c:pt>
                <c:pt idx="5">
                  <c:v>-3.2999999999999972</c:v>
                </c:pt>
                <c:pt idx="6">
                  <c:v>-3.7999999999999972</c:v>
                </c:pt>
                <c:pt idx="7">
                  <c:v>-4.7000000000000028</c:v>
                </c:pt>
                <c:pt idx="8">
                  <c:v>-2.7000000000000028</c:v>
                </c:pt>
                <c:pt idx="9">
                  <c:v>-2.9000000000000057</c:v>
                </c:pt>
                <c:pt idx="10">
                  <c:v>-2.2999999999999972</c:v>
                </c:pt>
                <c:pt idx="11">
                  <c:v>1.0999999999999943</c:v>
                </c:pt>
                <c:pt idx="12">
                  <c:v>6</c:v>
                </c:pt>
                <c:pt idx="13">
                  <c:v>3.9000000000000057</c:v>
                </c:pt>
                <c:pt idx="14" formatCode="0.0">
                  <c:v>2.5</c:v>
                </c:pt>
                <c:pt idx="15" formatCode="0.0">
                  <c:v>2.5</c:v>
                </c:pt>
                <c:pt idx="16" formatCode="0.0">
                  <c:v>1</c:v>
                </c:pt>
                <c:pt idx="17" formatCode="0.0">
                  <c:v>3</c:v>
                </c:pt>
                <c:pt idx="18" formatCode="0.0">
                  <c:v>4.5</c:v>
                </c:pt>
                <c:pt idx="19" formatCode="0.0">
                  <c:v>2.6</c:v>
                </c:pt>
                <c:pt idx="20" formatCode="0.0">
                  <c:v>0.6</c:v>
                </c:pt>
                <c:pt idx="21" formatCode="0.0">
                  <c:v>0.8</c:v>
                </c:pt>
                <c:pt idx="22" formatCode="0.0">
                  <c:v>-0.2</c:v>
                </c:pt>
                <c:pt idx="23" formatCode="0.0">
                  <c:v>0.5</c:v>
                </c:pt>
              </c:numCache>
            </c:numRef>
          </c:val>
          <c:smooth val="0"/>
          <c:extLst>
            <c:ext xmlns:c16="http://schemas.microsoft.com/office/drawing/2014/chart" uri="{C3380CC4-5D6E-409C-BE32-E72D297353CC}">
              <c16:uniqueId val="{00000003-4213-4F7F-B503-1CCF196C0DC2}"/>
            </c:ext>
          </c:extLst>
        </c:ser>
        <c:ser>
          <c:idx val="2"/>
          <c:order val="4"/>
          <c:tx>
            <c:strRef>
              <c:f>'Ceny 2'!$E$5</c:f>
              <c:strCache>
                <c:ptCount val="1"/>
                <c:pt idx="0">
                  <c:v>Alkoholické nápoje a tabák</c:v>
                </c:pt>
              </c:strCache>
            </c:strRef>
          </c:tx>
          <c:spPr>
            <a:ln w="22225">
              <a:solidFill>
                <a:schemeClr val="accent2"/>
              </a:solidFill>
            </a:ln>
          </c:spPr>
          <c:marker>
            <c:symbol val="none"/>
          </c:marker>
          <c:cat>
            <c:multiLvlStrRef>
              <c:f>'Ceny 2'!$A$14:$B$37</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'Ceny 2'!$E$14:$E$37</c:f>
              <c:numCache>
                <c:formatCode>0.0</c:formatCode>
                <c:ptCount val="24"/>
                <c:pt idx="0">
                  <c:v>4.0999999999999943</c:v>
                </c:pt>
                <c:pt idx="1">
                  <c:v>2.9000000000000057</c:v>
                </c:pt>
                <c:pt idx="2">
                  <c:v>2.7000000000000028</c:v>
                </c:pt>
                <c:pt idx="3">
                  <c:v>1.4000000000000057</c:v>
                </c:pt>
                <c:pt idx="4">
                  <c:v>3.4000000000000057</c:v>
                </c:pt>
                <c:pt idx="5">
                  <c:v>5.4000000000000057</c:v>
                </c:pt>
                <c:pt idx="6">
                  <c:v>5.2000000000000028</c:v>
                </c:pt>
                <c:pt idx="7">
                  <c:v>4.7000000000000028</c:v>
                </c:pt>
                <c:pt idx="8">
                  <c:v>3.5</c:v>
                </c:pt>
                <c:pt idx="9">
                  <c:v>4.4000000000000057</c:v>
                </c:pt>
                <c:pt idx="10">
                  <c:v>4.5</c:v>
                </c:pt>
                <c:pt idx="11">
                  <c:v>5.2000000000000028</c:v>
                </c:pt>
                <c:pt idx="12" formatCode="General">
                  <c:v>3.4000000000000057</c:v>
                </c:pt>
                <c:pt idx="13" formatCode="General">
                  <c:v>0.79999999999999716</c:v>
                </c:pt>
                <c:pt idx="14">
                  <c:v>1.3</c:v>
                </c:pt>
                <c:pt idx="15">
                  <c:v>1.5</c:v>
                </c:pt>
                <c:pt idx="16">
                  <c:v>2.5</c:v>
                </c:pt>
                <c:pt idx="17">
                  <c:v>3.6</c:v>
                </c:pt>
                <c:pt idx="18">
                  <c:v>2.8</c:v>
                </c:pt>
                <c:pt idx="19">
                  <c:v>3.1</c:v>
                </c:pt>
                <c:pt idx="20">
                  <c:v>3.3</c:v>
                </c:pt>
                <c:pt idx="21">
                  <c:v>1.7</c:v>
                </c:pt>
                <c:pt idx="22">
                  <c:v>1.9</c:v>
                </c:pt>
                <c:pt idx="23">
                  <c:v>1.8</c:v>
                </c:pt>
              </c:numCache>
            </c:numRef>
          </c:val>
          <c:smooth val="0"/>
          <c:extLst>
            <c:ext xmlns:c16="http://schemas.microsoft.com/office/drawing/2014/chart" uri="{C3380CC4-5D6E-409C-BE32-E72D297353CC}">
              <c16:uniqueId val="{00000004-4213-4F7F-B503-1CCF196C0DC2}"/>
            </c:ext>
          </c:extLst>
        </c:ser>
        <c:dLbls>
          <c:showLegendKey val="0"/>
          <c:showVal val="0"/>
          <c:showCatName val="0"/>
          <c:showSerName val="0"/>
          <c:showPercent val="0"/>
          <c:showBubbleSize val="0"/>
        </c:dLbls>
        <c:marker val="1"/>
        <c:smooth val="0"/>
        <c:axId val="270120064"/>
        <c:axId val="270121600"/>
      </c:lineChart>
      <c:catAx>
        <c:axId val="270120064"/>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70121600"/>
        <c:crosses val="autoZero"/>
        <c:auto val="1"/>
        <c:lblAlgn val="ctr"/>
        <c:lblOffset val="100"/>
        <c:noMultiLvlLbl val="0"/>
      </c:catAx>
      <c:valAx>
        <c:axId val="270121600"/>
        <c:scaling>
          <c:orientation val="minMax"/>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0120064"/>
        <c:crosses val="autoZero"/>
        <c:crossBetween val="between"/>
        <c:majorUnit val="1"/>
      </c:valAx>
      <c:spPr>
        <a:ln>
          <a:solidFill>
            <a:schemeClr val="tx1"/>
          </a:solidFill>
        </a:ln>
      </c:spPr>
    </c:plotArea>
    <c:legend>
      <c:legendPos val="b"/>
      <c:layout>
        <c:manualLayout>
          <c:xMode val="edge"/>
          <c:yMode val="edge"/>
          <c:x val="5.6562816616008108E-2"/>
          <c:y val="0.86183552853765621"/>
          <c:w val="0.91934228301249576"/>
          <c:h val="0.12744174265450864"/>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70373184734885E-2"/>
          <c:y val="2.9569886214146503E-2"/>
          <c:w val="0.90493308848362042"/>
          <c:h val="0.73556653157716956"/>
        </c:manualLayout>
      </c:layout>
      <c:barChart>
        <c:barDir val="col"/>
        <c:grouping val="clustered"/>
        <c:varyColors val="0"/>
        <c:ser>
          <c:idx val="0"/>
          <c:order val="0"/>
          <c:tx>
            <c:strRef>
              <c:f>'[Makroanalýza grafy.xlsx]Ceny 1'!$C$5</c:f>
              <c:strCache>
                <c:ptCount val="1"/>
                <c:pt idx="0">
                  <c:v>Realizované ceny starších bytů, ČR</c:v>
                </c:pt>
              </c:strCache>
            </c:strRef>
          </c:tx>
          <c:spPr>
            <a:solidFill>
              <a:schemeClr val="bg1">
                <a:lumMod val="65000"/>
              </a:schemeClr>
            </a:solidFill>
            <a:ln w="19050">
              <a:noFill/>
            </a:ln>
          </c:spPr>
          <c:invertIfNegative val="0"/>
          <c:cat>
            <c:multiLvlStrRef>
              <c:f>'[Makroanalýza grafy.xlsx]Ceny 1'!$A$14:$B$37</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'[Makroanalýza grafy.xlsx]Ceny 1'!$C$14:$C$37</c:f>
              <c:numCache>
                <c:formatCode>General</c:formatCode>
                <c:ptCount val="24"/>
                <c:pt idx="0">
                  <c:v>1.2000000000000028</c:v>
                </c:pt>
                <c:pt idx="1">
                  <c:v>2.5</c:v>
                </c:pt>
                <c:pt idx="2">
                  <c:v>4.5</c:v>
                </c:pt>
                <c:pt idx="3">
                  <c:v>5.7000000000000028</c:v>
                </c:pt>
                <c:pt idx="4">
                  <c:v>4.2999999999999972</c:v>
                </c:pt>
                <c:pt idx="5">
                  <c:v>4.9000000000000057</c:v>
                </c:pt>
                <c:pt idx="6">
                  <c:v>6</c:v>
                </c:pt>
                <c:pt idx="7">
                  <c:v>6.7999999999999972</c:v>
                </c:pt>
                <c:pt idx="8">
                  <c:v>8.9000000000000057</c:v>
                </c:pt>
                <c:pt idx="9">
                  <c:v>10.299999999999997</c:v>
                </c:pt>
                <c:pt idx="10">
                  <c:v>12.299999999999997</c:v>
                </c:pt>
                <c:pt idx="11">
                  <c:v>14.599999999999994</c:v>
                </c:pt>
                <c:pt idx="12">
                  <c:v>17.200000000000003</c:v>
                </c:pt>
                <c:pt idx="13">
                  <c:v>18.700000000000003</c:v>
                </c:pt>
                <c:pt idx="14">
                  <c:v>15.799999999999997</c:v>
                </c:pt>
                <c:pt idx="15">
                  <c:v>12</c:v>
                </c:pt>
                <c:pt idx="16">
                  <c:v>9.2000000000000028</c:v>
                </c:pt>
                <c:pt idx="17">
                  <c:v>8</c:v>
                </c:pt>
                <c:pt idx="18">
                  <c:v>9.4000000000000057</c:v>
                </c:pt>
                <c:pt idx="19">
                  <c:v>11.400000000000006</c:v>
                </c:pt>
                <c:pt idx="20">
                  <c:v>11.299999999999997</c:v>
                </c:pt>
                <c:pt idx="21">
                  <c:v>10.599999999999994</c:v>
                </c:pt>
                <c:pt idx="22">
                  <c:v>9.5</c:v>
                </c:pt>
                <c:pt idx="23">
                  <c:v>9.4000000000000057</c:v>
                </c:pt>
              </c:numCache>
            </c:numRef>
          </c:val>
          <c:extLst>
            <c:ext xmlns:c16="http://schemas.microsoft.com/office/drawing/2014/chart" uri="{C3380CC4-5D6E-409C-BE32-E72D297353CC}">
              <c16:uniqueId val="{00000000-F79A-4F05-B1F7-1FDF48C7249B}"/>
            </c:ext>
          </c:extLst>
        </c:ser>
        <c:ser>
          <c:idx val="1"/>
          <c:order val="1"/>
          <c:tx>
            <c:strRef>
              <c:f>'[Makroanalýza grafy.xlsx]Ceny 1'!$D$5</c:f>
              <c:strCache>
                <c:ptCount val="1"/>
                <c:pt idx="0">
                  <c:v>Realizované ceny starších bytů, Praha</c:v>
                </c:pt>
              </c:strCache>
            </c:strRef>
          </c:tx>
          <c:spPr>
            <a:solidFill>
              <a:prstClr val="black">
                <a:lumMod val="50000"/>
                <a:lumOff val="50000"/>
              </a:prstClr>
            </a:solidFill>
            <a:ln w="19050">
              <a:noFill/>
            </a:ln>
          </c:spPr>
          <c:invertIfNegative val="0"/>
          <c:cat>
            <c:multiLvlStrRef>
              <c:f>'[Makroanalýza grafy.xlsx]Ceny 1'!$A$14:$B$37</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'[Makroanalýza grafy.xlsx]Ceny 1'!$D$14:$D$37</c:f>
              <c:numCache>
                <c:formatCode>General</c:formatCode>
                <c:ptCount val="24"/>
                <c:pt idx="0">
                  <c:v>2</c:v>
                </c:pt>
                <c:pt idx="1">
                  <c:v>2.0999999999999943</c:v>
                </c:pt>
                <c:pt idx="2">
                  <c:v>3.2000000000000028</c:v>
                </c:pt>
                <c:pt idx="3">
                  <c:v>5.2000000000000028</c:v>
                </c:pt>
                <c:pt idx="4">
                  <c:v>5</c:v>
                </c:pt>
                <c:pt idx="5">
                  <c:v>5.9000000000000057</c:v>
                </c:pt>
                <c:pt idx="6">
                  <c:v>5.5999999999999943</c:v>
                </c:pt>
                <c:pt idx="7">
                  <c:v>4.5999999999999943</c:v>
                </c:pt>
                <c:pt idx="8">
                  <c:v>5.7999999999999972</c:v>
                </c:pt>
                <c:pt idx="9">
                  <c:v>7.5</c:v>
                </c:pt>
                <c:pt idx="10">
                  <c:v>9.4000000000000057</c:v>
                </c:pt>
                <c:pt idx="11">
                  <c:v>13.900000000000006</c:v>
                </c:pt>
                <c:pt idx="12">
                  <c:v>16.200000000000003</c:v>
                </c:pt>
                <c:pt idx="13">
                  <c:v>19</c:v>
                </c:pt>
                <c:pt idx="14">
                  <c:v>16.400000000000006</c:v>
                </c:pt>
                <c:pt idx="15">
                  <c:v>11.099999999999994</c:v>
                </c:pt>
                <c:pt idx="16">
                  <c:v>8.2999999999999972</c:v>
                </c:pt>
                <c:pt idx="17">
                  <c:v>4</c:v>
                </c:pt>
                <c:pt idx="18">
                  <c:v>6</c:v>
                </c:pt>
                <c:pt idx="19">
                  <c:v>8.7000000000000028</c:v>
                </c:pt>
                <c:pt idx="20">
                  <c:v>9.4000000000000057</c:v>
                </c:pt>
                <c:pt idx="21">
                  <c:v>8.7000000000000028</c:v>
                </c:pt>
                <c:pt idx="22">
                  <c:v>6.5</c:v>
                </c:pt>
                <c:pt idx="23">
                  <c:v>7.2000000000000028</c:v>
                </c:pt>
              </c:numCache>
            </c:numRef>
          </c:val>
          <c:extLst>
            <c:ext xmlns:c16="http://schemas.microsoft.com/office/drawing/2014/chart" uri="{C3380CC4-5D6E-409C-BE32-E72D297353CC}">
              <c16:uniqueId val="{00000001-F79A-4F05-B1F7-1FDF48C7249B}"/>
            </c:ext>
          </c:extLst>
        </c:ser>
        <c:dLbls>
          <c:showLegendKey val="0"/>
          <c:showVal val="0"/>
          <c:showCatName val="0"/>
          <c:showSerName val="0"/>
          <c:showPercent val="0"/>
          <c:showBubbleSize val="0"/>
        </c:dLbls>
        <c:gapWidth val="95"/>
        <c:axId val="270057856"/>
        <c:axId val="270059392"/>
      </c:barChart>
      <c:lineChart>
        <c:grouping val="standard"/>
        <c:varyColors val="0"/>
        <c:ser>
          <c:idx val="2"/>
          <c:order val="2"/>
          <c:tx>
            <c:strRef>
              <c:f>'[Makroanalýza grafy.xlsx]Ceny 1'!$E$5</c:f>
              <c:strCache>
                <c:ptCount val="1"/>
                <c:pt idx="0">
                  <c:v>Nabídkové ceny bytů, ČR</c:v>
                </c:pt>
              </c:strCache>
            </c:strRef>
          </c:tx>
          <c:spPr>
            <a:ln w="19050">
              <a:solidFill>
                <a:schemeClr val="accent2"/>
              </a:solidFill>
            </a:ln>
          </c:spPr>
          <c:marker>
            <c:symbol val="none"/>
          </c:marker>
          <c:cat>
            <c:multiLvlStrRef>
              <c:f>'[Makroanalýza grafy.xlsx]Ceny 1'!$A$14:$B$37</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'[Makroanalýza grafy.xlsx]Ceny 1'!$E$14:$E$37</c:f>
              <c:numCache>
                <c:formatCode>0.0</c:formatCode>
                <c:ptCount val="24"/>
                <c:pt idx="0">
                  <c:v>3.0082987551867131</c:v>
                </c:pt>
                <c:pt idx="1">
                  <c:v>4.1407867494824018</c:v>
                </c:pt>
                <c:pt idx="2">
                  <c:v>4.6201232032854209</c:v>
                </c:pt>
                <c:pt idx="3">
                  <c:v>2.7411167512690384</c:v>
                </c:pt>
                <c:pt idx="4">
                  <c:v>3.6253776435045406</c:v>
                </c:pt>
                <c:pt idx="5">
                  <c:v>4.9701789264413518</c:v>
                </c:pt>
                <c:pt idx="6">
                  <c:v>6.0843964671246207</c:v>
                </c:pt>
                <c:pt idx="7">
                  <c:v>9.5849802371541539</c:v>
                </c:pt>
                <c:pt idx="8">
                  <c:v>10.204081632653059</c:v>
                </c:pt>
                <c:pt idx="9">
                  <c:v>10.321969696969703</c:v>
                </c:pt>
                <c:pt idx="10">
                  <c:v>9.8982423681776162</c:v>
                </c:pt>
                <c:pt idx="11">
                  <c:v>9.9188458070333638</c:v>
                </c:pt>
                <c:pt idx="12">
                  <c:v>9.5238095238095202</c:v>
                </c:pt>
                <c:pt idx="13" formatCode="General">
                  <c:v>9.5278969957081507</c:v>
                </c:pt>
                <c:pt idx="14" formatCode="General">
                  <c:v>12.542087542087534</c:v>
                </c:pt>
                <c:pt idx="15" formatCode="General">
                  <c:v>12.469237079573411</c:v>
                </c:pt>
                <c:pt idx="16" formatCode="General">
                  <c:v>12.801932367149751</c:v>
                </c:pt>
                <c:pt idx="17" formatCode="General">
                  <c:v>12.2257053291536</c:v>
                </c:pt>
                <c:pt idx="18" formatCode="General">
                  <c:v>9.4988780852655328</c:v>
                </c:pt>
                <c:pt idx="19" formatCode="General">
                  <c:v>8.4609773887673203</c:v>
                </c:pt>
                <c:pt idx="20" formatCode="General">
                  <c:v>7.4232690935046435</c:v>
                </c:pt>
                <c:pt idx="21" formatCode="General">
                  <c:v>5.7262569832402361</c:v>
                </c:pt>
                <c:pt idx="22" formatCode="General">
                  <c:v>5.1912568306010893</c:v>
                </c:pt>
                <c:pt idx="23" formatCode="General">
                  <c:v>5.5144586415601999</c:v>
                </c:pt>
              </c:numCache>
            </c:numRef>
          </c:val>
          <c:smooth val="0"/>
          <c:extLst>
            <c:ext xmlns:c16="http://schemas.microsoft.com/office/drawing/2014/chart" uri="{C3380CC4-5D6E-409C-BE32-E72D297353CC}">
              <c16:uniqueId val="{00000002-F79A-4F05-B1F7-1FDF48C7249B}"/>
            </c:ext>
          </c:extLst>
        </c:ser>
        <c:ser>
          <c:idx val="3"/>
          <c:order val="3"/>
          <c:tx>
            <c:strRef>
              <c:f>'[Makroanalýza grafy.xlsx]Ceny 1'!$F$5</c:f>
              <c:strCache>
                <c:ptCount val="1"/>
                <c:pt idx="0">
                  <c:v>Nabídkové ceny bytů, Praha</c:v>
                </c:pt>
              </c:strCache>
            </c:strRef>
          </c:tx>
          <c:spPr>
            <a:ln>
              <a:solidFill>
                <a:schemeClr val="accent1"/>
              </a:solidFill>
            </a:ln>
          </c:spPr>
          <c:marker>
            <c:symbol val="none"/>
          </c:marker>
          <c:cat>
            <c:multiLvlStrRef>
              <c:f>'[Makroanalýza grafy.xlsx]Ceny 1'!$A$14:$B$37</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'[Makroanalýza grafy.xlsx]Ceny 1'!$F$14:$F$37</c:f>
              <c:numCache>
                <c:formatCode>0.0</c:formatCode>
                <c:ptCount val="24"/>
                <c:pt idx="0">
                  <c:v>3.8310412573673931</c:v>
                </c:pt>
                <c:pt idx="1">
                  <c:v>5.2785923753665749</c:v>
                </c:pt>
                <c:pt idx="2">
                  <c:v>6.6731141199226212</c:v>
                </c:pt>
                <c:pt idx="3">
                  <c:v>5.1428571428571486</c:v>
                </c:pt>
                <c:pt idx="4">
                  <c:v>5.7710501419110631</c:v>
                </c:pt>
                <c:pt idx="5">
                  <c:v>6.4995357474466111</c:v>
                </c:pt>
                <c:pt idx="6">
                  <c:v>6.7089755213055353</c:v>
                </c:pt>
                <c:pt idx="7">
                  <c:v>8.7862318840579601</c:v>
                </c:pt>
                <c:pt idx="8">
                  <c:v>10.196779964221831</c:v>
                </c:pt>
                <c:pt idx="9">
                  <c:v>10.549258936355706</c:v>
                </c:pt>
                <c:pt idx="10">
                  <c:v>9.7706032285471416</c:v>
                </c:pt>
                <c:pt idx="11">
                  <c:v>11.323896752706073</c:v>
                </c:pt>
                <c:pt idx="12">
                  <c:v>13.636363636363633</c:v>
                </c:pt>
                <c:pt idx="13" formatCode="General">
                  <c:v>14.589905362776037</c:v>
                </c:pt>
                <c:pt idx="14" formatCode="General">
                  <c:v>18.266253869969059</c:v>
                </c:pt>
                <c:pt idx="15" formatCode="General">
                  <c:v>18.773373223635023</c:v>
                </c:pt>
                <c:pt idx="16" formatCode="General">
                  <c:v>15.071428571428566</c:v>
                </c:pt>
                <c:pt idx="17" formatCode="General">
                  <c:v>14.246386785960075</c:v>
                </c:pt>
                <c:pt idx="18" formatCode="General">
                  <c:v>10.732984293193702</c:v>
                </c:pt>
                <c:pt idx="19" formatCode="General">
                  <c:v>8.7531486146095574</c:v>
                </c:pt>
                <c:pt idx="20" formatCode="General">
                  <c:v>8.3178150217256395</c:v>
                </c:pt>
                <c:pt idx="21" formatCode="General">
                  <c:v>4.9397590361445713</c:v>
                </c:pt>
                <c:pt idx="22" formatCode="General">
                  <c:v>3.3096926713948127</c:v>
                </c:pt>
                <c:pt idx="23" formatCode="General">
                  <c:v>2.9530978575564695</c:v>
                </c:pt>
              </c:numCache>
            </c:numRef>
          </c:val>
          <c:smooth val="0"/>
          <c:extLst>
            <c:ext xmlns:c16="http://schemas.microsoft.com/office/drawing/2014/chart" uri="{C3380CC4-5D6E-409C-BE32-E72D297353CC}">
              <c16:uniqueId val="{00000003-F79A-4F05-B1F7-1FDF48C7249B}"/>
            </c:ext>
          </c:extLst>
        </c:ser>
        <c:dLbls>
          <c:showLegendKey val="0"/>
          <c:showVal val="0"/>
          <c:showCatName val="0"/>
          <c:showSerName val="0"/>
          <c:showPercent val="0"/>
          <c:showBubbleSize val="0"/>
        </c:dLbls>
        <c:marker val="1"/>
        <c:smooth val="0"/>
        <c:axId val="270057856"/>
        <c:axId val="270059392"/>
      </c:lineChart>
      <c:catAx>
        <c:axId val="270057856"/>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70059392"/>
        <c:crosses val="autoZero"/>
        <c:auto val="1"/>
        <c:lblAlgn val="ctr"/>
        <c:lblOffset val="100"/>
        <c:noMultiLvlLbl val="0"/>
      </c:catAx>
      <c:valAx>
        <c:axId val="270059392"/>
        <c:scaling>
          <c:orientation val="minMax"/>
          <c:min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0057856"/>
        <c:crosses val="autoZero"/>
        <c:crossBetween val="between"/>
        <c:majorUnit val="2"/>
      </c:valAx>
      <c:spPr>
        <a:ln>
          <a:solidFill>
            <a:schemeClr val="tx1"/>
          </a:solidFill>
        </a:ln>
      </c:spPr>
    </c:plotArea>
    <c:legend>
      <c:legendPos val="b"/>
      <c:layout>
        <c:manualLayout>
          <c:xMode val="edge"/>
          <c:yMode val="edge"/>
          <c:x val="7.3334810874704504E-2"/>
          <c:y val="0.88817854328492629"/>
          <c:w val="0.89999282337048292"/>
          <c:h val="9.8380614657210319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510469436001351E-2"/>
          <c:y val="2.181131592422042E-2"/>
          <c:w val="0.90860161263086792"/>
          <c:h val="0.71663233141956562"/>
        </c:manualLayout>
      </c:layout>
      <c:barChart>
        <c:barDir val="col"/>
        <c:grouping val="clustered"/>
        <c:varyColors val="0"/>
        <c:ser>
          <c:idx val="0"/>
          <c:order val="0"/>
          <c:tx>
            <c:strRef>
              <c:f>'Ceny 4'!$C$5</c:f>
              <c:strCache>
                <c:ptCount val="1"/>
                <c:pt idx="0">
                  <c:v>Celkem</c:v>
                </c:pt>
              </c:strCache>
            </c:strRef>
          </c:tx>
          <c:spPr>
            <a:solidFill>
              <a:schemeClr val="bg1">
                <a:lumMod val="65000"/>
              </a:schemeClr>
            </a:solidFill>
            <a:ln w="19050">
              <a:noFill/>
            </a:ln>
          </c:spPr>
          <c:invertIfNegative val="0"/>
          <c:cat>
            <c:multiLvlStrRef>
              <c:f>'Ceny 4'!$A$18:$B$89</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2014</c:v>
                  </c:pt>
                  <c:pt idx="12">
                    <c:v>2015</c:v>
                  </c:pt>
                  <c:pt idx="24">
                    <c:v>2016</c:v>
                  </c:pt>
                  <c:pt idx="36">
                    <c:v>2017</c:v>
                  </c:pt>
                  <c:pt idx="48">
                    <c:v>2018</c:v>
                  </c:pt>
                  <c:pt idx="60">
                    <c:v>2019</c:v>
                  </c:pt>
                </c:lvl>
              </c:multiLvlStrCache>
            </c:multiLvlStrRef>
          </c:cat>
          <c:val>
            <c:numRef>
              <c:f>'Ceny 4'!$C$18:$C$89</c:f>
              <c:numCache>
                <c:formatCode>0.0</c:formatCode>
                <c:ptCount val="72"/>
                <c:pt idx="0">
                  <c:v>-0.70000000000000284</c:v>
                </c:pt>
                <c:pt idx="1">
                  <c:v>-0.70000000000000284</c:v>
                </c:pt>
                <c:pt idx="2">
                  <c:v>-0.79999999999999716</c:v>
                </c:pt>
                <c:pt idx="3">
                  <c:v>-0.29999999999999716</c:v>
                </c:pt>
                <c:pt idx="4">
                  <c:v>-9.9999999999994316E-2</c:v>
                </c:pt>
                <c:pt idx="5">
                  <c:v>-0.20000000000000284</c:v>
                </c:pt>
                <c:pt idx="6">
                  <c:v>-9.9999999999994316E-2</c:v>
                </c:pt>
                <c:pt idx="7">
                  <c:v>0</c:v>
                </c:pt>
                <c:pt idx="8">
                  <c:v>-0.29999999999999716</c:v>
                </c:pt>
                <c:pt idx="9">
                  <c:v>-0.29999999999999716</c:v>
                </c:pt>
                <c:pt idx="10">
                  <c:v>-1.7000000000000028</c:v>
                </c:pt>
                <c:pt idx="11">
                  <c:v>-3.7000000000000028</c:v>
                </c:pt>
                <c:pt idx="12">
                  <c:v>-3.5</c:v>
                </c:pt>
                <c:pt idx="13">
                  <c:v>-3.5999999999999943</c:v>
                </c:pt>
                <c:pt idx="14">
                  <c:v>-2.9000000000000057</c:v>
                </c:pt>
                <c:pt idx="15">
                  <c:v>-2.5999999999999943</c:v>
                </c:pt>
                <c:pt idx="16">
                  <c:v>-2.0999999999999943</c:v>
                </c:pt>
                <c:pt idx="17">
                  <c:v>-2.2999999999999972</c:v>
                </c:pt>
                <c:pt idx="18">
                  <c:v>-3</c:v>
                </c:pt>
                <c:pt idx="19">
                  <c:v>-3.7000000000000028</c:v>
                </c:pt>
                <c:pt idx="20">
                  <c:v>-4.2000000000000028</c:v>
                </c:pt>
                <c:pt idx="21">
                  <c:v>-3.9000000000000057</c:v>
                </c:pt>
                <c:pt idx="22">
                  <c:v>-3.7000000000000028</c:v>
                </c:pt>
                <c:pt idx="23">
                  <c:v>-2.9000000000000057</c:v>
                </c:pt>
                <c:pt idx="24">
                  <c:v>-3.4000000000000057</c:v>
                </c:pt>
                <c:pt idx="25">
                  <c:v>-4</c:v>
                </c:pt>
                <c:pt idx="26">
                  <c:v>-4.5</c:v>
                </c:pt>
                <c:pt idx="27">
                  <c:v>-4.7000000000000028</c:v>
                </c:pt>
                <c:pt idx="28">
                  <c:v>-4.7999999999999972</c:v>
                </c:pt>
                <c:pt idx="29">
                  <c:v>-4.4000000000000057</c:v>
                </c:pt>
                <c:pt idx="30">
                  <c:v>-4</c:v>
                </c:pt>
                <c:pt idx="31">
                  <c:v>-3.4000000000000057</c:v>
                </c:pt>
                <c:pt idx="32">
                  <c:v>-2.4000000000000057</c:v>
                </c:pt>
                <c:pt idx="33">
                  <c:v>-1.7000000000000028</c:v>
                </c:pt>
                <c:pt idx="34">
                  <c:v>-1.2999999999999972</c:v>
                </c:pt>
                <c:pt idx="35">
                  <c:v>-0.40000000000000568</c:v>
                </c:pt>
                <c:pt idx="36" formatCode="General">
                  <c:v>2.0999999999999943</c:v>
                </c:pt>
                <c:pt idx="37" formatCode="General">
                  <c:v>3.0999999999999943</c:v>
                </c:pt>
                <c:pt idx="38">
                  <c:v>3</c:v>
                </c:pt>
                <c:pt idx="39">
                  <c:v>3.2000000000000028</c:v>
                </c:pt>
                <c:pt idx="40" formatCode="General">
                  <c:v>2.2999999999999972</c:v>
                </c:pt>
                <c:pt idx="41" formatCode="General">
                  <c:v>1.2999999999999972</c:v>
                </c:pt>
                <c:pt idx="42" formatCode="General">
                  <c:v>1.1000000000000001</c:v>
                </c:pt>
                <c:pt idx="43" formatCode="General">
                  <c:v>1.4</c:v>
                </c:pt>
                <c:pt idx="44" formatCode="General">
                  <c:v>1.7</c:v>
                </c:pt>
                <c:pt idx="45" formatCode="General">
                  <c:v>1.1000000000000001</c:v>
                </c:pt>
                <c:pt idx="46" formatCode="General">
                  <c:v>0.9</c:v>
                </c:pt>
                <c:pt idx="47" formatCode="General">
                  <c:v>0.7</c:v>
                </c:pt>
                <c:pt idx="48" formatCode="General">
                  <c:v>0.5</c:v>
                </c:pt>
                <c:pt idx="49" formatCode="General">
                  <c:v>-0.3</c:v>
                </c:pt>
                <c:pt idx="50" formatCode="General">
                  <c:v>0.1</c:v>
                </c:pt>
                <c:pt idx="51" formatCode="General">
                  <c:v>0</c:v>
                </c:pt>
                <c:pt idx="52" formatCode="General">
                  <c:v>1.5</c:v>
                </c:pt>
                <c:pt idx="53" formatCode="General">
                  <c:v>2.9</c:v>
                </c:pt>
                <c:pt idx="54" formatCode="General">
                  <c:v>3.4</c:v>
                </c:pt>
                <c:pt idx="55" formatCode="General">
                  <c:v>3.3</c:v>
                </c:pt>
                <c:pt idx="56" formatCode="General">
                  <c:v>3.2</c:v>
                </c:pt>
                <c:pt idx="57" formatCode="General">
                  <c:v>3.9</c:v>
                </c:pt>
                <c:pt idx="58" formatCode="General">
                  <c:v>3.9</c:v>
                </c:pt>
                <c:pt idx="59" formatCode="General">
                  <c:v>2.4</c:v>
                </c:pt>
                <c:pt idx="60" formatCode="General">
                  <c:v>2.9</c:v>
                </c:pt>
                <c:pt idx="61" formatCode="General">
                  <c:v>3.6</c:v>
                </c:pt>
                <c:pt idx="62" formatCode="General">
                  <c:v>3.8</c:v>
                </c:pt>
                <c:pt idx="63" formatCode="General">
                  <c:v>4.3</c:v>
                </c:pt>
                <c:pt idx="64" formatCode="General">
                  <c:v>3.8</c:v>
                </c:pt>
                <c:pt idx="65" formatCode="General">
                  <c:v>2.5</c:v>
                </c:pt>
                <c:pt idx="66" formatCode="General">
                  <c:v>2.1</c:v>
                </c:pt>
                <c:pt idx="67" formatCode="General">
                  <c:v>2.1</c:v>
                </c:pt>
                <c:pt idx="68" formatCode="General">
                  <c:v>1.9</c:v>
                </c:pt>
                <c:pt idx="69" formatCode="General">
                  <c:v>0.9</c:v>
                </c:pt>
                <c:pt idx="70" formatCode="General">
                  <c:v>0.9</c:v>
                </c:pt>
                <c:pt idx="71" formatCode="General">
                  <c:v>2.1</c:v>
                </c:pt>
              </c:numCache>
            </c:numRef>
          </c:val>
          <c:extLst>
            <c:ext xmlns:c16="http://schemas.microsoft.com/office/drawing/2014/chart" uri="{C3380CC4-5D6E-409C-BE32-E72D297353CC}">
              <c16:uniqueId val="{00000000-78B1-4C4B-A0D9-7B249D2424D5}"/>
            </c:ext>
          </c:extLst>
        </c:ser>
        <c:dLbls>
          <c:showLegendKey val="0"/>
          <c:showVal val="0"/>
          <c:showCatName val="0"/>
          <c:showSerName val="0"/>
          <c:showPercent val="0"/>
          <c:showBubbleSize val="0"/>
        </c:dLbls>
        <c:gapWidth val="96"/>
        <c:axId val="271374208"/>
        <c:axId val="271375744"/>
      </c:barChart>
      <c:lineChart>
        <c:grouping val="standard"/>
        <c:varyColors val="0"/>
        <c:ser>
          <c:idx val="1"/>
          <c:order val="1"/>
          <c:tx>
            <c:strRef>
              <c:f>'Ceny 4'!$D$5</c:f>
              <c:strCache>
                <c:ptCount val="1"/>
                <c:pt idx="0">
                  <c:v>Těžba a dobývání</c:v>
                </c:pt>
              </c:strCache>
            </c:strRef>
          </c:tx>
          <c:spPr>
            <a:ln w="19050">
              <a:solidFill>
                <a:srgbClr val="7DBB2D"/>
              </a:solidFill>
            </a:ln>
          </c:spPr>
          <c:marker>
            <c:symbol val="none"/>
          </c:marker>
          <c:cat>
            <c:multiLvlStrRef>
              <c:f>'Ceny 4'!$A$18:$B$89</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2014</c:v>
                  </c:pt>
                  <c:pt idx="12">
                    <c:v>2015</c:v>
                  </c:pt>
                  <c:pt idx="24">
                    <c:v>2016</c:v>
                  </c:pt>
                  <c:pt idx="36">
                    <c:v>2017</c:v>
                  </c:pt>
                  <c:pt idx="48">
                    <c:v>2018</c:v>
                  </c:pt>
                  <c:pt idx="60">
                    <c:v>2019</c:v>
                  </c:pt>
                </c:lvl>
              </c:multiLvlStrCache>
            </c:multiLvlStrRef>
          </c:cat>
          <c:val>
            <c:numRef>
              <c:f>'Ceny 4'!$D$18:$D$89</c:f>
              <c:numCache>
                <c:formatCode>0.0</c:formatCode>
                <c:ptCount val="72"/>
                <c:pt idx="0">
                  <c:v>-3</c:v>
                </c:pt>
                <c:pt idx="1">
                  <c:v>-3.0999999999999943</c:v>
                </c:pt>
                <c:pt idx="2">
                  <c:v>-4</c:v>
                </c:pt>
                <c:pt idx="3">
                  <c:v>-4.0999999999999943</c:v>
                </c:pt>
                <c:pt idx="4">
                  <c:v>-4.5999999999999943</c:v>
                </c:pt>
                <c:pt idx="5">
                  <c:v>-4.7999999999999972</c:v>
                </c:pt>
                <c:pt idx="6">
                  <c:v>-3</c:v>
                </c:pt>
                <c:pt idx="7">
                  <c:v>-3.5999999999999943</c:v>
                </c:pt>
                <c:pt idx="8">
                  <c:v>-1.9000000000000057</c:v>
                </c:pt>
                <c:pt idx="9">
                  <c:v>-2.0999999999999943</c:v>
                </c:pt>
                <c:pt idx="10">
                  <c:v>-2.2999999999999972</c:v>
                </c:pt>
                <c:pt idx="11">
                  <c:v>-2.7999999999999972</c:v>
                </c:pt>
                <c:pt idx="12">
                  <c:v>-0.90000000000000568</c:v>
                </c:pt>
                <c:pt idx="13">
                  <c:v>-1.5</c:v>
                </c:pt>
                <c:pt idx="14">
                  <c:v>-0.90000000000000568</c:v>
                </c:pt>
                <c:pt idx="15">
                  <c:v>-0.90000000000000568</c:v>
                </c:pt>
                <c:pt idx="16">
                  <c:v>0.29999999999999716</c:v>
                </c:pt>
                <c:pt idx="17">
                  <c:v>0.59999999999999432</c:v>
                </c:pt>
                <c:pt idx="18">
                  <c:v>0.40000000000000568</c:v>
                </c:pt>
                <c:pt idx="19">
                  <c:v>-0.29999999999999716</c:v>
                </c:pt>
                <c:pt idx="20">
                  <c:v>-1.7000000000000028</c:v>
                </c:pt>
                <c:pt idx="21">
                  <c:v>-1.4000000000000057</c:v>
                </c:pt>
                <c:pt idx="22">
                  <c:v>-0.59999999999999432</c:v>
                </c:pt>
                <c:pt idx="23">
                  <c:v>-0.5</c:v>
                </c:pt>
                <c:pt idx="24">
                  <c:v>-6.5999999999999943</c:v>
                </c:pt>
                <c:pt idx="25">
                  <c:v>-6.0999999999999943</c:v>
                </c:pt>
                <c:pt idx="26">
                  <c:v>-6.5</c:v>
                </c:pt>
                <c:pt idx="27">
                  <c:v>-7</c:v>
                </c:pt>
                <c:pt idx="28">
                  <c:v>-7.0999999999999943</c:v>
                </c:pt>
                <c:pt idx="29">
                  <c:v>-7.2999999999999972</c:v>
                </c:pt>
                <c:pt idx="30">
                  <c:v>-6.5999999999999943</c:v>
                </c:pt>
                <c:pt idx="31">
                  <c:v>-6</c:v>
                </c:pt>
                <c:pt idx="32">
                  <c:v>-4.9000000000000057</c:v>
                </c:pt>
                <c:pt idx="33">
                  <c:v>-5.2000000000000028</c:v>
                </c:pt>
                <c:pt idx="34">
                  <c:v>-5.2999999999999972</c:v>
                </c:pt>
                <c:pt idx="35">
                  <c:v>-5.0999999999999943</c:v>
                </c:pt>
                <c:pt idx="36" formatCode="General">
                  <c:v>2.2999999999999972</c:v>
                </c:pt>
                <c:pt idx="37" formatCode="General">
                  <c:v>5.7999999999999972</c:v>
                </c:pt>
                <c:pt idx="38">
                  <c:v>6.2000000000000028</c:v>
                </c:pt>
                <c:pt idx="39">
                  <c:v>6.4000000000000057</c:v>
                </c:pt>
                <c:pt idx="40" formatCode="General">
                  <c:v>4.2999999999999972</c:v>
                </c:pt>
                <c:pt idx="41" formatCode="General">
                  <c:v>4.0999999999999943</c:v>
                </c:pt>
                <c:pt idx="42" formatCode="General">
                  <c:v>2.9</c:v>
                </c:pt>
                <c:pt idx="43" formatCode="General">
                  <c:v>1.7</c:v>
                </c:pt>
                <c:pt idx="44" formatCode="General">
                  <c:v>1.9</c:v>
                </c:pt>
                <c:pt idx="45" formatCode="General">
                  <c:v>3.4</c:v>
                </c:pt>
                <c:pt idx="46" formatCode="General">
                  <c:v>3.3</c:v>
                </c:pt>
                <c:pt idx="47" formatCode="General">
                  <c:v>3.6</c:v>
                </c:pt>
                <c:pt idx="48" formatCode="General">
                  <c:v>6.7</c:v>
                </c:pt>
                <c:pt idx="49" formatCode="General">
                  <c:v>5</c:v>
                </c:pt>
                <c:pt idx="50" formatCode="General">
                  <c:v>4.3</c:v>
                </c:pt>
                <c:pt idx="51" formatCode="General">
                  <c:v>4.5999999999999996</c:v>
                </c:pt>
                <c:pt idx="52" formatCode="General">
                  <c:v>7.4</c:v>
                </c:pt>
                <c:pt idx="53" formatCode="General">
                  <c:v>8</c:v>
                </c:pt>
                <c:pt idx="54" formatCode="General">
                  <c:v>8.4</c:v>
                </c:pt>
                <c:pt idx="55" formatCode="General">
                  <c:v>10.1</c:v>
                </c:pt>
                <c:pt idx="56" formatCode="General">
                  <c:v>9.9</c:v>
                </c:pt>
                <c:pt idx="57" formatCode="General">
                  <c:v>9</c:v>
                </c:pt>
                <c:pt idx="58" formatCode="General">
                  <c:v>9.1999999999999993</c:v>
                </c:pt>
                <c:pt idx="59" formatCode="General">
                  <c:v>8.3000000000000007</c:v>
                </c:pt>
                <c:pt idx="60" formatCode="General">
                  <c:v>7.9</c:v>
                </c:pt>
                <c:pt idx="61" formatCode="General">
                  <c:v>7.4</c:v>
                </c:pt>
                <c:pt idx="62" formatCode="General">
                  <c:v>8</c:v>
                </c:pt>
                <c:pt idx="63" formatCode="General">
                  <c:v>8.4</c:v>
                </c:pt>
                <c:pt idx="64" formatCode="General">
                  <c:v>7.5</c:v>
                </c:pt>
                <c:pt idx="65" formatCode="General">
                  <c:v>7.1</c:v>
                </c:pt>
                <c:pt idx="66" formatCode="General">
                  <c:v>6.9</c:v>
                </c:pt>
                <c:pt idx="67" formatCode="General">
                  <c:v>6.8</c:v>
                </c:pt>
                <c:pt idx="68" formatCode="General">
                  <c:v>6.6</c:v>
                </c:pt>
                <c:pt idx="69" formatCode="General">
                  <c:v>3.6</c:v>
                </c:pt>
                <c:pt idx="70" formatCode="General">
                  <c:v>3.2</c:v>
                </c:pt>
                <c:pt idx="71" formatCode="General">
                  <c:v>4.3</c:v>
                </c:pt>
              </c:numCache>
            </c:numRef>
          </c:val>
          <c:smooth val="0"/>
          <c:extLst>
            <c:ext xmlns:c16="http://schemas.microsoft.com/office/drawing/2014/chart" uri="{C3380CC4-5D6E-409C-BE32-E72D297353CC}">
              <c16:uniqueId val="{00000001-78B1-4C4B-A0D9-7B249D2424D5}"/>
            </c:ext>
          </c:extLst>
        </c:ser>
        <c:ser>
          <c:idx val="2"/>
          <c:order val="2"/>
          <c:tx>
            <c:strRef>
              <c:f>'Ceny 4'!$E$5</c:f>
              <c:strCache>
                <c:ptCount val="1"/>
                <c:pt idx="0">
                  <c:v>Zpracovatelský průmysl</c:v>
                </c:pt>
              </c:strCache>
            </c:strRef>
          </c:tx>
          <c:spPr>
            <a:ln w="19050">
              <a:solidFill>
                <a:srgbClr val="BD1B21"/>
              </a:solidFill>
            </a:ln>
          </c:spPr>
          <c:marker>
            <c:symbol val="none"/>
          </c:marker>
          <c:cat>
            <c:multiLvlStrRef>
              <c:f>'Ceny 4'!$A$18:$B$89</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2014</c:v>
                  </c:pt>
                  <c:pt idx="12">
                    <c:v>2015</c:v>
                  </c:pt>
                  <c:pt idx="24">
                    <c:v>2016</c:v>
                  </c:pt>
                  <c:pt idx="36">
                    <c:v>2017</c:v>
                  </c:pt>
                  <c:pt idx="48">
                    <c:v>2018</c:v>
                  </c:pt>
                  <c:pt idx="60">
                    <c:v>2019</c:v>
                  </c:pt>
                </c:lvl>
              </c:multiLvlStrCache>
            </c:multiLvlStrRef>
          </c:cat>
          <c:val>
            <c:numRef>
              <c:f>'Ceny 4'!$E$18:$E$89</c:f>
              <c:numCache>
                <c:formatCode>0.0</c:formatCode>
                <c:ptCount val="72"/>
                <c:pt idx="0">
                  <c:v>1.0999999999999943</c:v>
                </c:pt>
                <c:pt idx="1">
                  <c:v>1.2000000000000028</c:v>
                </c:pt>
                <c:pt idx="2">
                  <c:v>1</c:v>
                </c:pt>
                <c:pt idx="3">
                  <c:v>1.5999999999999943</c:v>
                </c:pt>
                <c:pt idx="4">
                  <c:v>1.9000000000000057</c:v>
                </c:pt>
                <c:pt idx="5">
                  <c:v>1.9000000000000057</c:v>
                </c:pt>
                <c:pt idx="6">
                  <c:v>1.7999999999999972</c:v>
                </c:pt>
                <c:pt idx="7">
                  <c:v>2.0999999999999943</c:v>
                </c:pt>
                <c:pt idx="8">
                  <c:v>1.5</c:v>
                </c:pt>
                <c:pt idx="9">
                  <c:v>1.5</c:v>
                </c:pt>
                <c:pt idx="10">
                  <c:v>-9.9999999999994316E-2</c:v>
                </c:pt>
                <c:pt idx="11">
                  <c:v>-2.7999999999999972</c:v>
                </c:pt>
                <c:pt idx="12">
                  <c:v>-4.2999999999999972</c:v>
                </c:pt>
                <c:pt idx="13">
                  <c:v>-4.4000000000000057</c:v>
                </c:pt>
                <c:pt idx="14">
                  <c:v>-3.5</c:v>
                </c:pt>
                <c:pt idx="15">
                  <c:v>-3.0999999999999943</c:v>
                </c:pt>
                <c:pt idx="16">
                  <c:v>-2.7000000000000028</c:v>
                </c:pt>
                <c:pt idx="17">
                  <c:v>-2.7999999999999972</c:v>
                </c:pt>
                <c:pt idx="18">
                  <c:v>-3.5999999999999943</c:v>
                </c:pt>
                <c:pt idx="19">
                  <c:v>-4.7000000000000028</c:v>
                </c:pt>
                <c:pt idx="20">
                  <c:v>-5.2000000000000028</c:v>
                </c:pt>
                <c:pt idx="21">
                  <c:v>-4.9000000000000057</c:v>
                </c:pt>
                <c:pt idx="22">
                  <c:v>-4.5999999999999943</c:v>
                </c:pt>
                <c:pt idx="23">
                  <c:v>-3.5</c:v>
                </c:pt>
                <c:pt idx="24">
                  <c:v>-3.2999999999999972</c:v>
                </c:pt>
                <c:pt idx="25">
                  <c:v>-4.0999999999999943</c:v>
                </c:pt>
                <c:pt idx="26">
                  <c:v>-4.5999999999999943</c:v>
                </c:pt>
                <c:pt idx="27">
                  <c:v>-4.9000000000000057</c:v>
                </c:pt>
                <c:pt idx="28">
                  <c:v>-5</c:v>
                </c:pt>
                <c:pt idx="29">
                  <c:v>-4.5</c:v>
                </c:pt>
                <c:pt idx="30">
                  <c:v>-4</c:v>
                </c:pt>
                <c:pt idx="31">
                  <c:v>-3.2000000000000028</c:v>
                </c:pt>
                <c:pt idx="32">
                  <c:v>-2</c:v>
                </c:pt>
                <c:pt idx="33">
                  <c:v>-1.0999999999999943</c:v>
                </c:pt>
                <c:pt idx="34">
                  <c:v>-0.59999999999999432</c:v>
                </c:pt>
                <c:pt idx="35">
                  <c:v>0.59999999999999432</c:v>
                </c:pt>
                <c:pt idx="36" formatCode="General">
                  <c:v>2.5999999999999943</c:v>
                </c:pt>
                <c:pt idx="37" formatCode="General">
                  <c:v>4</c:v>
                </c:pt>
                <c:pt idx="38">
                  <c:v>3.7999999999999972</c:v>
                </c:pt>
                <c:pt idx="39">
                  <c:v>4</c:v>
                </c:pt>
                <c:pt idx="40" formatCode="General">
                  <c:v>2.7999999999999972</c:v>
                </c:pt>
                <c:pt idx="41" formatCode="General">
                  <c:v>1.5</c:v>
                </c:pt>
                <c:pt idx="42" formatCode="General">
                  <c:v>1.4</c:v>
                </c:pt>
                <c:pt idx="43" formatCode="General">
                  <c:v>2</c:v>
                </c:pt>
                <c:pt idx="44" formatCode="General">
                  <c:v>2.1</c:v>
                </c:pt>
                <c:pt idx="45" formatCode="General">
                  <c:v>1.4</c:v>
                </c:pt>
                <c:pt idx="46" formatCode="General">
                  <c:v>1.1000000000000001</c:v>
                </c:pt>
                <c:pt idx="47" formatCode="General">
                  <c:v>0.9</c:v>
                </c:pt>
                <c:pt idx="48" formatCode="General">
                  <c:v>0.2</c:v>
                </c:pt>
                <c:pt idx="49" formatCode="General">
                  <c:v>-0.9</c:v>
                </c:pt>
                <c:pt idx="50" formatCode="General">
                  <c:v>-0.5</c:v>
                </c:pt>
                <c:pt idx="51" formatCode="General">
                  <c:v>-0.5</c:v>
                </c:pt>
                <c:pt idx="52" formatCode="General">
                  <c:v>1.3</c:v>
                </c:pt>
                <c:pt idx="53" formatCode="General">
                  <c:v>2.8</c:v>
                </c:pt>
                <c:pt idx="54" formatCode="General">
                  <c:v>3.4</c:v>
                </c:pt>
                <c:pt idx="55" formatCode="General">
                  <c:v>3.2</c:v>
                </c:pt>
                <c:pt idx="56" formatCode="General">
                  <c:v>3</c:v>
                </c:pt>
                <c:pt idx="57" formatCode="General">
                  <c:v>3.8</c:v>
                </c:pt>
                <c:pt idx="58" formatCode="General">
                  <c:v>3.9</c:v>
                </c:pt>
                <c:pt idx="59" formatCode="General">
                  <c:v>2.2000000000000002</c:v>
                </c:pt>
                <c:pt idx="60" formatCode="General">
                  <c:v>1.9</c:v>
                </c:pt>
                <c:pt idx="61" formatCode="General">
                  <c:v>2.9</c:v>
                </c:pt>
                <c:pt idx="62" formatCode="General">
                  <c:v>3</c:v>
                </c:pt>
                <c:pt idx="63" formatCode="General">
                  <c:v>3.5</c:v>
                </c:pt>
                <c:pt idx="64" formatCode="General">
                  <c:v>2.9</c:v>
                </c:pt>
                <c:pt idx="65" formatCode="General">
                  <c:v>1.4</c:v>
                </c:pt>
                <c:pt idx="66" formatCode="General">
                  <c:v>0.9</c:v>
                </c:pt>
                <c:pt idx="67" formatCode="General">
                  <c:v>0.8</c:v>
                </c:pt>
                <c:pt idx="68" formatCode="General">
                  <c:v>0.7</c:v>
                </c:pt>
                <c:pt idx="69" formatCode="General">
                  <c:v>-0.4</c:v>
                </c:pt>
                <c:pt idx="70" formatCode="General">
                  <c:v>-0.7</c:v>
                </c:pt>
                <c:pt idx="71" formatCode="General">
                  <c:v>0.8</c:v>
                </c:pt>
              </c:numCache>
            </c:numRef>
          </c:val>
          <c:smooth val="0"/>
          <c:extLst>
            <c:ext xmlns:c16="http://schemas.microsoft.com/office/drawing/2014/chart" uri="{C3380CC4-5D6E-409C-BE32-E72D297353CC}">
              <c16:uniqueId val="{00000002-78B1-4C4B-A0D9-7B249D2424D5}"/>
            </c:ext>
          </c:extLst>
        </c:ser>
        <c:ser>
          <c:idx val="3"/>
          <c:order val="3"/>
          <c:tx>
            <c:strRef>
              <c:f>'Ceny 4'!$F$5</c:f>
              <c:strCache>
                <c:ptCount val="1"/>
                <c:pt idx="0">
                  <c:v>Elektřina, plyn, pára a klim. vzduch</c:v>
                </c:pt>
              </c:strCache>
            </c:strRef>
          </c:tx>
          <c:spPr>
            <a:ln w="19050">
              <a:solidFill>
                <a:srgbClr val="F8A124"/>
              </a:solidFill>
            </a:ln>
          </c:spPr>
          <c:marker>
            <c:symbol val="none"/>
          </c:marker>
          <c:cat>
            <c:multiLvlStrRef>
              <c:f>'Ceny 4'!$A$18:$B$89</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2014</c:v>
                  </c:pt>
                  <c:pt idx="12">
                    <c:v>2015</c:v>
                  </c:pt>
                  <c:pt idx="24">
                    <c:v>2016</c:v>
                  </c:pt>
                  <c:pt idx="36">
                    <c:v>2017</c:v>
                  </c:pt>
                  <c:pt idx="48">
                    <c:v>2018</c:v>
                  </c:pt>
                  <c:pt idx="60">
                    <c:v>2019</c:v>
                  </c:pt>
                </c:lvl>
              </c:multiLvlStrCache>
            </c:multiLvlStrRef>
          </c:cat>
          <c:val>
            <c:numRef>
              <c:f>'Ceny 4'!$F$18:$F$89</c:f>
              <c:numCache>
                <c:formatCode>0.0</c:formatCode>
                <c:ptCount val="72"/>
                <c:pt idx="0">
                  <c:v>-8.7999999999999972</c:v>
                </c:pt>
                <c:pt idx="1">
                  <c:v>-8.7999999999999972</c:v>
                </c:pt>
                <c:pt idx="2">
                  <c:v>-8.7999999999999972</c:v>
                </c:pt>
                <c:pt idx="3">
                  <c:v>-8.5999999999999943</c:v>
                </c:pt>
                <c:pt idx="4">
                  <c:v>-8.5999999999999943</c:v>
                </c:pt>
                <c:pt idx="5">
                  <c:v>-8.7000000000000028</c:v>
                </c:pt>
                <c:pt idx="6">
                  <c:v>-8.7000000000000028</c:v>
                </c:pt>
                <c:pt idx="7">
                  <c:v>-8.5999999999999943</c:v>
                </c:pt>
                <c:pt idx="8">
                  <c:v>-8.5999999999999943</c:v>
                </c:pt>
                <c:pt idx="9">
                  <c:v>-8.9000000000000057</c:v>
                </c:pt>
                <c:pt idx="10">
                  <c:v>-8.9000000000000057</c:v>
                </c:pt>
                <c:pt idx="11">
                  <c:v>-8.5999999999999943</c:v>
                </c:pt>
                <c:pt idx="12">
                  <c:v>-0.79999999999999716</c:v>
                </c:pt>
                <c:pt idx="13">
                  <c:v>-0.79999999999999716</c:v>
                </c:pt>
                <c:pt idx="14">
                  <c:v>-0.79999999999999716</c:v>
                </c:pt>
                <c:pt idx="15">
                  <c:v>-0.70000000000000284</c:v>
                </c:pt>
                <c:pt idx="16">
                  <c:v>-0.70000000000000284</c:v>
                </c:pt>
                <c:pt idx="17">
                  <c:v>-0.70000000000000284</c:v>
                </c:pt>
                <c:pt idx="18">
                  <c:v>-0.70000000000000284</c:v>
                </c:pt>
                <c:pt idx="19">
                  <c:v>-0.79999999999999716</c:v>
                </c:pt>
                <c:pt idx="20">
                  <c:v>-0.79999999999999716</c:v>
                </c:pt>
                <c:pt idx="21">
                  <c:v>-0.90000000000000568</c:v>
                </c:pt>
                <c:pt idx="22">
                  <c:v>-0.90000000000000568</c:v>
                </c:pt>
                <c:pt idx="23">
                  <c:v>-0.90000000000000568</c:v>
                </c:pt>
                <c:pt idx="24">
                  <c:v>-4</c:v>
                </c:pt>
                <c:pt idx="25">
                  <c:v>-4.0999999999999943</c:v>
                </c:pt>
                <c:pt idx="26">
                  <c:v>-4.0999999999999943</c:v>
                </c:pt>
                <c:pt idx="27">
                  <c:v>-4</c:v>
                </c:pt>
                <c:pt idx="28">
                  <c:v>-4</c:v>
                </c:pt>
                <c:pt idx="29">
                  <c:v>-4.0999999999999943</c:v>
                </c:pt>
                <c:pt idx="30">
                  <c:v>-4</c:v>
                </c:pt>
                <c:pt idx="31">
                  <c:v>-4</c:v>
                </c:pt>
                <c:pt idx="32">
                  <c:v>-4.0999999999999943</c:v>
                </c:pt>
                <c:pt idx="33">
                  <c:v>-4.0999999999999943</c:v>
                </c:pt>
                <c:pt idx="34">
                  <c:v>-4.0999999999999943</c:v>
                </c:pt>
                <c:pt idx="35">
                  <c:v>-4.0999999999999943</c:v>
                </c:pt>
                <c:pt idx="36" formatCode="General">
                  <c:v>-1.0999999999999943</c:v>
                </c:pt>
                <c:pt idx="37" formatCode="General">
                  <c:v>-1.2000000000000028</c:v>
                </c:pt>
                <c:pt idx="38">
                  <c:v>-1.2000000000000028</c:v>
                </c:pt>
                <c:pt idx="39">
                  <c:v>-1.4000000000000057</c:v>
                </c:pt>
                <c:pt idx="40" formatCode="General">
                  <c:v>-1.2999999999999972</c:v>
                </c:pt>
                <c:pt idx="41" formatCode="General">
                  <c:v>-1.0999999999999943</c:v>
                </c:pt>
                <c:pt idx="42" formatCode="General">
                  <c:v>-1.1000000000000001</c:v>
                </c:pt>
                <c:pt idx="43" formatCode="General">
                  <c:v>-1.3</c:v>
                </c:pt>
                <c:pt idx="44" formatCode="General">
                  <c:v>-1.1000000000000001</c:v>
                </c:pt>
                <c:pt idx="45" formatCode="General">
                  <c:v>-1.1000000000000001</c:v>
                </c:pt>
                <c:pt idx="46" formatCode="General">
                  <c:v>-1.1000000000000001</c:v>
                </c:pt>
                <c:pt idx="47" formatCode="General">
                  <c:v>-1.1000000000000001</c:v>
                </c:pt>
                <c:pt idx="48" formatCode="General">
                  <c:v>1.5</c:v>
                </c:pt>
                <c:pt idx="49" formatCode="General">
                  <c:v>1.6</c:v>
                </c:pt>
                <c:pt idx="50" formatCode="General">
                  <c:v>1.6</c:v>
                </c:pt>
                <c:pt idx="51" formatCode="General">
                  <c:v>1.7</c:v>
                </c:pt>
                <c:pt idx="52" formatCode="General">
                  <c:v>1.7</c:v>
                </c:pt>
                <c:pt idx="53" formatCode="General">
                  <c:v>2.2999999999999998</c:v>
                </c:pt>
                <c:pt idx="54" formatCode="General">
                  <c:v>2.2999999999999998</c:v>
                </c:pt>
                <c:pt idx="55" formatCode="General">
                  <c:v>2.6</c:v>
                </c:pt>
                <c:pt idx="56" formatCode="General">
                  <c:v>2.7</c:v>
                </c:pt>
                <c:pt idx="57" formatCode="General">
                  <c:v>2.8</c:v>
                </c:pt>
                <c:pt idx="58" formatCode="General">
                  <c:v>2.8</c:v>
                </c:pt>
                <c:pt idx="59" formatCode="General">
                  <c:v>2.8</c:v>
                </c:pt>
                <c:pt idx="60" formatCode="General">
                  <c:v>7.2</c:v>
                </c:pt>
                <c:pt idx="61" formatCode="General">
                  <c:v>7.5</c:v>
                </c:pt>
                <c:pt idx="62" formatCode="General">
                  <c:v>8.4</c:v>
                </c:pt>
                <c:pt idx="63" formatCode="General">
                  <c:v>8.1999999999999993</c:v>
                </c:pt>
                <c:pt idx="64" formatCode="General">
                  <c:v>8.6</c:v>
                </c:pt>
                <c:pt idx="65" formatCode="General">
                  <c:v>7.9</c:v>
                </c:pt>
                <c:pt idx="66" formatCode="General">
                  <c:v>8</c:v>
                </c:pt>
                <c:pt idx="67" formatCode="General">
                  <c:v>7.7</c:v>
                </c:pt>
                <c:pt idx="68" formatCode="General">
                  <c:v>7.7</c:v>
                </c:pt>
                <c:pt idx="69" formatCode="General">
                  <c:v>7.5</c:v>
                </c:pt>
                <c:pt idx="70" formatCode="General">
                  <c:v>8.6999999999999993</c:v>
                </c:pt>
                <c:pt idx="71" formatCode="General">
                  <c:v>8.8000000000000007</c:v>
                </c:pt>
              </c:numCache>
            </c:numRef>
          </c:val>
          <c:smooth val="0"/>
          <c:extLst>
            <c:ext xmlns:c16="http://schemas.microsoft.com/office/drawing/2014/chart" uri="{C3380CC4-5D6E-409C-BE32-E72D297353CC}">
              <c16:uniqueId val="{00000003-78B1-4C4B-A0D9-7B249D2424D5}"/>
            </c:ext>
          </c:extLst>
        </c:ser>
        <c:ser>
          <c:idx val="4"/>
          <c:order val="4"/>
          <c:tx>
            <c:strRef>
              <c:f>'Ceny 4'!$G$5</c:f>
              <c:strCache>
                <c:ptCount val="1"/>
                <c:pt idx="0">
                  <c:v>Zás. vodou; odpadní vody</c:v>
                </c:pt>
              </c:strCache>
            </c:strRef>
          </c:tx>
          <c:spPr>
            <a:ln w="19050">
              <a:solidFill>
                <a:schemeClr val="accent1"/>
              </a:solidFill>
            </a:ln>
          </c:spPr>
          <c:marker>
            <c:symbol val="none"/>
          </c:marker>
          <c:cat>
            <c:multiLvlStrRef>
              <c:f>'Ceny 4'!$A$18:$B$89</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2014</c:v>
                  </c:pt>
                  <c:pt idx="12">
                    <c:v>2015</c:v>
                  </c:pt>
                  <c:pt idx="24">
                    <c:v>2016</c:v>
                  </c:pt>
                  <c:pt idx="36">
                    <c:v>2017</c:v>
                  </c:pt>
                  <c:pt idx="48">
                    <c:v>2018</c:v>
                  </c:pt>
                  <c:pt idx="60">
                    <c:v>2019</c:v>
                  </c:pt>
                </c:lvl>
              </c:multiLvlStrCache>
            </c:multiLvlStrRef>
          </c:cat>
          <c:val>
            <c:numRef>
              <c:f>'Ceny 4'!$G$18:$G$89</c:f>
              <c:numCache>
                <c:formatCode>General</c:formatCode>
                <c:ptCount val="72"/>
                <c:pt idx="0">
                  <c:v>3.4000000000000057</c:v>
                </c:pt>
                <c:pt idx="1">
                  <c:v>3.4000000000000057</c:v>
                </c:pt>
                <c:pt idx="2">
                  <c:v>3.4000000000000057</c:v>
                </c:pt>
                <c:pt idx="3">
                  <c:v>3.4000000000000057</c:v>
                </c:pt>
                <c:pt idx="4">
                  <c:v>3.4000000000000057</c:v>
                </c:pt>
                <c:pt idx="5">
                  <c:v>3.4000000000000057</c:v>
                </c:pt>
                <c:pt idx="6">
                  <c:v>3.4000000000000057</c:v>
                </c:pt>
                <c:pt idx="7">
                  <c:v>3.4000000000000057</c:v>
                </c:pt>
                <c:pt idx="8">
                  <c:v>3.4000000000000057</c:v>
                </c:pt>
                <c:pt idx="9">
                  <c:v>3.4000000000000057</c:v>
                </c:pt>
                <c:pt idx="10">
                  <c:v>3.4000000000000057</c:v>
                </c:pt>
                <c:pt idx="11">
                  <c:v>3.4000000000000057</c:v>
                </c:pt>
                <c:pt idx="12">
                  <c:v>3.4000000000000057</c:v>
                </c:pt>
                <c:pt idx="13">
                  <c:v>3.4000000000000057</c:v>
                </c:pt>
                <c:pt idx="14">
                  <c:v>3.4000000000000057</c:v>
                </c:pt>
                <c:pt idx="15">
                  <c:v>3.4000000000000057</c:v>
                </c:pt>
                <c:pt idx="16">
                  <c:v>3.4000000000000057</c:v>
                </c:pt>
                <c:pt idx="17">
                  <c:v>3.4000000000000057</c:v>
                </c:pt>
                <c:pt idx="18">
                  <c:v>3.4000000000000057</c:v>
                </c:pt>
                <c:pt idx="19">
                  <c:v>3.4000000000000057</c:v>
                </c:pt>
                <c:pt idx="20">
                  <c:v>3.4000000000000057</c:v>
                </c:pt>
                <c:pt idx="21">
                  <c:v>3.4000000000000057</c:v>
                </c:pt>
                <c:pt idx="22">
                  <c:v>3.4000000000000057</c:v>
                </c:pt>
                <c:pt idx="23">
                  <c:v>3.4000000000000057</c:v>
                </c:pt>
                <c:pt idx="24">
                  <c:v>0.5</c:v>
                </c:pt>
                <c:pt idx="25">
                  <c:v>0.5</c:v>
                </c:pt>
                <c:pt idx="26">
                  <c:v>0.5</c:v>
                </c:pt>
                <c:pt idx="27">
                  <c:v>1.5999999999999943</c:v>
                </c:pt>
                <c:pt idx="28">
                  <c:v>1.5999999999999943</c:v>
                </c:pt>
                <c:pt idx="29">
                  <c:v>1.5999999999999943</c:v>
                </c:pt>
                <c:pt idx="30">
                  <c:v>1.5999999999999943</c:v>
                </c:pt>
                <c:pt idx="31">
                  <c:v>1.5999999999999943</c:v>
                </c:pt>
                <c:pt idx="32">
                  <c:v>1.5999999999999943</c:v>
                </c:pt>
                <c:pt idx="33">
                  <c:v>1.5999999999999943</c:v>
                </c:pt>
                <c:pt idx="34">
                  <c:v>1.5999999999999943</c:v>
                </c:pt>
                <c:pt idx="35">
                  <c:v>1.5999999999999943</c:v>
                </c:pt>
                <c:pt idx="36">
                  <c:v>2.0999999999999943</c:v>
                </c:pt>
                <c:pt idx="37">
                  <c:v>2.0999999999999943</c:v>
                </c:pt>
                <c:pt idx="38" formatCode="0.0">
                  <c:v>2.0999999999999943</c:v>
                </c:pt>
                <c:pt idx="39" formatCode="0.0">
                  <c:v>1</c:v>
                </c:pt>
                <c:pt idx="40">
                  <c:v>1</c:v>
                </c:pt>
                <c:pt idx="41">
                  <c:v>1</c:v>
                </c:pt>
                <c:pt idx="42">
                  <c:v>1</c:v>
                </c:pt>
                <c:pt idx="43">
                  <c:v>1</c:v>
                </c:pt>
                <c:pt idx="44">
                  <c:v>1</c:v>
                </c:pt>
                <c:pt idx="45">
                  <c:v>1</c:v>
                </c:pt>
                <c:pt idx="46">
                  <c:v>1</c:v>
                </c:pt>
                <c:pt idx="47">
                  <c:v>1</c:v>
                </c:pt>
                <c:pt idx="48">
                  <c:v>1.9</c:v>
                </c:pt>
                <c:pt idx="49">
                  <c:v>1.9</c:v>
                </c:pt>
                <c:pt idx="50">
                  <c:v>1.9</c:v>
                </c:pt>
                <c:pt idx="51">
                  <c:v>1.9</c:v>
                </c:pt>
                <c:pt idx="52">
                  <c:v>1.9</c:v>
                </c:pt>
                <c:pt idx="53">
                  <c:v>1.9</c:v>
                </c:pt>
                <c:pt idx="54">
                  <c:v>1.9</c:v>
                </c:pt>
                <c:pt idx="55">
                  <c:v>1.9</c:v>
                </c:pt>
                <c:pt idx="56">
                  <c:v>1.9</c:v>
                </c:pt>
                <c:pt idx="57">
                  <c:v>1.9</c:v>
                </c:pt>
                <c:pt idx="58">
                  <c:v>1.9</c:v>
                </c:pt>
                <c:pt idx="59">
                  <c:v>1.9</c:v>
                </c:pt>
                <c:pt idx="60">
                  <c:v>2.9</c:v>
                </c:pt>
                <c:pt idx="61">
                  <c:v>2.9</c:v>
                </c:pt>
                <c:pt idx="62">
                  <c:v>2.9</c:v>
                </c:pt>
                <c:pt idx="63">
                  <c:v>2.9</c:v>
                </c:pt>
                <c:pt idx="64">
                  <c:v>2.9</c:v>
                </c:pt>
                <c:pt idx="65">
                  <c:v>2.9</c:v>
                </c:pt>
                <c:pt idx="66">
                  <c:v>2.9</c:v>
                </c:pt>
                <c:pt idx="67">
                  <c:v>2.9</c:v>
                </c:pt>
                <c:pt idx="68">
                  <c:v>2.9</c:v>
                </c:pt>
                <c:pt idx="69">
                  <c:v>2.9</c:v>
                </c:pt>
                <c:pt idx="70">
                  <c:v>2.9</c:v>
                </c:pt>
                <c:pt idx="71">
                  <c:v>2.9</c:v>
                </c:pt>
              </c:numCache>
            </c:numRef>
          </c:val>
          <c:smooth val="0"/>
          <c:extLst>
            <c:ext xmlns:c16="http://schemas.microsoft.com/office/drawing/2014/chart" uri="{C3380CC4-5D6E-409C-BE32-E72D297353CC}">
              <c16:uniqueId val="{00000004-78B1-4C4B-A0D9-7B249D2424D5}"/>
            </c:ext>
          </c:extLst>
        </c:ser>
        <c:dLbls>
          <c:showLegendKey val="0"/>
          <c:showVal val="0"/>
          <c:showCatName val="0"/>
          <c:showSerName val="0"/>
          <c:showPercent val="0"/>
          <c:showBubbleSize val="0"/>
        </c:dLbls>
        <c:marker val="1"/>
        <c:smooth val="0"/>
        <c:axId val="271374208"/>
        <c:axId val="271375744"/>
      </c:lineChart>
      <c:catAx>
        <c:axId val="271374208"/>
        <c:scaling>
          <c:orientation val="minMax"/>
        </c:scaling>
        <c:delete val="0"/>
        <c:axPos val="b"/>
        <c:numFmt formatCode="General" sourceLinked="0"/>
        <c:majorTickMark val="out"/>
        <c:minorTickMark val="none"/>
        <c:tickLblPos val="low"/>
        <c:spPr>
          <a:ln>
            <a:solidFill>
              <a:schemeClr val="tx1"/>
            </a:solidFill>
          </a:ln>
        </c:spPr>
        <c:crossAx val="271375744"/>
        <c:crosses val="autoZero"/>
        <c:auto val="1"/>
        <c:lblAlgn val="ctr"/>
        <c:lblOffset val="100"/>
        <c:noMultiLvlLbl val="0"/>
      </c:catAx>
      <c:valAx>
        <c:axId val="271375744"/>
        <c:scaling>
          <c:orientation val="minMax"/>
          <c:max val="12"/>
          <c:min val="-10"/>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1374208"/>
        <c:crosses val="autoZero"/>
        <c:crossBetween val="between"/>
        <c:majorUnit val="2"/>
      </c:valAx>
      <c:spPr>
        <a:ln>
          <a:solidFill>
            <a:schemeClr val="tx1"/>
          </a:solidFill>
        </a:ln>
      </c:spPr>
    </c:plotArea>
    <c:legend>
      <c:legendPos val="b"/>
      <c:layout>
        <c:manualLayout>
          <c:xMode val="edge"/>
          <c:yMode val="edge"/>
          <c:x val="6.1319022289766968E-2"/>
          <c:y val="0.86223931272106069"/>
          <c:w val="0.90901046943600139"/>
          <c:h val="0.12109402425765226"/>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2A779-585E-4413-B15A-AC8BA44AFEF5}">
  <ds:schemaRefs>
    <ds:schemaRef ds:uri="http://schemas.openxmlformats.org/officeDocument/2006/bibliography"/>
  </ds:schemaRefs>
</ds:datastoreItem>
</file>

<file path=customXml/itemProps2.xml><?xml version="1.0" encoding="utf-8"?>
<ds:datastoreItem xmlns:ds="http://schemas.openxmlformats.org/officeDocument/2006/customXml" ds:itemID="{89D41A89-74E2-4F37-9E23-3687A6938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Template>
  <TotalTime>10</TotalTime>
  <Pages>6</Pages>
  <Words>2465</Words>
  <Characters>14546</Characters>
  <Application>Microsoft Office Word</Application>
  <DocSecurity>0</DocSecurity>
  <Lines>121</Lines>
  <Paragraphs>33</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16978</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Karolina Sukupova</cp:lastModifiedBy>
  <cp:revision>7</cp:revision>
  <cp:lastPrinted>2019-04-08T10:52:00Z</cp:lastPrinted>
  <dcterms:created xsi:type="dcterms:W3CDTF">2020-04-10T07:26:00Z</dcterms:created>
  <dcterms:modified xsi:type="dcterms:W3CDTF">2020-04-10T07:49:00Z</dcterms:modified>
</cp:coreProperties>
</file>